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system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system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248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must weigh patient-specific MRI quality, biopsy scheme, route, prophylaxis, and treatment-planning needs. The ProBIOPSY consensus (112 final statements) codifies this pathway but is not an executable decision artifact. Large language models (LLMs) hallucinate and lack traceability; retrieval-augmented generation (RAG) mitigates hallucination but provides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hybrid: (1) a deterministic rule engine (12 consensus + 4 patient-factor escalation rules) emitting hard constraints; (2) risk-guided retrieval over a LightRAG knowledge graph (357 evidence chunks, 1,864 entities, 3,078 relations, traceable to the consensus); (3) an LLM arbiter emitting one of five executable actions with statement-level citations. Four methods × five seeds × 112 statements (2,240 runs) were benchmarked with one fixed generator (GLM-5.3-Flash), isolating architectural contributions; baselines were re-run with flagship GLM-5.3 (1,120 runs).</w:t>
      </w:r>
    </w:p>
    <w:p>
      <w:r>
        <w:rPr>
          <w:rFonts w:ascii="Times New Roman" w:hAnsi="Times New Roman"/>
          <w:b/>
          <w:i w:val="0"/>
        </w:rPr>
        <w:t>Results:</w:t>
      </w:r>
      <w:r>
        <w:rPr>
          <w:rFonts w:ascii="Times New Roman" w:hAnsi="Times New Roman"/>
          <w:b w:val="0"/>
          <w:i w:val="0"/>
        </w:rPr>
        <w:t xml:space="preserve"> The full system achieved exact-5 accuracy 0.805±0.012 (±SD over 5 seeds), Cohen's κ 0.730±0.016, and against-class F1 0.908±0.023, versus strongest baseline LightRAG-only (0.613, 0.536, 0.525, 0.881), naive RAG (0.605, 0.514, 0.512, 0.890), and pure LLM (0.304, 0.254, 0.079, 0.346); all differences significant (FDR-adjusted p ≤ 0.001). Retrieval baselines collapsed onto frequent classes (conditional: 9 of 1,120 runs, 0.8%, versus 17.0% for the full system). Upgrading the generator did not rescue naive RAG (0.605→0.538).</w:t>
      </w:r>
    </w:p>
    <w:p>
      <w:r>
        <w:rPr>
          <w:rFonts w:ascii="Times New Roman" w:hAnsi="Times New Roman"/>
          <w:b/>
          <w:i w:val="0"/>
        </w:rPr>
        <w:t>Conclusions:</w:t>
      </w:r>
      <w:r>
        <w:rPr>
          <w:rFonts w:ascii="Times New Roman" w:hAnsi="Times New Roman"/>
          <w:b w:val="0"/>
          <w:i w:val="0"/>
        </w:rPr>
        <w:t xml:space="preserve"> Fine-grained action-space competence must be built into the architecture—rule-level priors and hard constraints—not delegated to prompting or larger models. Architecture, not generator tier, was the dominant lever; every output traces to consensus statements and evidence chunks, supporting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and biopsy is the cornerstone of diagnosis [1,2]. The modern biopsy pathway extends far beyond a single "to biopsy or not" question: whether to add systematic cores to MRI-targeted cores, which saturation scheme to use, transperineal versus transrectal access, anaesthesia and antimicrobial prophylaxis, and whether the harvested tissue satisfies the demands of subsequent treatment planning must all be weighed against patient-specific factors — PI-RADS grade, PSA density, prior negative biopsy, anticoagulation, urinary-tract-infection risk factors, prostate volume, and more [1,3]. The ProBIOPSY consensus, a multidisciplinary international effort published in 2026, codified this pathway into 112 final statements and documented substantial international practice variation [1].</w:t>
      </w:r>
    </w:p>
    <w:p>
      <w:r>
        <w:rPr>
          <w:rFonts w:ascii="Times New Roman" w:hAnsi="Times New Roman"/>
          <w:b w:val="0"/>
          <w:i w:val="0"/>
        </w:rPr>
        <w:t xml:space="preserve">A consensus document, however, is not executable. Clinicians face a combinatorial space of patient scenarios × biopsy decisions (51 scenario archetypes × 54 decision items in the registries developed here); static lookup cannot cover the interactions. Rule-based clinical decision support systems (CDSS) capture deterministic logic but are slow to update and struggle with natural-language evidence [4]. LLMs promise flexible language understanding yet carry well-documented risks in medicine: hallucination, unstable outputs, and unverifiable provenance [5-7]. RAG grounds generation in an external corpus [8], and medical RAG benchmarks show promise [9],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These failure modes are complementary. A deterministic rule engine can mechanically veto non-compliant outputs; knowledge-graph retrieval can expose a traceable evidence chain; an LLM arbiter can supply linguistic flexibility. Chained as </w:t>
      </w:r>
      <w:r>
        <w:rPr>
          <w:rFonts w:ascii="Times New Roman" w:hAnsi="Times New Roman"/>
          <w:b w:val="0"/>
          <w:i/>
        </w:rPr>
        <w:t>rule gate → graph evidence → LLM arbitration</w:t>
      </w:r>
      <w:r>
        <w:rPr>
          <w:rFonts w:ascii="Times New Roman" w:hAnsi="Times New Roman"/>
          <w:b w:val="0"/>
          <w:i w:val="0"/>
        </w:rPr>
        <w:t>, each layer covers the others' failure modes while preserving a complete audit trail from every output back to numbered consensus statements and evidence chunks. At the retrieval layer we adopt LightRAG [10], a graph-based dual-level retrieval framework that outperforms Microsoft GraphRAG [11]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system chaining deterministic rule hard constraints, LightRAG knowledge-graph retrieval, and LLM arbitration,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[1]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of −0.09 reflects the known instability of κ at this sample size with uneven category marginals, not poor agreement.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Medical RAG benchmarks such as MIRAGE [9]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[11] and LightRAG [10], our contribution is system-level: LightRAG remains the evidence engine, but the lightrag-only baseline demonstrates exactly what happens without a rule layer — against over-calling (sensitivity 1.000, specificity 0.922) and conditional silence. Relative to rule-based CDSS [4], our architecture compresses the auditable rule base to 16 consensus rules and delegates long-tail knowledge to graph retrieval, coupling the two via hard constraints rather than parallel voting.</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(iii) extending the rule base to other guideline chapters (active surveillance, imaging follow-up)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Patient scenario and decision item flow through (1) a deterministic rule engine (12 consensus rules + 4 patient-factor escalation rules) emitting hard constraints, (2) risk-guided retrieval over the LightRAG knowledge graph fused with lexical evidence, and (3) an LLM arbiter producing a five-class action verdict with citations and a rule-enforced constraint check.</w:t>
      </w:r>
    </w:p>
    <w:p>
      <w:pPr>
        <w:jc w:val="center"/>
      </w:pPr>
      <w:r>
        <w:drawing>
          <wp:inline xmlns:a="http://schemas.openxmlformats.org/drawingml/2006/main" xmlns:pic="http://schemas.openxmlformats.org/drawingml/2006/picture">
            <wp:extent cx="5760000" cy="2728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2728251"/>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2176671"/>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2176671"/>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1953699"/>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1953699"/>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137143"/>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137143"/>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Chernysheva D, Di Bello F, Avesani G, et al. ProBIOPSY: A Multidisciplinary International Consensus on Standards for Prostate Biopsy. Eur Urol 2026;90(3):212–224. https://doi.org/10.1016/j.eururo.2026.06.012</w:t>
      </w:r>
    </w:p>
    <w:p>
      <w:pPr>
        <w:ind w:left="425" w:hanging="425"/>
      </w:pPr>
      <w:r>
        <w:rPr>
          <w:rFonts w:ascii="Times New Roman" w:hAnsi="Times New Roman"/>
          <w:b w:val="0"/>
          <w:i w:val="0"/>
        </w:rPr>
        <w:t>2. European Association of Urology. EAU Guidelines on Prostate Cancer. Arnhem: EAU; 2026. https://uroweb.org/guidelines/prostate-cancer</w:t>
      </w:r>
    </w:p>
    <w:p>
      <w:pPr>
        <w:ind w:left="425" w:hanging="425"/>
      </w:pPr>
      <w:r>
        <w:rPr>
          <w:rFonts w:ascii="Times New Roman" w:hAnsi="Times New Roman"/>
          <w:b w:val="0"/>
          <w:i w:val="0"/>
        </w:rPr>
        <w:t>3. Weinreb JC, Barentsz JO, Choyke PL, et al. PI-RADS Prostate Imaging — Reporting and Data System: Version 2.1: 2019. Eur Urol 2019;76:340-51. https://doi.org/10.1016/j.eururo.2019.02.033</w:t>
      </w:r>
    </w:p>
    <w:p>
      <w:pPr>
        <w:ind w:left="425" w:hanging="425"/>
      </w:pPr>
      <w:r>
        <w:rPr>
          <w:rFonts w:ascii="Times New Roman" w:hAnsi="Times New Roman"/>
          <w:b w:val="0"/>
          <w:i w:val="0"/>
        </w:rPr>
        <w:t>4. Sutton RT, Pincock D, Baumgart DC, Sadowski DC, Fedorak RN, Kroeker KI. An overview of clinical decision support systems: benefits, risks, and strategies for success. NPJ Digit Med 2020;3:17. https://doi.org/10.1038/s41746-020-0221-y</w:t>
      </w:r>
    </w:p>
    <w:p>
      <w:pPr>
        <w:ind w:left="425" w:hanging="425"/>
      </w:pPr>
      <w:r>
        <w:rPr>
          <w:rFonts w:ascii="Times New Roman" w:hAnsi="Times New Roman"/>
          <w:b w:val="0"/>
          <w:i w:val="0"/>
        </w:rPr>
        <w:t>5. Thirunavukarasu AJ, Ting DSJ, Elangovan K, Gutierrez L, Tan TF, Ting DSW. Large language models in medicine. Nat Med 2023;29:1930-40. https://doi.org/10.1038/s41591-023-02448-8</w:t>
      </w:r>
    </w:p>
    <w:p>
      <w:pPr>
        <w:ind w:left="425" w:hanging="425"/>
      </w:pPr>
      <w:r>
        <w:rPr>
          <w:rFonts w:ascii="Times New Roman" w:hAnsi="Times New Roman"/>
          <w:b w:val="0"/>
          <w:i w:val="0"/>
        </w:rPr>
        <w:t>6. Singhal K, Azizi S, Tu T, et al. Large language models encode clinical knowledge. Nature 2023;620:172-80. https://doi.org/10.1038/s41586-023-06291-2</w:t>
      </w:r>
    </w:p>
    <w:p>
      <w:pPr>
        <w:ind w:left="425" w:hanging="425"/>
      </w:pPr>
      <w:r>
        <w:rPr>
          <w:rFonts w:ascii="Times New Roman" w:hAnsi="Times New Roman"/>
          <w:b w:val="0"/>
          <w:i w:val="0"/>
        </w:rPr>
        <w:t>7. Ji Z, Lee N, Frieske R, et al. Survey of hallucination in natural language generation. ACM Comput Surv 2023;55(12):248. https://doi.org/10.1145/3571730</w:t>
      </w:r>
    </w:p>
    <w:p>
      <w:pPr>
        <w:ind w:left="425" w:hanging="425"/>
      </w:pPr>
      <w:r>
        <w:rPr>
          <w:rFonts w:ascii="Times New Roman" w:hAnsi="Times New Roman"/>
          <w:b w:val="0"/>
          <w:i w:val="0"/>
        </w:rPr>
        <w:t>8. Lewis P, Perez E, Piktus A, et al. Retrieval-augmented generation for knowledge-intensive NLP tasks. Adv Neural Inf Process Syst 2020;33:9459-74.</w:t>
      </w:r>
    </w:p>
    <w:p>
      <w:pPr>
        <w:ind w:left="425" w:hanging="425"/>
      </w:pPr>
      <w:r>
        <w:rPr>
          <w:rFonts w:ascii="Times New Roman" w:hAnsi="Times New Roman"/>
          <w:b w:val="0"/>
          <w:i w:val="0"/>
        </w:rPr>
        <w:t>9. Xiong G, Jin Q, Lu Z, Zhang A. Benchmarking retrieval-augmented generation for medicine. Findings Assoc Comput Linguist ACL 2024:633-54. https://doi.org/10.18653/v1/2024.findings-acl.37</w:t>
      </w:r>
    </w:p>
    <w:p>
      <w:pPr>
        <w:ind w:left="425" w:hanging="425"/>
      </w:pPr>
      <w:r>
        <w:rPr>
          <w:rFonts w:ascii="Times New Roman" w:hAnsi="Times New Roman"/>
          <w:b w:val="0"/>
          <w:i w:val="0"/>
        </w:rPr>
        <w:t>10. Guo Z, Xia L, Yu Y, Ao T, Huang C. LightRAG: Simple and fast retrieval-augmented generation. arXiv:2410.05779 (2024).</w:t>
      </w:r>
    </w:p>
    <w:p>
      <w:pPr>
        <w:ind w:left="425" w:hanging="425"/>
      </w:pPr>
      <w:r>
        <w:rPr>
          <w:rFonts w:ascii="Times New Roman" w:hAnsi="Times New Roman"/>
          <w:b w:val="0"/>
          <w:i w:val="0"/>
        </w:rPr>
        <w:t>11. Edge D, Trinh H, Cheng N, et al. From local to global: a Graph RAG approach to query-focused summarization. arXiv:2404.16130 (2024).</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refs 1, 10 verified against publisher PDF / arXiv this session; refs 3-7, 9, 11 verified via web search (DOI confirmed) 2026-09-18; ref 8 canonical (NeurIPS 2020 proceedings); ref 2 is a living-guideline web citation (EAU, uroweb.org) — update edition/date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