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bCs/>
        </w:rPr>
        <w:t xml:space="preserve">面向灾后无人机蜂群网络的环境—事件协同动态信任管理与鲁棒 Leader 选举机制</w:t>
      </w:r>
    </w:p>
    <w:p>
      <w:pPr>
        <w:pStyle w:val="Heading1"/>
      </w:pPr>
      <w:r>
        <w:t xml:space="preserve">摘要</w:t>
      </w:r>
    </w:p>
    <w:p>
      <w:r>
        <w:t xml:space="preserve">灾后应急场景中，地面通信基础设施易受破坏，无人机蜂群网络可快速构建临时空中通信与协同感知系统，为道路阻断检测、危险区域识别、物资需求上报和救援通信中继提供支撑。然而，灾后无人机蜂群网络同时面临链路质量剧烈波动、节点观测不充分、任务事件真实性难以验证以及恶意节点攻击等问题。现有信任管理方法多依赖通信成功率或历史交互统计，容易将环境诱导的通信失败误判为节点恶意，也难以识别通信正常但事件语义虚假的攻击行为。针对上述问题，本文提出一种环境—事件协同动态信任管理与鲁棒 Leader 选举机制 EETLE。该机制将节点信任状态表示为可信度、环境不确定性、认知不确定性和不可信度四元向量，通过链路中断概率刻画通信环境影响，并设计环境感知信任恢复机制 EATR，以区分环境失败与恶意行为。同时，本文利用信任加权事件共识实现事件真实性一致性奖惩，识别虚假灾情上报；在全局信任阶段，引入基于人工权重的线性注意力融合方法，综合推荐节点自身可信度、推荐一致性、通信质量和空间相关性；在 Leader 选举阶段，融合全局信任、信任稳定性、通信质量、区域约束和切换裕度，提高蜂群协同控制的安全性与稳定性。仿真实验表明，EETLE 在恶意节点检测、正常节点误判抑制、虚假消息识别和 Leader 安全选举方面具有较好的综合性能。</w:t>
      </w:r>
    </w:p>
    <w:p>
      <w:r>
        <w:t xml:space="preserve">关键词：灾后应急通信；无人机蜂群网络；动态信任管理；环境不确定性；事件一致性；Leader 选举；恶意节点检测</w:t>
      </w:r>
    </w:p>
    <w:p>
      <w:pPr>
        <w:pStyle w:val="Heading1"/>
      </w:pPr>
      <w:r>
        <w:t xml:space="preserve">1 引言</w:t>
      </w:r>
    </w:p>
    <w:p>
      <w:r>
        <w:t xml:space="preserve">地震、洪涝、山体滑坡、泥石流以及城市建筑坍塌等灾后场景通常伴随地面基站损毁、道路交通受阻、灾情信息不完整和救援需求快速变化等问题。传统地面通信网络和人工巡检方式难以及时恢复灾区通信能力，也难以支撑大范围、动态化的灾情态势感知。无人机蜂群网络具有部署灵活、机动性强、覆盖范围广和协同感知能力强等特点，能够在灾后快速构建临时空中通信网络，并承担通信中继、道路阻断检测、危险区域识别、伤员位置发现和物资需求上报等任务，因此成为灾后应急通信与智能救援中的重要技术手段。</w:t>
      </w:r>
    </w:p>
    <w:p>
      <w:r>
        <w:t xml:space="preserve">与一般移动自组织网络相比，灾后无人机蜂群网络面临更加复杂的安全与可信协同问题。一方面，无人机节点高速移动，拓扑结构随时间快速变化，节点间链路容易受到距离变化、建筑物遮挡、地形阻挡、烟尘干扰、噪声增强和临时电磁干扰等因素影响，导致通信质量显著波动。另一方面，灾后任务不仅关注数据能否成功传输，还关注节点上报的道路阻断、危险区域、物资需求等任务事件是否真实。换言之，灾后无人机蜂群中的信任管理不能仅依据通信成功率判断节点可信性，还需要同时考虑通信环境、节点行为和事件语义。</w:t>
      </w:r>
    </w:p>
    <w:p>
      <w:r>
        <w:t xml:space="preserve">现有信任管理方法通常基于节点交互结果构建信任值，将成功交互视为可信证据，将失败交互视为不可信证据，并通过直接信任、推荐信任或全局声誉融合得到综合评价。这类方法具有结构简单、计算开销较低等优点，但在灾后无人机蜂群场景中存在明显局限。首先，通信失败并不必然意味着节点恶意。在复杂灾区环境下，链路中断、信号衰落和干扰增强均可能导致正常节点转发失败。若将所有失败交互直接计入不可信证据，容易造成正常节点误判。其次，部分恶意节点可能采用开关攻击策略，在正常阶段积累信任，在攻击阶段突然执行丢包、虚假上报或恶意推荐，从而绕过基于长期平均行为的检测机制。再次，恶意节点可能在通信链路正常的情况下上报虚假灾情信息，此时通信层表现正常，但任务语义层已经受到攻击，单纯依赖通信成功率难以及时识别。</w:t>
      </w:r>
    </w:p>
    <w:p>
      <w:r>
        <w:t xml:space="preserve">针对上述问题，本文提出环境—事件协同动态信任管理与鲁棒 Leader 选举机制 EETLE。本文贡献包括：提出四元信任表示方法，区分可信度、环境不确定性、认知不确定性和不可信度；设计链路中断概率驱动的 EATR，降低复杂链路条件下正常节点被误判的概率；构建事件真实性一致性奖惩机制，识别通信正常但语义异常的虚假消息注入行为；提出人工权重线性注意力全局信任融合方法，抑制低可信推荐和跨区域低相关推荐；构建融合全局信任、稳定性、通信质量、区域约束和切换裕度的鲁棒 Leader 选举机制。</w:t>
      </w:r>
    </w:p>
    <w:p>
      <w:pPr>
        <w:pStyle w:val="Heading1"/>
      </w:pPr>
      <w:r>
        <w:t xml:space="preserve">2 相关工作</w:t>
      </w:r>
    </w:p>
    <w:p>
      <w:r>
        <w:t xml:space="preserve">2.1 无人机蜂群网络与灾后应急通信：无人机蜂群网络是飞行自组织网络的重要应用形态，适合用于灾后通信恢复、灾情侦察、临时中继、道路巡检和物资投送等任务[文献待补充]。现有研究主要围绕移动模型、链路稳定性、路由协议、覆盖优化、能耗控制和任务分配展开[文献待补充]，但较少同时考虑通信环境、事件真实性和恶意攻击下的安全信任管理。</w:t>
      </w:r>
    </w:p>
    <w:p>
      <w:r>
        <w:t xml:space="preserve">2.2 移动自组织网络中的信任管理：直接信任、推荐信任和综合信任是自组织网络中常用的安全协作机制。Beta 声誉模型通过成功和失败交互估计节点可信度[文献待补充]。然而，传统方法通常默认失败交互主要由节点不合作或恶意行为导致，缺少对灾后复杂链路环境的显式建模。</w:t>
      </w:r>
    </w:p>
    <w:p>
      <w:r>
        <w:t xml:space="preserve">2.3 无人机网络中的安全攻击：无人机蜂群网络易受到黑洞攻击、开关攻击、虚假消息注入攻击、恶意推荐攻击、环境隐蔽攻击和跨域攻击影响[文献待补充]。其中，环境隐蔽攻击利用链路恶化掩盖恶意行为，跨域攻击利用新区信任冷启动重新伪装，是灾后场景中具有代表性的复合威胁。</w:t>
      </w:r>
    </w:p>
    <w:p>
      <w:r>
        <w:t xml:space="preserve">2.4 环境感知信任与事件一致性机制：已有环境感知信任方法通常将链路质量作为权重或上下文修正因子[文献待补充]，但较少明确区分环境不确定性和行为不可信度。事件一致性研究包括多数投票、异常检测和信任加权共识等[文献待补充]，但与通信行为信任的结合仍不充分。</w:t>
      </w:r>
    </w:p>
    <w:p>
      <w:r>
        <w:t xml:space="preserve">2.5 推荐融合与 Leader 选举：分布式蜂群需要融合多节点推荐。简单平均易受恶意推荐影响，可学习注意力依赖训练数据且部署成本较高。Leader 选举研究多关注能量、距离、连通性或负载[文献待补充]，对开关攻击、跨域攻击和虚假推荐考虑不足。本文采用人工权重线性注意力和多约束 Leader 评分，以提高在线部署可解释性和鲁棒性。</w:t>
      </w:r>
    </w:p>
    <w:p>
      <w:pPr>
        <w:pStyle w:val="Heading1"/>
      </w:pPr>
      <w:r>
        <w:t xml:space="preserve">3 系统模型与问题定义</w:t>
      </w:r>
    </w:p>
    <w:p>
      <w:r>
        <w:t xml:space="preserve">设灾后无人机蜂群由节点集合 V={v1,v2,...,vN} 构成，节点 vi 在时刻 t 的位置为 pos_i(t)，节点间距离为 dist_ij(t)。若两节点处于通信范围内且链路可用，则可以建立临时连接并执行消息转发、事件上报或信任交换。每个节点维护本地信任表，Leader 周期性收集本地信任信息并进行全局融合与重选判断。</w:t>
      </w:r>
    </w:p>
    <w:p>
      <w:r>
        <w:t xml:space="preserve">实验采用逻辑双区域灾后场景。仿真区域大小为 1000 m × 1000 m，以 x=500 m 为边界划分为两个灾后任务区域。节点根据当前位置动态判定所属区域，并通过 homeRegion 与 currentRegion 标识是否处于跨域状态。跨域攻击节点在设定时间后迁移至另一逻辑区域，系统据此触发区域折扣、跨域暖启动和 Leader 候选约束。</w:t>
      </w:r>
    </w:p>
    <w:p>
      <w:r>
        <w:t xml:space="preserve">链路环境模型从接收功率、SINR、信道容量和链路中断概率出发。接收功率为 P_r,ij(t)=P_t*g_ij(t)，路径增益为 g_ij(t)=1/(dist_ij(t)^alpha+epsilon)。链路信干噪比为 SINR_ij(t)=P_r,ij(t)/(N0+I_ij(t))，信道容量为 C_ij(t)=B log2(1+SINR_ij(t))。当 C_ij(t)&lt;R_req，或等价地 SINR_ij(t)&lt;gamma_th=2^(R_req/B)-1 时，认为链路处于中断状态。链路中断概率 p_out,ij(t) 由滑动统计估计，并用于环境不确定性建模。</w:t>
      </w:r>
    </w:p>
    <w:p>
      <w:r>
        <w:t xml:space="preserve">交互行为模型记录节点 vi 对 vj 的成功交互次数 s_ij(t) 和失败交互次数 f_ij(t)。成功交互包括消息成功转发和任务数据成功提交，失败交互包括转发失败、传输中断或应转发而未转发。任务事件集合记为 E={e1,e2,...,eK}，事件真实状态 x_k(t) 与节点报告 r_j,k(t) 均取 0 或 1。</w:t>
      </w:r>
    </w:p>
    <w:p>
      <w:r>
        <w:t xml:space="preserve">本文考虑黑洞攻击、开关攻击、虚假消息注入攻击、环境隐蔽攻击、跨域攻击和恶意推荐攻击。研究目标是在复杂链路环境和多类型攻击下，在线计算节点本地信任与全局信任，并选出可信、稳定、通信质量较好且满足区域约束的 Leader。</w:t>
      </w:r>
    </w:p>
    <w:p>
      <w:pPr>
        <w:pStyle w:val="Heading1"/>
      </w:pPr>
      <w:r>
        <w:t xml:space="preserve">4 环境—事件协同动态信任管理机制</w:t>
      </w:r>
    </w:p>
    <w:p>
      <w:r>
        <w:t xml:space="preserve">EETLE 的本地信任管理采用环境—事件协同更新框架。每个节点根据直接交互结果更新行为证据，根据链路中断概率估计环境不确定性，根据观测次数计算认知不确定性，并通过四元信任向量表示节点可信状态。随后，EATR 根据 p_out 将部分失败风险归因于环境因素；环境隐蔽攻击修正机制识别长期集中在高环境中断阶段的异常行为；事件一致性奖惩机制从任务语义层校正节点信任。</w:t>
      </w:r>
    </w:p>
    <w:p>
      <w:r>
        <w:t xml:space="preserve">设节点 vi 对 vj 的成功交互次数为 s_ij，失败交互次数为 f_ij。采用 Beta 平滑得到 b^0_ij=(s_ij+1)/(s_ij+f_ij+2)，d^0_ij=(f_ij+1)/(s_ij+f_ij+2)。其中 b^0_ij 表示由成功交互支持的初始可信质量，d^0_ij 表示由失败交互支持的初始不可信质量。平滑项可避免冷启动阶段因少量观测导致信任值过度极端。</w:t>
      </w:r>
    </w:p>
    <w:p>
      <w:r>
        <w:t xml:space="preserve">认知不确定性定义为 u^0_ij=beta_cog/(beta_cog+s_ij+f_ij)。当交互次数较少时，u^0_ij 较高；随着观测次数增加，认知不确定性逐渐降低。环境不确定性由链路中断概率映射得到 e^0_ij=alpha_env p_out,ij，其中 alpha_env 为环境影响系数。该公式表明环境不确定性由链路状态推导得到，而非人工固定赋值。</w:t>
      </w:r>
    </w:p>
    <w:p>
      <w:r>
        <w:t xml:space="preserve">节点 vi 对 vj 的本地信任表示为四元向量 T_ij(t)=&lt;b_ij(t), e_ij(t), u_ij(t), d_ij(t)&gt;，分别表示可信度、环境不确定性、认知不确定性和不可信度，满足 b_ij+e_ij+u_ij+d_ij=1。令 Z=b^0_ij+e^0_ij+u^0_ij+d^0_ij，则 b_ij=b^0_ij/Z，e_ij=e^0_ij/Z，u_ij=u^0_ij/Z，d_ij=d^0_ij/Z。</w:t>
      </w:r>
    </w:p>
    <w:p>
      <w:r>
        <w:t xml:space="preserve">EATR 定义环境驱动的不可信质量 d^env_ij=eta_env p_out,ij d_ij，并更新 d'_ij=d_ij-d^env_ij，e'_ij=e_ij+d^env_ij，b'_ij=b_ij，u'_ij=u_ij。当 p_out 较高时，更多失败风险被解释为环境因素；当 p_out 较低时，失败主要保留为不可信证据。</w:t>
      </w:r>
    </w:p>
    <w:p>
      <w:r>
        <w:t xml:space="preserve">为防止环境隐蔽攻击，定义高环境失败集中度 H_ij=F^high_ij/N^high_ij。当 H_ij 超过风险阈值 theta_h 时，将部分环境不确定性和认知不确定性转移至不可信度：Delta e=rho_h risk_ij e_ij，Delta u=rho_h risk_ij u_ij，e'_ij=e_ij-Delta e，u'_ij=u_ij-Delta u，d'_ij=d_ij+Delta e+Delta u。</w:t>
      </w:r>
    </w:p>
    <w:p>
      <w:r>
        <w:t xml:space="preserve">进一步地，为在检测阶段刻画节点是否存在利用恶劣环境隐藏攻击的行为，本文定义环境隐蔽风险 Risk_j。对于目标节点 v_j，统计其在高链路中断条件下的失败次数 F^high_j、高链路中断条件下的总交互次数 N^high_j 以及总失败次数 F^total_j。环境隐蔽风险定义为 Risk_j=max(F^high_j/F^total_j, F^high_j/N^high_j)。其中，第一项表示节点失败是否集中发生在恶劣环境下，第二项表示节点在恶劣环境下一旦交互是否经常失败。若 Risk_j 较高，说明该节点可能选择在高 p_out 条件下发动攻击，从而将恶意失败伪装为环境失败。</w:t>
      </w:r>
    </w:p>
    <w:p>
      <w:r>
        <w:t xml:space="preserve">基于上述风险度量，本文在恶意节点检测阶段不只依赖全局信任阈值，而采用联合判定规则：若 GT_j &lt; theta_T 或 Risk_j &gt; theta_R，且环境风险证据数量达到最小样本要求，则将节点 v_j 标记为可疑节点。该规则使 EETLE 能够识别全局信任值仍然较高但失败行为高度集中于恶劣环境的环境隐蔽攻击节点。</w:t>
      </w:r>
    </w:p>
    <w:p>
      <w:r>
        <w:t xml:space="preserve">事件一致性机制利用信任加权邻居共识计算事件发生概率 P_k(t)=sum_{vm in N_i} LT_im(t) r_m,k(t) / sum_{vm in N_i} LT_im(t)。当节点报告与可信邻居共识一致时，将部分认知不确定性转移为可信度；当报告与共识相反时，将部分认知不确定性转移为不可信度。该机制用于识别通信正常但事件语义异常的虚假消息注入攻击。</w:t>
      </w:r>
    </w:p>
    <w:p>
      <w:r>
        <w:t xml:space="preserve">本文采用的本地标量信任计算公式为 LT_ij(t)=[T_ij(t)+alpha_C C_ij(t)+alpha_E E_ij(t)]/[T_ij(t)+alpha_C C_ij(t)+alpha_E E_ij(t)+alpha_D D_ij(t)]，其中 T_ij、C_ij、E_ij 和 D_ij 分别对应可信度、认知不确定性、环境不确定性和不可信度。参数满足 0 &lt;= alpha_E &lt;= alpha_C &lt;= 1，alpha_D &gt;= 1。该公式允许认知不确定性和环境不确定性以谨慎方式贡献到信任分子，同时保留不可信度在分母中的显式惩罚作用。</w:t>
      </w:r>
    </w:p>
    <w:p>
      <w:pPr>
        <w:pStyle w:val="Heading1"/>
      </w:pPr>
      <w:r>
        <w:t xml:space="preserve">5 基于线性注意力融合的全局信任计算与鲁棒 Leader 选举机制</w:t>
      </w:r>
    </w:p>
    <w:p>
      <w:r>
        <w:t xml:space="preserve">Leader 收集多个节点对目标节点的本地信任评价。设目标节点为 vj，推荐节点集合为 R_j(t)，推荐节点 vi 提供本地标量信任 LT_ij(t)，则全局信任为 GT_j(t)=sum_{vi in R_j(t)} alpha_ij(t) LT_ij(t)，其中推荐权重 alpha_ij(t) 非负且和为 1。</w:t>
      </w:r>
    </w:p>
    <w:p>
      <w:r>
        <w:t xml:space="preserve">推荐节点自身可信度采用上一轮全局信任 R_i(t)=GT_i(t-1)，初始化阶段设置为 0.5。推荐一致性定义为 A_i(t)=1-(1/|H_i|) sum_{vj in H_i} |LT_ij(t)-GT_j(t-1)|，用于衡量推荐节点历史评价与全局结果之间的偏差。通信质量定义为 Q_i(t)=1-p_out,iL(t)，空间相关性定义为 S_ij(t)=exp(-dist_ij(t)/sigma_S)，跨区域推荐进一步乘以区域折扣因子。</w:t>
      </w:r>
    </w:p>
    <w:p>
      <w:r>
        <w:t xml:space="preserve">考虑灾后场景训练样本有限、网络状态快速变化，本文不采用需要大量训练数据的可学习注意力，而采用人工权重线性注意力。推荐得分为 score_ij(t)=omega_R R_i(t)+omega_A A_i(t)+omega_Q Q_i(t)+omega_S S'_ij(t)，其中权重和为 1。通过 Softmax 得到推荐权重 alpha_ij(t)。该方法参数含义明确、计算复杂度低，适合在线部署。</w:t>
      </w:r>
    </w:p>
    <w:p>
      <w:r>
        <w:t xml:space="preserve">Leader 候选集合为 C(t)={vj | GT_j(t)&gt;=theta_C}。对于跨域节点，若其在当前区域内有效交互次数低于阈值，则暂不允许进入 Leader 候选集合。信任稳定性定义为 ST_j(t)=1/(1+Var(GT_j))，通信质量定义为候选节点与邻居链路质量的平均值 CQ_j(t)=sum_{vm in N_j(t)}(1-p_out,jm(t))/|N_j(t)|。</w:t>
      </w:r>
    </w:p>
    <w:p>
      <w:r>
        <w:t xml:space="preserve">Leader 基础评分为 Score_j(t)=phi_T GT_j(t)+phi_S ST_j(t)+phi_Q CQ_j(t)，其中 phi_T+phi_S+phi_Q=1。区域约束后的最终评分为 ScoreFinal_j(t)=RF_j(t) Score_j(t)，最终 Leader 为评分最高的候选节点。为避免频繁切换，仅当新候选评分超过当前 Leader 评分并大于切换裕度时才执行切换；当当前 Leader 全局信任、稳定性或通信质量低于异常阈值时触发重选。</w:t>
      </w:r>
    </w:p>
    <w:p>
      <w:pPr>
        <w:pStyle w:val="Heading1"/>
      </w:pPr>
      <w:r>
        <w:t xml:space="preserve">6 理论性质与复杂度分析</w:t>
      </w:r>
    </w:p>
    <w:p>
      <w:r>
        <w:t xml:space="preserve">EETLE 将本地信任表示为四元向量，并通过归一化保证 b_ij+e_ij+u_ij+d_ij=1。EATR、环境隐蔽攻击修正和事件一致性奖惩均属于四元质量内部转移，因此不会改变总质量，满足信任质量守恒性。</w:t>
      </w:r>
    </w:p>
    <w:p>
      <w:r>
        <w:t xml:space="preserve">本地标量信任公式中，分子和分母均非负，且分母比分子多出 alpha_D D_ij 项，因此 LT_ij 位于 [0,1]。全局信任是多个本地信任的凸组合，也位于 [0,1]。该有界性保证信任值可用于阈值判断和 Leader 评分。</w:t>
      </w:r>
    </w:p>
    <w:p>
      <w:r>
        <w:t xml:space="preserve">本地信任映射关于可信度单调增加，关于不可信度单调降低。由于 alpha_D &gt;= 1，不可信度对分母具有明确惩罚作用；认知不确定性和环境不确定性以 alpha_C 和 alpha_E 加权进入分子，使模型在不确定环境下保持保守但不过度悲观的评分特征。</w:t>
      </w:r>
    </w:p>
    <w:p>
      <w:r>
        <w:t xml:space="preserve">EATR 能够在高 p_out 场景下将部分失败风险归因于环境因素，降低正常节点误判；在低 p_out 场景下，失败仍主要保留为不可信证据，保持对恶意行为的惩罚能力。环境隐蔽攻击修正机制则通过高环境失败集中度识别长期利用恶劣环境掩盖攻击的节点，与 EATR 形成互补。</w:t>
      </w:r>
    </w:p>
    <w:p>
      <w:r>
        <w:t xml:space="preserve">事件一致性机制通过信任加权邻居共识补充通信行为证据，使模型能够识别通信成功但事件内容虚假的节点。线性注意力融合根据推荐者自身可信度、推荐一致性、通信质量和空间相关性分配推荐权重，降低恶意推荐影响。Leader 选举进一步通过全局信任、稳定性、通信质量和区域约束降低恶意节点获得控制权的概率。</w:t>
      </w:r>
    </w:p>
    <w:p>
      <w:r>
        <w:t xml:space="preserve">设节点数为 N，当前通信边数为 M，事件数量为 K，平均邻居数为 d_bar，平均推荐节点数为 r_bar。本地信任更新复杂度为 O(M)，事件一致性复杂度约为 O(K d_bar)，全局信任融合复杂度为 O(N r_bar)，Leader 选举复杂度约为 O(N+|C|d_bar)。由于无人机通信范围有限，网络通常为稀疏图，因此 EETLE 适用于灾后中小规模无人机蜂群在线信任管理。</w:t>
      </w:r>
    </w:p>
    <w:p>
      <w:pPr>
        <w:pStyle w:val="Heading1"/>
      </w:pPr>
      <w:r>
        <w:t xml:space="preserve">7 仿真实验与结果分析</w:t>
      </w:r>
    </w:p>
    <w:p>
      <w:pPr>
        <w:pStyle w:val="Heading2"/>
      </w:pPr>
      <w:r>
        <w:t xml:space="preserve">7.1 实验设置</w:t>
      </w:r>
    </w:p>
    <w:p>
      <w:r>
        <w:t xml:space="preserve">本文基于 The ONE 1.6.0 仿真平台构建灾后无人机蜂群网络实验场景。仿真区域大小为 1000 m × 1000 m，采用逻辑双区域划分，以 x=500 m 为区域边界。网络共设置 60 个无人机节点，节点采用 RandomWaypoint 移动模型，移动速度为 5-20 m/s，等待时间为 0-10 s。通信接口传输范围为 500 m，传输速率为 250 kbit/s，节点缓存为 5 MB，消息 TTL 为 300 s。仿真总时长为 10000 s，更新间隔为 10 s，统计间隔为 100 s。</w:t>
      </w:r>
    </w:p>
    <w:p>
      <w:r>
        <w:t xml:space="preserve">攻击模型包含黑洞攻击、开关攻击、虚假消息注入攻击、环境隐蔽攻击和跨域攻击。在恶意节点比例实验中，攻击比例分别设置为 0%、10%、20%、30% 和 40%。当恶意节点比例为 30% 时，60 个节点中包含 18 个恶意节点和 42 个正常节点。</w:t>
      </w:r>
    </w:p>
    <w:p>
      <w:pPr>
        <w:pStyle w:val="Heading2"/>
      </w:pPr>
      <w:r>
        <w:t xml:space="preserve">7.2 对比方法与消融设置</w:t>
      </w:r>
    </w:p>
    <w:p>
      <w:r>
        <w:t xml:space="preserve">实验设置完整模型 EETLE-Full，以及 No-EATR、No-Event、No-Attention、No-Region、No-Stability 和 No-Switch-Margin 等消融模型，用于评估环境归因、事件一致性、线性注意力、区域约束、信任稳定性和切换裕度对总体性能的影响。</w:t>
      </w:r>
    </w:p>
    <w:p>
      <w:pPr>
        <w:pStyle w:val="Heading2"/>
      </w:pPr>
      <w:r>
        <w:t xml:space="preserve">7.3 恶意节点检测性能</w:t>
      </w:r>
    </w:p>
    <w:tbl>
      <w:tblPr>
        <w:tblStyle w:val="TableGrid"/>
        <w:tblW w:w="0" w:type="auto"/>
      </w:tblPr>
      <w:tblGrid>
        <w:gridCol w:w="1800"/>
        <w:gridCol w:w="1800"/>
        <w:gridCol w:w="1800"/>
        <w:gridCol w:w="1800"/>
        <w:gridCol w:w="1800"/>
        <w:gridCol w:w="1800"/>
        <w:gridCol w:w="1800"/>
        <w:gridCol w:w="1800"/>
        <w:gridCol w:w="1800"/>
        <w:gridCol w:w="1800"/>
      </w:tblGrid>
      <w:tr>
        <w:tc>
          <w:tcPr>
            <w:tcW w:w="1800" w:type="dxa"/>
            <w:shd w:fill="D9EAF7"/>
          </w:tcPr>
          <w:p>
            <w:pPr>
              <w:jc w:val="center"/>
            </w:pPr>
            <w:r>
              <w:rPr>
                <w:b/>
                <w:bCs/>
              </w:rPr>
              <w:t xml:space="preserve">恶意比例</w:t>
            </w:r>
          </w:p>
        </w:tc>
        <w:tc>
          <w:tcPr>
            <w:tcW w:w="1800" w:type="dxa"/>
            <w:shd w:fill="D9EAF7"/>
          </w:tcPr>
          <w:p>
            <w:pPr>
              <w:jc w:val="center"/>
            </w:pPr>
            <w:r>
              <w:rPr>
                <w:b/>
                <w:bCs/>
              </w:rPr>
              <w:t xml:space="preserve">恶意节点数</w:t>
            </w:r>
          </w:p>
        </w:tc>
        <w:tc>
          <w:tcPr>
            <w:tcW w:w="1800" w:type="dxa"/>
            <w:shd w:fill="D9EAF7"/>
          </w:tcPr>
          <w:p>
            <w:pPr>
              <w:jc w:val="center"/>
            </w:pPr>
            <w:r>
              <w:rPr>
                <w:b/>
                <w:bCs/>
              </w:rPr>
              <w:t xml:space="preserve">Precision</w:t>
            </w:r>
          </w:p>
        </w:tc>
        <w:tc>
          <w:tcPr>
            <w:tcW w:w="1800" w:type="dxa"/>
            <w:shd w:fill="D9EAF7"/>
          </w:tcPr>
          <w:p>
            <w:pPr>
              <w:jc w:val="center"/>
            </w:pPr>
            <w:r>
              <w:rPr>
                <w:b/>
                <w:bCs/>
              </w:rPr>
              <w:t xml:space="preserve">Recall</w:t>
            </w:r>
          </w:p>
        </w:tc>
        <w:tc>
          <w:tcPr>
            <w:tcW w:w="1800" w:type="dxa"/>
            <w:shd w:fill="D9EAF7"/>
          </w:tcPr>
          <w:p>
            <w:pPr>
              <w:jc w:val="center"/>
            </w:pPr>
            <w:r>
              <w:rPr>
                <w:b/>
                <w:bCs/>
              </w:rPr>
              <w:t xml:space="preserve">F1</w:t>
            </w:r>
          </w:p>
        </w:tc>
        <w:tc>
          <w:tcPr>
            <w:tcW w:w="1800" w:type="dxa"/>
            <w:shd w:fill="D9EAF7"/>
          </w:tcPr>
          <w:p>
            <w:pPr>
              <w:jc w:val="center"/>
            </w:pPr>
            <w:r>
              <w:rPr>
                <w:b/>
                <w:bCs/>
              </w:rPr>
              <w:t xml:space="preserve">FPR</w:t>
            </w:r>
          </w:p>
        </w:tc>
        <w:tc>
          <w:tcPr>
            <w:tcW w:w="1800" w:type="dxa"/>
            <w:shd w:fill="D9EAF7"/>
          </w:tcPr>
          <w:p>
            <w:pPr>
              <w:jc w:val="center"/>
            </w:pPr>
            <w:r>
              <w:rPr>
                <w:b/>
                <w:bCs/>
              </w:rPr>
              <w:t xml:space="preserve">TP</w:t>
            </w:r>
          </w:p>
        </w:tc>
        <w:tc>
          <w:tcPr>
            <w:tcW w:w="1800" w:type="dxa"/>
            <w:shd w:fill="D9EAF7"/>
          </w:tcPr>
          <w:p>
            <w:pPr>
              <w:jc w:val="center"/>
            </w:pPr>
            <w:r>
              <w:rPr>
                <w:b/>
                <w:bCs/>
              </w:rPr>
              <w:t xml:space="preserve">FP</w:t>
            </w:r>
          </w:p>
        </w:tc>
        <w:tc>
          <w:tcPr>
            <w:tcW w:w="1800" w:type="dxa"/>
            <w:shd w:fill="D9EAF7"/>
          </w:tcPr>
          <w:p>
            <w:pPr>
              <w:jc w:val="center"/>
            </w:pPr>
            <w:r>
              <w:rPr>
                <w:b/>
                <w:bCs/>
              </w:rPr>
              <w:t xml:space="preserve">FN</w:t>
            </w:r>
          </w:p>
        </w:tc>
        <w:tc>
          <w:tcPr>
            <w:tcW w:w="1800" w:type="dxa"/>
            <w:shd w:fill="D9EAF7"/>
          </w:tcPr>
          <w:p>
            <w:pPr>
              <w:jc w:val="center"/>
            </w:pPr>
            <w:r>
              <w:rPr>
                <w:b/>
                <w:bCs/>
              </w:rPr>
              <w:t xml:space="preserve">TN</w:t>
            </w:r>
          </w:p>
        </w:tc>
      </w:tr>
      <w:tr>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NA</w:t>
            </w:r>
          </w:p>
        </w:tc>
        <w:tc>
          <w:tcPr>
            <w:tcW w:w="1800" w:type="dxa"/>
          </w:tcPr>
          <w:p>
            <w:pPr>
              <w:jc w:val="center"/>
            </w:pPr>
            <w:r>
              <w:rPr/>
              <w:t xml:space="preserve">NA</w:t>
            </w:r>
          </w:p>
        </w:tc>
        <w:tc>
          <w:tcPr>
            <w:tcW w:w="1800" w:type="dxa"/>
          </w:tcPr>
          <w:p>
            <w:pPr>
              <w:jc w:val="center"/>
            </w:pPr>
            <w:r>
              <w:rPr/>
              <w:t xml:space="preserve">NA</w:t>
            </w:r>
          </w:p>
        </w:tc>
        <w:tc>
          <w:tcPr>
            <w:tcW w:w="1800" w:type="dxa"/>
          </w:tcPr>
          <w:p>
            <w:pPr>
              <w:jc w:val="center"/>
            </w:pPr>
            <w:r>
              <w:rPr/>
              <w:t xml:space="preserve">0.0000</w:t>
            </w:r>
          </w:p>
        </w:tc>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60</w:t>
            </w:r>
          </w:p>
        </w:tc>
      </w:tr>
      <w:tr>
        <w:tc>
          <w:tcPr>
            <w:tcW w:w="1800" w:type="dxa"/>
          </w:tcPr>
          <w:p>
            <w:pPr>
              <w:jc w:val="center"/>
            </w:pPr>
            <w:r>
              <w:rPr/>
              <w:t xml:space="preserve">10%</w:t>
            </w:r>
          </w:p>
        </w:tc>
        <w:tc>
          <w:tcPr>
            <w:tcW w:w="1800" w:type="dxa"/>
          </w:tcPr>
          <w:p>
            <w:pPr>
              <w:jc w:val="center"/>
            </w:pPr>
            <w:r>
              <w:rPr/>
              <w:t xml:space="preserve">6</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0.0000</w:t>
            </w:r>
          </w:p>
        </w:tc>
        <w:tc>
          <w:tcPr>
            <w:tcW w:w="1800" w:type="dxa"/>
          </w:tcPr>
          <w:p>
            <w:pPr>
              <w:jc w:val="center"/>
            </w:pPr>
            <w:r>
              <w:rPr/>
              <w:t xml:space="preserve">6</w:t>
            </w:r>
          </w:p>
        </w:tc>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54</w:t>
            </w:r>
          </w:p>
        </w:tc>
      </w:tr>
      <w:tr>
        <w:tc>
          <w:tcPr>
            <w:tcW w:w="1800" w:type="dxa"/>
          </w:tcPr>
          <w:p>
            <w:pPr>
              <w:jc w:val="center"/>
            </w:pPr>
            <w:r>
              <w:rPr/>
              <w:t xml:space="preserve">20%</w:t>
            </w:r>
          </w:p>
        </w:tc>
        <w:tc>
          <w:tcPr>
            <w:tcW w:w="1800" w:type="dxa"/>
          </w:tcPr>
          <w:p>
            <w:pPr>
              <w:jc w:val="center"/>
            </w:pPr>
            <w:r>
              <w:rPr/>
              <w:t xml:space="preserve">12</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0.0000</w:t>
            </w:r>
          </w:p>
        </w:tc>
        <w:tc>
          <w:tcPr>
            <w:tcW w:w="1800" w:type="dxa"/>
          </w:tcPr>
          <w:p>
            <w:pPr>
              <w:jc w:val="center"/>
            </w:pPr>
            <w:r>
              <w:rPr/>
              <w:t xml:space="preserve">12</w:t>
            </w:r>
          </w:p>
        </w:tc>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48</w:t>
            </w:r>
          </w:p>
        </w:tc>
      </w:tr>
      <w:tr>
        <w:tc>
          <w:tcPr>
            <w:tcW w:w="1800" w:type="dxa"/>
          </w:tcPr>
          <w:p>
            <w:pPr>
              <w:jc w:val="center"/>
            </w:pPr>
            <w:r>
              <w:rPr/>
              <w:t xml:space="preserve">30%</w:t>
            </w:r>
          </w:p>
        </w:tc>
        <w:tc>
          <w:tcPr>
            <w:tcW w:w="1800" w:type="dxa"/>
          </w:tcPr>
          <w:p>
            <w:pPr>
              <w:jc w:val="center"/>
            </w:pPr>
            <w:r>
              <w:rPr/>
              <w:t xml:space="preserve">18</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1.0000</w:t>
            </w:r>
          </w:p>
        </w:tc>
        <w:tc>
          <w:tcPr>
            <w:tcW w:w="1800" w:type="dxa"/>
          </w:tcPr>
          <w:p>
            <w:pPr>
              <w:jc w:val="center"/>
            </w:pPr>
            <w:r>
              <w:rPr/>
              <w:t xml:space="preserve">0.0000</w:t>
            </w:r>
          </w:p>
        </w:tc>
        <w:tc>
          <w:tcPr>
            <w:tcW w:w="1800" w:type="dxa"/>
          </w:tcPr>
          <w:p>
            <w:pPr>
              <w:jc w:val="center"/>
            </w:pPr>
            <w:r>
              <w:rPr/>
              <w:t xml:space="preserve">18</w:t>
            </w:r>
          </w:p>
        </w:tc>
        <w:tc>
          <w:tcPr>
            <w:tcW w:w="1800" w:type="dxa"/>
          </w:tcPr>
          <w:p>
            <w:pPr>
              <w:jc w:val="center"/>
            </w:pPr>
            <w:r>
              <w:rPr/>
              <w:t xml:space="preserve">0</w:t>
            </w:r>
          </w:p>
        </w:tc>
        <w:tc>
          <w:tcPr>
            <w:tcW w:w="1800" w:type="dxa"/>
          </w:tcPr>
          <w:p>
            <w:pPr>
              <w:jc w:val="center"/>
            </w:pPr>
            <w:r>
              <w:rPr/>
              <w:t xml:space="preserve">0</w:t>
            </w:r>
          </w:p>
        </w:tc>
        <w:tc>
          <w:tcPr>
            <w:tcW w:w="1800" w:type="dxa"/>
          </w:tcPr>
          <w:p>
            <w:pPr>
              <w:jc w:val="center"/>
            </w:pPr>
            <w:r>
              <w:rPr/>
              <w:t xml:space="preserve">42</w:t>
            </w:r>
          </w:p>
        </w:tc>
      </w:tr>
      <w:tr>
        <w:tc>
          <w:tcPr>
            <w:tcW w:w="1800" w:type="dxa"/>
          </w:tcPr>
          <w:p>
            <w:pPr>
              <w:jc w:val="center"/>
            </w:pPr>
            <w:r>
              <w:rPr/>
              <w:t xml:space="preserve">40%</w:t>
            </w:r>
          </w:p>
        </w:tc>
        <w:tc>
          <w:tcPr>
            <w:tcW w:w="1800" w:type="dxa"/>
          </w:tcPr>
          <w:p>
            <w:pPr>
              <w:jc w:val="center"/>
            </w:pPr>
            <w:r>
              <w:rPr/>
              <w:t xml:space="preserve">24</w:t>
            </w:r>
          </w:p>
        </w:tc>
        <w:tc>
          <w:tcPr>
            <w:tcW w:w="1800" w:type="dxa"/>
          </w:tcPr>
          <w:p>
            <w:pPr>
              <w:jc w:val="center"/>
            </w:pPr>
            <w:r>
              <w:rPr/>
              <w:t xml:space="preserve">1.0000</w:t>
            </w:r>
          </w:p>
        </w:tc>
        <w:tc>
          <w:tcPr>
            <w:tcW w:w="1800" w:type="dxa"/>
          </w:tcPr>
          <w:p>
            <w:pPr>
              <w:jc w:val="center"/>
            </w:pPr>
            <w:r>
              <w:rPr/>
              <w:t xml:space="preserve">0.9167</w:t>
            </w:r>
          </w:p>
        </w:tc>
        <w:tc>
          <w:tcPr>
            <w:tcW w:w="1800" w:type="dxa"/>
          </w:tcPr>
          <w:p>
            <w:pPr>
              <w:jc w:val="center"/>
            </w:pPr>
            <w:r>
              <w:rPr/>
              <w:t xml:space="preserve">0.9565</w:t>
            </w:r>
          </w:p>
        </w:tc>
        <w:tc>
          <w:tcPr>
            <w:tcW w:w="1800" w:type="dxa"/>
          </w:tcPr>
          <w:p>
            <w:pPr>
              <w:jc w:val="center"/>
            </w:pPr>
            <w:r>
              <w:rPr/>
              <w:t xml:space="preserve">0.0000</w:t>
            </w:r>
          </w:p>
        </w:tc>
        <w:tc>
          <w:tcPr>
            <w:tcW w:w="1800" w:type="dxa"/>
          </w:tcPr>
          <w:p>
            <w:pPr>
              <w:jc w:val="center"/>
            </w:pPr>
            <w:r>
              <w:rPr/>
              <w:t xml:space="preserve">22</w:t>
            </w:r>
          </w:p>
        </w:tc>
        <w:tc>
          <w:tcPr>
            <w:tcW w:w="1800" w:type="dxa"/>
          </w:tcPr>
          <w:p>
            <w:pPr>
              <w:jc w:val="center"/>
            </w:pPr>
            <w:r>
              <w:rPr/>
              <w:t xml:space="preserve">0</w:t>
            </w:r>
          </w:p>
        </w:tc>
        <w:tc>
          <w:tcPr>
            <w:tcW w:w="1800" w:type="dxa"/>
          </w:tcPr>
          <w:p>
            <w:pPr>
              <w:jc w:val="center"/>
            </w:pPr>
            <w:r>
              <w:rPr/>
              <w:t xml:space="preserve">2</w:t>
            </w:r>
          </w:p>
        </w:tc>
        <w:tc>
          <w:tcPr>
            <w:tcW w:w="1800" w:type="dxa"/>
          </w:tcPr>
          <w:p>
            <w:pPr>
              <w:jc w:val="center"/>
            </w:pPr>
            <w:r>
              <w:rPr/>
              <w:t xml:space="preserve">36</w:t>
            </w:r>
          </w:p>
        </w:tc>
      </w:tr>
    </w:tbl>
    <w:p>
      <w:r>
        <w:t xml:space="preserve">结果显示，在恶意节点比例为 10%、20% 和 30% 时，EETLE 的 Precision、Recall 和 F1 均达到 1.0000，FPR 为 0。在 40% 恶意节点比例下，Precision 仍保持 1.0000，FPR 仍为 0，但 Recall 降至 0.9167，说明高恶意密度下仍存在少量漏检，但正常节点未被误判。</w:t>
      </w:r>
    </w:p>
    <w:p>
      <w:pPr>
        <w:pStyle w:val="Heading2"/>
      </w:pPr>
      <w:r>
        <w:t xml:space="preserve">7.4 信任区分能力分析</w:t>
      </w:r>
    </w:p>
    <w:tbl>
      <w:tblPr>
        <w:tblStyle w:val="TableGrid"/>
        <w:tblW w:w="0" w:type="auto"/>
      </w:tblPr>
      <w:tblGrid>
        <w:gridCol w:w="1800"/>
        <w:gridCol w:w="1800"/>
        <w:gridCol w:w="1800"/>
        <w:gridCol w:w="1800"/>
        <w:gridCol w:w="1800"/>
        <w:gridCol w:w="1800"/>
        <w:gridCol w:w="1800"/>
        <w:gridCol w:w="1800"/>
      </w:tblGrid>
      <w:tr>
        <w:tc>
          <w:tcPr>
            <w:tcW w:w="1800" w:type="dxa"/>
            <w:shd w:fill="D9EAF7"/>
          </w:tcPr>
          <w:p>
            <w:pPr>
              <w:jc w:val="center"/>
            </w:pPr>
            <w:r>
              <w:rPr>
                <w:b/>
                <w:bCs/>
              </w:rPr>
              <w:t xml:space="preserve">恶意比例</w:t>
            </w:r>
          </w:p>
        </w:tc>
        <w:tc>
          <w:tcPr>
            <w:tcW w:w="1800" w:type="dxa"/>
            <w:shd w:fill="D9EAF7"/>
          </w:tcPr>
          <w:p>
            <w:pPr>
              <w:jc w:val="center"/>
            </w:pPr>
            <w:r>
              <w:rPr>
                <w:b/>
                <w:bCs/>
              </w:rPr>
              <w:t xml:space="preserve">正常平均GT</w:t>
            </w:r>
          </w:p>
        </w:tc>
        <w:tc>
          <w:tcPr>
            <w:tcW w:w="1800" w:type="dxa"/>
            <w:shd w:fill="D9EAF7"/>
          </w:tcPr>
          <w:p>
            <w:pPr>
              <w:jc w:val="center"/>
            </w:pPr>
            <w:r>
              <w:rPr>
                <w:b/>
                <w:bCs/>
              </w:rPr>
              <w:t xml:space="preserve">恶意平均GT</w:t>
            </w:r>
          </w:p>
        </w:tc>
        <w:tc>
          <w:tcPr>
            <w:tcW w:w="1800" w:type="dxa"/>
            <w:shd w:fill="D9EAF7"/>
          </w:tcPr>
          <w:p>
            <w:pPr>
              <w:jc w:val="center"/>
            </w:pPr>
            <w:r>
              <w:rPr>
                <w:b/>
                <w:bCs/>
              </w:rPr>
              <w:t xml:space="preserve">黑洞</w:t>
            </w:r>
          </w:p>
        </w:tc>
        <w:tc>
          <w:tcPr>
            <w:tcW w:w="1800" w:type="dxa"/>
            <w:shd w:fill="D9EAF7"/>
          </w:tcPr>
          <w:p>
            <w:pPr>
              <w:jc w:val="center"/>
            </w:pPr>
            <w:r>
              <w:rPr>
                <w:b/>
                <w:bCs/>
              </w:rPr>
              <w:t xml:space="preserve">开关</w:t>
            </w:r>
          </w:p>
        </w:tc>
        <w:tc>
          <w:tcPr>
            <w:tcW w:w="1800" w:type="dxa"/>
            <w:shd w:fill="D9EAF7"/>
          </w:tcPr>
          <w:p>
            <w:pPr>
              <w:jc w:val="center"/>
            </w:pPr>
            <w:r>
              <w:rPr>
                <w:b/>
                <w:bCs/>
              </w:rPr>
              <w:t xml:space="preserve">虚假事件</w:t>
            </w:r>
          </w:p>
        </w:tc>
        <w:tc>
          <w:tcPr>
            <w:tcW w:w="1800" w:type="dxa"/>
            <w:shd w:fill="D9EAF7"/>
          </w:tcPr>
          <w:p>
            <w:pPr>
              <w:jc w:val="center"/>
            </w:pPr>
            <w:r>
              <w:rPr>
                <w:b/>
                <w:bCs/>
              </w:rPr>
              <w:t xml:space="preserve">环境隐蔽</w:t>
            </w:r>
          </w:p>
        </w:tc>
        <w:tc>
          <w:tcPr>
            <w:tcW w:w="1800" w:type="dxa"/>
            <w:shd w:fill="D9EAF7"/>
          </w:tcPr>
          <w:p>
            <w:pPr>
              <w:jc w:val="center"/>
            </w:pPr>
            <w:r>
              <w:rPr>
                <w:b/>
                <w:bCs/>
              </w:rPr>
              <w:t xml:space="preserve">跨域</w:t>
            </w:r>
          </w:p>
        </w:tc>
      </w:tr>
      <w:tr>
        <w:tc>
          <w:tcPr>
            <w:tcW w:w="1800" w:type="dxa"/>
          </w:tcPr>
          <w:p>
            <w:pPr>
              <w:jc w:val="center"/>
            </w:pPr>
            <w:r>
              <w:rPr/>
              <w:t xml:space="preserve">10%</w:t>
            </w:r>
          </w:p>
        </w:tc>
        <w:tc>
          <w:tcPr>
            <w:tcW w:w="1800" w:type="dxa"/>
          </w:tcPr>
          <w:p>
            <w:pPr>
              <w:jc w:val="center"/>
            </w:pPr>
            <w:r>
              <w:rPr/>
              <w:t xml:space="preserve">0.7391</w:t>
            </w:r>
          </w:p>
        </w:tc>
        <w:tc>
          <w:tcPr>
            <w:tcW w:w="1800" w:type="dxa"/>
          </w:tcPr>
          <w:p>
            <w:pPr>
              <w:jc w:val="center"/>
            </w:pPr>
            <w:r>
              <w:rPr/>
              <w:t xml:space="preserve">0.3510</w:t>
            </w:r>
          </w:p>
        </w:tc>
        <w:tc>
          <w:tcPr>
            <w:tcW w:w="1800" w:type="dxa"/>
          </w:tcPr>
          <w:p>
            <w:pPr>
              <w:jc w:val="center"/>
            </w:pPr>
            <w:r>
              <w:rPr/>
              <w:t xml:space="preserve">0.3846</w:t>
            </w:r>
          </w:p>
        </w:tc>
        <w:tc>
          <w:tcPr>
            <w:tcW w:w="1800" w:type="dxa"/>
          </w:tcPr>
          <w:p>
            <w:pPr>
              <w:jc w:val="center"/>
            </w:pPr>
            <w:r>
              <w:rPr/>
              <w:t xml:space="preserve">0.1204</w:t>
            </w:r>
          </w:p>
        </w:tc>
        <w:tc>
          <w:tcPr>
            <w:tcW w:w="1800" w:type="dxa"/>
          </w:tcPr>
          <w:p>
            <w:pPr>
              <w:jc w:val="center"/>
            </w:pPr>
            <w:r>
              <w:rPr/>
              <w:t xml:space="preserve">0.0789</w:t>
            </w:r>
          </w:p>
        </w:tc>
        <w:tc>
          <w:tcPr>
            <w:tcW w:w="1800" w:type="dxa"/>
          </w:tcPr>
          <w:p>
            <w:pPr>
              <w:jc w:val="center"/>
            </w:pPr>
            <w:r>
              <w:rPr/>
              <w:t xml:space="preserve">0.7385</w:t>
            </w:r>
          </w:p>
        </w:tc>
        <w:tc>
          <w:tcPr>
            <w:tcW w:w="1800" w:type="dxa"/>
          </w:tcPr>
          <w:p>
            <w:pPr>
              <w:jc w:val="center"/>
            </w:pPr>
            <w:r>
              <w:rPr/>
              <w:t xml:space="preserve">0.3990</w:t>
            </w:r>
          </w:p>
        </w:tc>
      </w:tr>
      <w:tr>
        <w:tc>
          <w:tcPr>
            <w:tcW w:w="1800" w:type="dxa"/>
          </w:tcPr>
          <w:p>
            <w:pPr>
              <w:jc w:val="center"/>
            </w:pPr>
            <w:r>
              <w:rPr/>
              <w:t xml:space="preserve">20%</w:t>
            </w:r>
          </w:p>
        </w:tc>
        <w:tc>
          <w:tcPr>
            <w:tcW w:w="1800" w:type="dxa"/>
          </w:tcPr>
          <w:p>
            <w:pPr>
              <w:jc w:val="center"/>
            </w:pPr>
            <w:r>
              <w:rPr/>
              <w:t xml:space="preserve">0.7378</w:t>
            </w:r>
          </w:p>
        </w:tc>
        <w:tc>
          <w:tcPr>
            <w:tcW w:w="1800" w:type="dxa"/>
          </w:tcPr>
          <w:p>
            <w:pPr>
              <w:jc w:val="center"/>
            </w:pPr>
            <w:r>
              <w:rPr/>
              <w:t xml:space="preserve">0.3321</w:t>
            </w:r>
          </w:p>
        </w:tc>
        <w:tc>
          <w:tcPr>
            <w:tcW w:w="1800" w:type="dxa"/>
          </w:tcPr>
          <w:p>
            <w:pPr>
              <w:jc w:val="center"/>
            </w:pPr>
            <w:r>
              <w:rPr/>
              <w:t xml:space="preserve">0.3900</w:t>
            </w:r>
          </w:p>
        </w:tc>
        <w:tc>
          <w:tcPr>
            <w:tcW w:w="1800" w:type="dxa"/>
          </w:tcPr>
          <w:p>
            <w:pPr>
              <w:jc w:val="center"/>
            </w:pPr>
            <w:r>
              <w:rPr/>
              <w:t xml:space="preserve">0.1291</w:t>
            </w:r>
          </w:p>
        </w:tc>
        <w:tc>
          <w:tcPr>
            <w:tcW w:w="1800" w:type="dxa"/>
          </w:tcPr>
          <w:p>
            <w:pPr>
              <w:jc w:val="center"/>
            </w:pPr>
            <w:r>
              <w:rPr/>
              <w:t xml:space="preserve">0.0864</w:t>
            </w:r>
          </w:p>
        </w:tc>
        <w:tc>
          <w:tcPr>
            <w:tcW w:w="1800" w:type="dxa"/>
          </w:tcPr>
          <w:p>
            <w:pPr>
              <w:jc w:val="center"/>
            </w:pPr>
            <w:r>
              <w:rPr/>
              <w:t xml:space="preserve">0.7289</w:t>
            </w:r>
          </w:p>
        </w:tc>
        <w:tc>
          <w:tcPr>
            <w:tcW w:w="1800" w:type="dxa"/>
          </w:tcPr>
          <w:p>
            <w:pPr>
              <w:jc w:val="center"/>
            </w:pPr>
            <w:r>
              <w:rPr/>
              <w:t xml:space="preserve">0.3988</w:t>
            </w:r>
          </w:p>
        </w:tc>
      </w:tr>
      <w:tr>
        <w:tc>
          <w:tcPr>
            <w:tcW w:w="1800" w:type="dxa"/>
          </w:tcPr>
          <w:p>
            <w:pPr>
              <w:jc w:val="center"/>
            </w:pPr>
            <w:r>
              <w:rPr/>
              <w:t xml:space="preserve">30%</w:t>
            </w:r>
          </w:p>
        </w:tc>
        <w:tc>
          <w:tcPr>
            <w:tcW w:w="1800" w:type="dxa"/>
          </w:tcPr>
          <w:p>
            <w:pPr>
              <w:jc w:val="center"/>
            </w:pPr>
            <w:r>
              <w:rPr/>
              <w:t xml:space="preserve">0.7401</w:t>
            </w:r>
          </w:p>
        </w:tc>
        <w:tc>
          <w:tcPr>
            <w:tcW w:w="1800" w:type="dxa"/>
          </w:tcPr>
          <w:p>
            <w:pPr>
              <w:jc w:val="center"/>
            </w:pPr>
            <w:r>
              <w:rPr/>
              <w:t xml:space="preserve">0.3391</w:t>
            </w:r>
          </w:p>
        </w:tc>
        <w:tc>
          <w:tcPr>
            <w:tcW w:w="1800" w:type="dxa"/>
          </w:tcPr>
          <w:p>
            <w:pPr>
              <w:jc w:val="center"/>
            </w:pPr>
            <w:r>
              <w:rPr/>
              <w:t xml:space="preserve">0.3951</w:t>
            </w:r>
          </w:p>
        </w:tc>
        <w:tc>
          <w:tcPr>
            <w:tcW w:w="1800" w:type="dxa"/>
          </w:tcPr>
          <w:p>
            <w:pPr>
              <w:jc w:val="center"/>
            </w:pPr>
            <w:r>
              <w:rPr/>
              <w:t xml:space="preserve">0.1370</w:t>
            </w:r>
          </w:p>
        </w:tc>
        <w:tc>
          <w:tcPr>
            <w:tcW w:w="1800" w:type="dxa"/>
          </w:tcPr>
          <w:p>
            <w:pPr>
              <w:jc w:val="center"/>
            </w:pPr>
            <w:r>
              <w:rPr/>
              <w:t xml:space="preserve">0.1303</w:t>
            </w:r>
          </w:p>
        </w:tc>
        <w:tc>
          <w:tcPr>
            <w:tcW w:w="1800" w:type="dxa"/>
          </w:tcPr>
          <w:p>
            <w:pPr>
              <w:jc w:val="center"/>
            </w:pPr>
            <w:r>
              <w:rPr/>
              <w:t xml:space="preserve">0.7555</w:t>
            </w:r>
          </w:p>
        </w:tc>
        <w:tc>
          <w:tcPr>
            <w:tcW w:w="1800" w:type="dxa"/>
          </w:tcPr>
          <w:p>
            <w:pPr>
              <w:jc w:val="center"/>
            </w:pPr>
            <w:r>
              <w:rPr/>
              <w:t xml:space="preserve">0.3959</w:t>
            </w:r>
          </w:p>
        </w:tc>
      </w:tr>
      <w:tr>
        <w:tc>
          <w:tcPr>
            <w:tcW w:w="1800" w:type="dxa"/>
          </w:tcPr>
          <w:p>
            <w:pPr>
              <w:jc w:val="center"/>
            </w:pPr>
            <w:r>
              <w:rPr/>
              <w:t xml:space="preserve">40%</w:t>
            </w:r>
          </w:p>
        </w:tc>
        <w:tc>
          <w:tcPr>
            <w:tcW w:w="1800" w:type="dxa"/>
          </w:tcPr>
          <w:p>
            <w:pPr>
              <w:jc w:val="center"/>
            </w:pPr>
            <w:r>
              <w:rPr/>
              <w:t xml:space="preserve">0.7456</w:t>
            </w:r>
          </w:p>
        </w:tc>
        <w:tc>
          <w:tcPr>
            <w:tcW w:w="1800" w:type="dxa"/>
          </w:tcPr>
          <w:p>
            <w:pPr>
              <w:jc w:val="center"/>
            </w:pPr>
            <w:r>
              <w:rPr/>
              <w:t xml:space="preserve">0.3740</w:t>
            </w:r>
          </w:p>
        </w:tc>
        <w:tc>
          <w:tcPr>
            <w:tcW w:w="1800" w:type="dxa"/>
          </w:tcPr>
          <w:p>
            <w:pPr>
              <w:jc w:val="center"/>
            </w:pPr>
            <w:r>
              <w:rPr/>
              <w:t xml:space="preserve">0.3971</w:t>
            </w:r>
          </w:p>
        </w:tc>
        <w:tc>
          <w:tcPr>
            <w:tcW w:w="1800" w:type="dxa"/>
          </w:tcPr>
          <w:p>
            <w:pPr>
              <w:jc w:val="center"/>
            </w:pPr>
            <w:r>
              <w:rPr/>
              <w:t xml:space="preserve">0.1425</w:t>
            </w:r>
          </w:p>
        </w:tc>
        <w:tc>
          <w:tcPr>
            <w:tcW w:w="1800" w:type="dxa"/>
          </w:tcPr>
          <w:p>
            <w:pPr>
              <w:jc w:val="center"/>
            </w:pPr>
            <w:r>
              <w:rPr/>
              <w:t xml:space="preserve">0.1588</w:t>
            </w:r>
          </w:p>
        </w:tc>
        <w:tc>
          <w:tcPr>
            <w:tcW w:w="1800" w:type="dxa"/>
          </w:tcPr>
          <w:p>
            <w:pPr>
              <w:jc w:val="center"/>
            </w:pPr>
            <w:r>
              <w:rPr/>
              <w:t xml:space="preserve">0.7865</w:t>
            </w:r>
          </w:p>
        </w:tc>
        <w:tc>
          <w:tcPr>
            <w:tcW w:w="1800" w:type="dxa"/>
          </w:tcPr>
          <w:p>
            <w:pPr>
              <w:jc w:val="center"/>
            </w:pPr>
            <w:r>
              <w:rPr/>
              <w:t xml:space="preserve">0.3880</w:t>
            </w:r>
          </w:p>
        </w:tc>
      </w:tr>
    </w:tbl>
    <w:p>
      <w:r>
        <w:t xml:space="preserve">正常节点平均全局信任稳定保持在 0.7378-0.7456 区间，而恶意节点平均全局信任处于 0.3321-0.3740 区间，二者形成明显区分。需要说明的是，EETLE 的全局信任值不是节点正常概率，而是同时考虑可信度、环境不确定性、认知不确定性和不可信度后的保守型安全评分。因此，在灾后链路波动和观测不充分条件下，正常节点信任值不必趋近于 1。实验中正常节点与恶意节点之间的信任间隔和 0 误判率更能体现模型有效性。</w:t>
      </w:r>
    </w:p>
    <w:p>
      <w:r>
        <w:t xml:space="preserve">环境隐蔽攻击节点在部分实验轮次中仍保持较高的平均全局信任值，这并不意味着模型无法识别该类攻击，而是与 EETLE 的环境归因设计有关。本文的本地信任标量映射采用 LT_ij=(T_ij+alpha_C C_ij+alpha_E E_ij)/(T_ij+alpha_C C_ij+alpha_E E_ij+alpha_D D_ij)。其中，E_ij 表示环境不确定性，D_ij 表示不可信度。与 D_ij 不同，E_ij 表示交互失败可能由链路中断、干扰增强或遮挡等环境因素导致，因此不应被直接视为恶意证据。特别是在灾后复杂链路环境中，若将高 p_out 条件下的所有失败均计入不可信度，会显著提高正常节点的误判率。为此，EETLE 通过 EATR 机制将部分不可信质量由 D_ij 转移至 E_ij，从而实现环境失败与恶意失败的概率区分。</w:t>
      </w:r>
    </w:p>
    <w:p>
      <w:r>
        <w:t xml:space="preserve">然而，环境隐蔽攻击节点正是利用这一特点，在高链路中断概率条件下集中发动攻击，使其部分恶意失败被归入环境不确定性。由于环境不确定性在标量信任映射中以 alpha_E E_ij 的形式进入分子，因此仅从全局信任 GT 观察时，环境隐蔽攻击节点的信任下降并不一定像黑洞攻击或虚假消息注入攻击那样明显。该现象说明，环境隐蔽攻击具有较强的信任伪装性，不能仅依赖单一 GT 阈值进行判断。</w:t>
      </w:r>
    </w:p>
    <w:p>
      <w:r>
        <w:t xml:space="preserve">因此，EETLE 对环境隐蔽攻击采用联合检测策略，即在全局信任评估之外进一步引入高环境失败集中度和环境风险指标。当节点长期在高 p_out 条件下出现异常失败时，环境隐蔽攻击风险逐渐升高，模型会将部分环境不确定性或认知不确定性重新转移至不可信度，并在检测阶段采用判定规则 GT_j &lt; theta_T 或 Risk_j &gt; theta_R。也就是说，节点只要满足低全局信任或高环境风险中的任一条件，即可被判定为可疑节点。该设计既避免了将正常节点在恶劣链路下的偶发失败误判为恶意行为，又能够识别长期利用环境异常隐藏攻击的节点。</w:t>
      </w:r>
    </w:p>
    <w:p>
      <w:r>
        <w:t xml:space="preserve">在本组实验末期，环境隐蔽攻击节点 52-55 的全局信任分别约为 0.7516、0.7442、0.7480 和 0.7655，单从 GT 观察并不低；但其环境隐蔽风险均达到 1.0000，且总失败证据分别为 3、5、7 和 6，满足环境风险检测阈值与最小证据要求。因此，这些节点最终均被标记为 predictedMalicious=true。该结果说明，环境隐蔽攻击节点的识别并不依赖其 GT 必须下降到较低水平，而是依赖“全局信任 + 环境风险”的联合判定。换言之，较高的环境隐蔽攻击 GT 反映了该攻击类型的伪装性，而 Risk 指标刻画了其失败行为在高 p_out 条件下的异常集中性。</w:t>
      </w:r>
    </w:p>
    <w:p>
      <w:pPr>
        <w:pStyle w:val="Heading2"/>
      </w:pPr>
      <w:r>
        <w:t xml:space="preserve">7.5 网络传输性能与 Leader 安全选举</w:t>
      </w:r>
    </w:p>
    <w:tbl>
      <w:tblPr>
        <w:tblStyle w:val="TableGrid"/>
        <w:tblW w:w="0" w:type="auto"/>
      </w:tblPr>
      <w:tblGrid>
        <w:gridCol w:w="1800"/>
        <w:gridCol w:w="1800"/>
        <w:gridCol w:w="1800"/>
        <w:gridCol w:w="1800"/>
        <w:gridCol w:w="1800"/>
        <w:gridCol w:w="1800"/>
        <w:gridCol w:w="1800"/>
        <w:gridCol w:w="1800"/>
      </w:tblGrid>
      <w:tr>
        <w:tc>
          <w:tcPr>
            <w:tcW w:w="1800" w:type="dxa"/>
            <w:shd w:fill="D9EAF7"/>
          </w:tcPr>
          <w:p>
            <w:pPr>
              <w:jc w:val="center"/>
            </w:pPr>
            <w:r>
              <w:rPr>
                <w:b/>
                <w:bCs/>
              </w:rPr>
              <w:t xml:space="preserve">恶意比例</w:t>
            </w:r>
          </w:p>
        </w:tc>
        <w:tc>
          <w:tcPr>
            <w:tcW w:w="1800" w:type="dxa"/>
            <w:shd w:fill="D9EAF7"/>
          </w:tcPr>
          <w:p>
            <w:pPr>
              <w:jc w:val="center"/>
            </w:pPr>
            <w:r>
              <w:rPr>
                <w:b/>
                <w:bCs/>
              </w:rPr>
              <w:t xml:space="preserve">投递率</w:t>
            </w:r>
          </w:p>
        </w:tc>
        <w:tc>
          <w:tcPr>
            <w:tcW w:w="1800" w:type="dxa"/>
            <w:shd w:fill="D9EAF7"/>
          </w:tcPr>
          <w:p>
            <w:pPr>
              <w:jc w:val="center"/>
            </w:pPr>
            <w:r>
              <w:rPr>
                <w:b/>
                <w:bCs/>
              </w:rPr>
              <w:t xml:space="preserve">开销比</w:t>
            </w:r>
          </w:p>
        </w:tc>
        <w:tc>
          <w:tcPr>
            <w:tcW w:w="1800" w:type="dxa"/>
            <w:shd w:fill="D9EAF7"/>
          </w:tcPr>
          <w:p>
            <w:pPr>
              <w:jc w:val="center"/>
            </w:pPr>
            <w:r>
              <w:rPr>
                <w:b/>
                <w:bCs/>
              </w:rPr>
              <w:t xml:space="preserve">平均时延</w:t>
            </w:r>
          </w:p>
        </w:tc>
        <w:tc>
          <w:tcPr>
            <w:tcW w:w="1800" w:type="dxa"/>
            <w:shd w:fill="D9EAF7"/>
          </w:tcPr>
          <w:p>
            <w:pPr>
              <w:jc w:val="center"/>
            </w:pPr>
            <w:r>
              <w:rPr>
                <w:b/>
                <w:bCs/>
              </w:rPr>
              <w:t xml:space="preserve">Leader切换</w:t>
            </w:r>
          </w:p>
        </w:tc>
        <w:tc>
          <w:tcPr>
            <w:tcW w:w="1800" w:type="dxa"/>
            <w:shd w:fill="D9EAF7"/>
          </w:tcPr>
          <w:p>
            <w:pPr>
              <w:jc w:val="center"/>
            </w:pPr>
            <w:r>
              <w:rPr>
                <w:b/>
                <w:bCs/>
              </w:rPr>
              <w:t xml:space="preserve">恶意Leader</w:t>
            </w:r>
          </w:p>
        </w:tc>
        <w:tc>
          <w:tcPr>
            <w:tcW w:w="1800" w:type="dxa"/>
            <w:shd w:fill="D9EAF7"/>
          </w:tcPr>
          <w:p>
            <w:pPr>
              <w:jc w:val="center"/>
            </w:pPr>
            <w:r>
              <w:rPr>
                <w:b/>
                <w:bCs/>
              </w:rPr>
              <w:t xml:space="preserve">正常Leader比例</w:t>
            </w:r>
          </w:p>
        </w:tc>
        <w:tc>
          <w:tcPr>
            <w:tcW w:w="1800" w:type="dxa"/>
            <w:shd w:fill="D9EAF7"/>
          </w:tcPr>
          <w:p>
            <w:pPr>
              <w:jc w:val="center"/>
            </w:pPr>
            <w:r>
              <w:rPr>
                <w:b/>
                <w:bCs/>
              </w:rPr>
              <w:t xml:space="preserve">最终Leader类型</w:t>
            </w:r>
          </w:p>
        </w:tc>
      </w:tr>
      <w:tr>
        <w:tc>
          <w:tcPr>
            <w:tcW w:w="1800" w:type="dxa"/>
          </w:tcPr>
          <w:p>
            <w:pPr>
              <w:jc w:val="center"/>
            </w:pPr>
            <w:r>
              <w:rPr/>
              <w:t xml:space="preserve">0%</w:t>
            </w:r>
          </w:p>
        </w:tc>
        <w:tc>
          <w:tcPr>
            <w:tcW w:w="1800" w:type="dxa"/>
          </w:tcPr>
          <w:p>
            <w:pPr>
              <w:jc w:val="center"/>
            </w:pPr>
            <w:r>
              <w:rPr/>
              <w:t xml:space="preserve">1.0000</w:t>
            </w:r>
          </w:p>
        </w:tc>
        <w:tc>
          <w:tcPr>
            <w:tcW w:w="1800" w:type="dxa"/>
          </w:tcPr>
          <w:p>
            <w:pPr>
              <w:jc w:val="center"/>
            </w:pPr>
            <w:r>
              <w:rPr/>
              <w:t xml:space="preserve">58.8466</w:t>
            </w:r>
          </w:p>
        </w:tc>
        <w:tc>
          <w:tcPr>
            <w:tcW w:w="1800" w:type="dxa"/>
          </w:tcPr>
          <w:p>
            <w:pPr>
              <w:jc w:val="center"/>
            </w:pPr>
            <w:r>
              <w:rPr/>
              <w:t xml:space="preserve">20.2861</w:t>
            </w:r>
          </w:p>
        </w:tc>
        <w:tc>
          <w:tcPr>
            <w:tcW w:w="1800" w:type="dxa"/>
          </w:tcPr>
          <w:p>
            <w:pPr>
              <w:jc w:val="center"/>
            </w:pPr>
            <w:r>
              <w:rPr/>
              <w:t xml:space="preserve">44</w:t>
            </w:r>
          </w:p>
        </w:tc>
        <w:tc>
          <w:tcPr>
            <w:tcW w:w="1800" w:type="dxa"/>
          </w:tcPr>
          <w:p>
            <w:pPr>
              <w:jc w:val="center"/>
            </w:pPr>
            <w:r>
              <w:rPr/>
              <w:t xml:space="preserve">0</w:t>
            </w:r>
          </w:p>
        </w:tc>
        <w:tc>
          <w:tcPr>
            <w:tcW w:w="1800" w:type="dxa"/>
          </w:tcPr>
          <w:p>
            <w:pPr>
              <w:jc w:val="center"/>
            </w:pPr>
            <w:r>
              <w:rPr/>
              <w:t xml:space="preserve">1.0000</w:t>
            </w:r>
          </w:p>
        </w:tc>
        <w:tc>
          <w:tcPr>
            <w:tcW w:w="1800" w:type="dxa"/>
          </w:tcPr>
          <w:p>
            <w:pPr>
              <w:jc w:val="center"/>
            </w:pPr>
            <w:r>
              <w:rPr/>
              <w:t xml:space="preserve">NORMAL</w:t>
            </w:r>
          </w:p>
        </w:tc>
      </w:tr>
      <w:tr>
        <w:tc>
          <w:tcPr>
            <w:tcW w:w="1800" w:type="dxa"/>
          </w:tcPr>
          <w:p>
            <w:pPr>
              <w:jc w:val="center"/>
            </w:pPr>
            <w:r>
              <w:rPr/>
              <w:t xml:space="preserve">10%</w:t>
            </w:r>
          </w:p>
        </w:tc>
        <w:tc>
          <w:tcPr>
            <w:tcW w:w="1800" w:type="dxa"/>
          </w:tcPr>
          <w:p>
            <w:pPr>
              <w:jc w:val="center"/>
            </w:pPr>
            <w:r>
              <w:rPr/>
              <w:t xml:space="preserve">0.9941</w:t>
            </w:r>
          </w:p>
        </w:tc>
        <w:tc>
          <w:tcPr>
            <w:tcW w:w="1800" w:type="dxa"/>
          </w:tcPr>
          <w:p>
            <w:pPr>
              <w:jc w:val="center"/>
            </w:pPr>
            <w:r>
              <w:rPr/>
              <w:t xml:space="preserve">56.1306</w:t>
            </w:r>
          </w:p>
        </w:tc>
        <w:tc>
          <w:tcPr>
            <w:tcW w:w="1800" w:type="dxa"/>
          </w:tcPr>
          <w:p>
            <w:pPr>
              <w:jc w:val="center"/>
            </w:pPr>
            <w:r>
              <w:rPr/>
              <w:t xml:space="preserve">20.7656</w:t>
            </w:r>
          </w:p>
        </w:tc>
        <w:tc>
          <w:tcPr>
            <w:tcW w:w="1800" w:type="dxa"/>
          </w:tcPr>
          <w:p>
            <w:pPr>
              <w:jc w:val="center"/>
            </w:pPr>
            <w:r>
              <w:rPr/>
              <w:t xml:space="preserve">41</w:t>
            </w:r>
          </w:p>
        </w:tc>
        <w:tc>
          <w:tcPr>
            <w:tcW w:w="1800" w:type="dxa"/>
          </w:tcPr>
          <w:p>
            <w:pPr>
              <w:jc w:val="center"/>
            </w:pPr>
            <w:r>
              <w:rPr/>
              <w:t xml:space="preserve">2</w:t>
            </w:r>
          </w:p>
        </w:tc>
        <w:tc>
          <w:tcPr>
            <w:tcW w:w="1800" w:type="dxa"/>
          </w:tcPr>
          <w:p>
            <w:pPr>
              <w:jc w:val="center"/>
            </w:pPr>
            <w:r>
              <w:rPr/>
              <w:t xml:space="preserve">0.9800</w:t>
            </w:r>
          </w:p>
        </w:tc>
        <w:tc>
          <w:tcPr>
            <w:tcW w:w="1800" w:type="dxa"/>
          </w:tcPr>
          <w:p>
            <w:pPr>
              <w:jc w:val="center"/>
            </w:pPr>
            <w:r>
              <w:rPr/>
              <w:t xml:space="preserve">NORMAL</w:t>
            </w:r>
          </w:p>
        </w:tc>
      </w:tr>
      <w:tr>
        <w:tc>
          <w:tcPr>
            <w:tcW w:w="1800" w:type="dxa"/>
          </w:tcPr>
          <w:p>
            <w:pPr>
              <w:jc w:val="center"/>
            </w:pPr>
            <w:r>
              <w:rPr/>
              <w:t xml:space="preserve">20%</w:t>
            </w:r>
          </w:p>
        </w:tc>
        <w:tc>
          <w:tcPr>
            <w:tcW w:w="1800" w:type="dxa"/>
          </w:tcPr>
          <w:p>
            <w:pPr>
              <w:jc w:val="center"/>
            </w:pPr>
            <w:r>
              <w:rPr/>
              <w:t xml:space="preserve">1.0000</w:t>
            </w:r>
          </w:p>
        </w:tc>
        <w:tc>
          <w:tcPr>
            <w:tcW w:w="1800" w:type="dxa"/>
          </w:tcPr>
          <w:p>
            <w:pPr>
              <w:jc w:val="center"/>
            </w:pPr>
            <w:r>
              <w:rPr/>
              <w:t xml:space="preserve">52.8702</w:t>
            </w:r>
          </w:p>
        </w:tc>
        <w:tc>
          <w:tcPr>
            <w:tcW w:w="1800" w:type="dxa"/>
          </w:tcPr>
          <w:p>
            <w:pPr>
              <w:jc w:val="center"/>
            </w:pPr>
            <w:r>
              <w:rPr/>
              <w:t xml:space="preserve">20.1652</w:t>
            </w:r>
          </w:p>
        </w:tc>
        <w:tc>
          <w:tcPr>
            <w:tcW w:w="1800" w:type="dxa"/>
          </w:tcPr>
          <w:p>
            <w:pPr>
              <w:jc w:val="center"/>
            </w:pPr>
            <w:r>
              <w:rPr/>
              <w:t xml:space="preserve">48</w:t>
            </w:r>
          </w:p>
        </w:tc>
        <w:tc>
          <w:tcPr>
            <w:tcW w:w="1800" w:type="dxa"/>
          </w:tcPr>
          <w:p>
            <w:pPr>
              <w:jc w:val="center"/>
            </w:pPr>
            <w:r>
              <w:rPr/>
              <w:t xml:space="preserve">2</w:t>
            </w:r>
          </w:p>
        </w:tc>
        <w:tc>
          <w:tcPr>
            <w:tcW w:w="1800" w:type="dxa"/>
          </w:tcPr>
          <w:p>
            <w:pPr>
              <w:jc w:val="center"/>
            </w:pPr>
            <w:r>
              <w:rPr/>
              <w:t xml:space="preserve">0.9800</w:t>
            </w:r>
          </w:p>
        </w:tc>
        <w:tc>
          <w:tcPr>
            <w:tcW w:w="1800" w:type="dxa"/>
          </w:tcPr>
          <w:p>
            <w:pPr>
              <w:jc w:val="center"/>
            </w:pPr>
            <w:r>
              <w:rPr/>
              <w:t xml:space="preserve">NORMAL</w:t>
            </w:r>
          </w:p>
        </w:tc>
      </w:tr>
      <w:tr>
        <w:tc>
          <w:tcPr>
            <w:tcW w:w="1800" w:type="dxa"/>
          </w:tcPr>
          <w:p>
            <w:pPr>
              <w:jc w:val="center"/>
            </w:pPr>
            <w:r>
              <w:rPr/>
              <w:t xml:space="preserve">30%</w:t>
            </w:r>
          </w:p>
        </w:tc>
        <w:tc>
          <w:tcPr>
            <w:tcW w:w="1800" w:type="dxa"/>
          </w:tcPr>
          <w:p>
            <w:pPr>
              <w:jc w:val="center"/>
            </w:pPr>
            <w:r>
              <w:rPr/>
              <w:t xml:space="preserve">1.0000</w:t>
            </w:r>
          </w:p>
        </w:tc>
        <w:tc>
          <w:tcPr>
            <w:tcW w:w="1800" w:type="dxa"/>
          </w:tcPr>
          <w:p>
            <w:pPr>
              <w:jc w:val="center"/>
            </w:pPr>
            <w:r>
              <w:rPr/>
              <w:t xml:space="preserve">51.7522</w:t>
            </w:r>
          </w:p>
        </w:tc>
        <w:tc>
          <w:tcPr>
            <w:tcW w:w="1800" w:type="dxa"/>
          </w:tcPr>
          <w:p>
            <w:pPr>
              <w:jc w:val="center"/>
            </w:pPr>
            <w:r>
              <w:rPr/>
              <w:t xml:space="preserve">21.4985</w:t>
            </w:r>
          </w:p>
        </w:tc>
        <w:tc>
          <w:tcPr>
            <w:tcW w:w="1800" w:type="dxa"/>
          </w:tcPr>
          <w:p>
            <w:pPr>
              <w:jc w:val="center"/>
            </w:pPr>
            <w:r>
              <w:rPr/>
              <w:t xml:space="preserve">44</w:t>
            </w:r>
          </w:p>
        </w:tc>
        <w:tc>
          <w:tcPr>
            <w:tcW w:w="1800" w:type="dxa"/>
          </w:tcPr>
          <w:p>
            <w:pPr>
              <w:jc w:val="center"/>
            </w:pPr>
            <w:r>
              <w:rPr/>
              <w:t xml:space="preserve">1</w:t>
            </w:r>
          </w:p>
        </w:tc>
        <w:tc>
          <w:tcPr>
            <w:tcW w:w="1800" w:type="dxa"/>
          </w:tcPr>
          <w:p>
            <w:pPr>
              <w:jc w:val="center"/>
            </w:pPr>
            <w:r>
              <w:rPr/>
              <w:t xml:space="preserve">0.9900</w:t>
            </w:r>
          </w:p>
        </w:tc>
        <w:tc>
          <w:tcPr>
            <w:tcW w:w="1800" w:type="dxa"/>
          </w:tcPr>
          <w:p>
            <w:pPr>
              <w:jc w:val="center"/>
            </w:pPr>
            <w:r>
              <w:rPr/>
              <w:t xml:space="preserve">NORMAL</w:t>
            </w:r>
          </w:p>
        </w:tc>
      </w:tr>
      <w:tr>
        <w:tc>
          <w:tcPr>
            <w:tcW w:w="1800" w:type="dxa"/>
          </w:tcPr>
          <w:p>
            <w:pPr>
              <w:jc w:val="center"/>
            </w:pPr>
            <w:r>
              <w:rPr/>
              <w:t xml:space="preserve">40%</w:t>
            </w:r>
          </w:p>
        </w:tc>
        <w:tc>
          <w:tcPr>
            <w:tcW w:w="1800" w:type="dxa"/>
          </w:tcPr>
          <w:p>
            <w:pPr>
              <w:jc w:val="center"/>
            </w:pPr>
            <w:r>
              <w:rPr/>
              <w:t xml:space="preserve">1.0000</w:t>
            </w:r>
          </w:p>
        </w:tc>
        <w:tc>
          <w:tcPr>
            <w:tcW w:w="1800" w:type="dxa"/>
          </w:tcPr>
          <w:p>
            <w:pPr>
              <w:jc w:val="center"/>
            </w:pPr>
            <w:r>
              <w:rPr/>
              <w:t xml:space="preserve">50.8909</w:t>
            </w:r>
          </w:p>
        </w:tc>
        <w:tc>
          <w:tcPr>
            <w:tcW w:w="1800" w:type="dxa"/>
          </w:tcPr>
          <w:p>
            <w:pPr>
              <w:jc w:val="center"/>
            </w:pPr>
            <w:r>
              <w:rPr/>
              <w:t xml:space="preserve">20.4277</w:t>
            </w:r>
          </w:p>
        </w:tc>
        <w:tc>
          <w:tcPr>
            <w:tcW w:w="1800" w:type="dxa"/>
          </w:tcPr>
          <w:p>
            <w:pPr>
              <w:jc w:val="center"/>
            </w:pPr>
            <w:r>
              <w:rPr/>
              <w:t xml:space="preserve">39</w:t>
            </w:r>
          </w:p>
        </w:tc>
        <w:tc>
          <w:tcPr>
            <w:tcW w:w="1800" w:type="dxa"/>
          </w:tcPr>
          <w:p>
            <w:pPr>
              <w:jc w:val="center"/>
            </w:pPr>
            <w:r>
              <w:rPr/>
              <w:t xml:space="preserve">19</w:t>
            </w:r>
          </w:p>
        </w:tc>
        <w:tc>
          <w:tcPr>
            <w:tcW w:w="1800" w:type="dxa"/>
          </w:tcPr>
          <w:p>
            <w:pPr>
              <w:jc w:val="center"/>
            </w:pPr>
            <w:r>
              <w:rPr/>
              <w:t xml:space="preserve">0.8100</w:t>
            </w:r>
          </w:p>
        </w:tc>
        <w:tc>
          <w:tcPr>
            <w:tcW w:w="1800" w:type="dxa"/>
          </w:tcPr>
          <w:p>
            <w:pPr>
              <w:jc w:val="center"/>
            </w:pPr>
            <w:r>
              <w:rPr/>
              <w:t xml:space="preserve">NORMAL</w:t>
            </w:r>
          </w:p>
        </w:tc>
      </w:tr>
    </w:tbl>
    <w:p>
      <w:r>
        <w:t xml:space="preserve">在 10%-40% 恶意节点比例下，EETLE 的消息投递率均接近或达到 1.0000，平均时延维持在约 20-21.5 s 范围内。Leader 选举方面，在 0%-30% 恶意节点比例下，正常 Leader 比例不低于 0.98，最终 Leader 均为正常节点；当恶意比例为 40% 时，正常 Leader 比例下降至 0.81，但最终 Leader 仍为正常节点。</w:t>
      </w:r>
    </w:p>
    <w:p>
      <w:pPr>
        <w:pStyle w:val="Heading2"/>
      </w:pPr>
      <w:r>
        <w:t xml:space="preserve">7.6 事件一致性与消融实验</w:t>
      </w:r>
    </w:p>
    <w:tbl>
      <w:tblPr>
        <w:tblStyle w:val="TableGrid"/>
        <w:tblW w:w="0" w:type="auto"/>
      </w:tblPr>
      <w:tblGrid>
        <w:gridCol w:w="1800"/>
        <w:gridCol w:w="1800"/>
        <w:gridCol w:w="1800"/>
        <w:gridCol w:w="1800"/>
        <w:gridCol w:w="1800"/>
        <w:gridCol w:w="1800"/>
        <w:gridCol w:w="1800"/>
        <w:gridCol w:w="1800"/>
        <w:gridCol w:w="1800"/>
        <w:gridCol w:w="1800"/>
      </w:tblGrid>
      <w:tr>
        <w:tc>
          <w:tcPr>
            <w:tcW w:w="1800" w:type="dxa"/>
            <w:shd w:fill="D9EAF7"/>
          </w:tcPr>
          <w:p>
            <w:pPr>
              <w:jc w:val="center"/>
            </w:pPr>
            <w:r>
              <w:rPr>
                <w:b/>
                <w:bCs/>
              </w:rPr>
              <w:t xml:space="preserve">模型</w:t>
            </w:r>
          </w:p>
        </w:tc>
        <w:tc>
          <w:tcPr>
            <w:tcW w:w="1800" w:type="dxa"/>
            <w:shd w:fill="D9EAF7"/>
          </w:tcPr>
          <w:p>
            <w:pPr>
              <w:jc w:val="center"/>
            </w:pPr>
            <w:r>
              <w:rPr>
                <w:b/>
                <w:bCs/>
              </w:rPr>
              <w:t xml:space="preserve">NORMAL</w:t>
            </w:r>
          </w:p>
        </w:tc>
        <w:tc>
          <w:tcPr>
            <w:tcW w:w="1800" w:type="dxa"/>
            <w:shd w:fill="D9EAF7"/>
          </w:tcPr>
          <w:p>
            <w:pPr>
              <w:jc w:val="center"/>
            </w:pPr>
            <w:r>
              <w:rPr>
                <w:b/>
                <w:bCs/>
              </w:rPr>
              <w:t xml:space="preserve">BLACKHOLE</w:t>
            </w:r>
          </w:p>
        </w:tc>
        <w:tc>
          <w:tcPr>
            <w:tcW w:w="1800" w:type="dxa"/>
            <w:shd w:fill="D9EAF7"/>
          </w:tcPr>
          <w:p>
            <w:pPr>
              <w:jc w:val="center"/>
            </w:pPr>
            <w:r>
              <w:rPr>
                <w:b/>
                <w:bCs/>
              </w:rPr>
              <w:t xml:space="preserve">ON_OFF</w:t>
            </w:r>
          </w:p>
        </w:tc>
        <w:tc>
          <w:tcPr>
            <w:tcW w:w="1800" w:type="dxa"/>
            <w:shd w:fill="D9EAF7"/>
          </w:tcPr>
          <w:p>
            <w:pPr>
              <w:jc w:val="center"/>
            </w:pPr>
            <w:r>
              <w:rPr>
                <w:b/>
                <w:bCs/>
              </w:rPr>
              <w:t xml:space="preserve">FALSE_EVENT</w:t>
            </w:r>
          </w:p>
        </w:tc>
        <w:tc>
          <w:tcPr>
            <w:tcW w:w="1800" w:type="dxa"/>
            <w:shd w:fill="D9EAF7"/>
          </w:tcPr>
          <w:p>
            <w:pPr>
              <w:jc w:val="center"/>
            </w:pPr>
            <w:r>
              <w:rPr>
                <w:b/>
                <w:bCs/>
              </w:rPr>
              <w:t xml:space="preserve">ENV_CAMOUFLAGE</w:t>
            </w:r>
          </w:p>
        </w:tc>
        <w:tc>
          <w:tcPr>
            <w:tcW w:w="1800" w:type="dxa"/>
            <w:shd w:fill="D9EAF7"/>
          </w:tcPr>
          <w:p>
            <w:pPr>
              <w:jc w:val="center"/>
            </w:pPr>
            <w:r>
              <w:rPr>
                <w:b/>
                <w:bCs/>
              </w:rPr>
              <w:t xml:space="preserve">CROSS_REGION</w:t>
            </w:r>
          </w:p>
        </w:tc>
        <w:tc>
          <w:tcPr>
            <w:tcW w:w="1800" w:type="dxa"/>
            <w:shd w:fill="D9EAF7"/>
          </w:tcPr>
          <w:p>
            <w:pPr>
              <w:jc w:val="center"/>
            </w:pPr>
            <w:r>
              <w:rPr>
                <w:b/>
                <w:bCs/>
              </w:rPr>
              <w:t xml:space="preserve">投递率</w:t>
            </w:r>
          </w:p>
        </w:tc>
        <w:tc>
          <w:tcPr>
            <w:tcW w:w="1800" w:type="dxa"/>
            <w:shd w:fill="D9EAF7"/>
          </w:tcPr>
          <w:p>
            <w:pPr>
              <w:jc w:val="center"/>
            </w:pPr>
            <w:r>
              <w:rPr>
                <w:b/>
                <w:bCs/>
              </w:rPr>
              <w:t xml:space="preserve">恶意Leader</w:t>
            </w:r>
          </w:p>
        </w:tc>
        <w:tc>
          <w:tcPr>
            <w:tcW w:w="1800" w:type="dxa"/>
            <w:shd w:fill="D9EAF7"/>
          </w:tcPr>
          <w:p>
            <w:pPr>
              <w:jc w:val="center"/>
            </w:pPr>
            <w:r>
              <w:rPr>
                <w:b/>
                <w:bCs/>
              </w:rPr>
              <w:t xml:space="preserve">正常Leader比例</w:t>
            </w:r>
          </w:p>
        </w:tc>
      </w:tr>
      <w:tr>
        <w:tc>
          <w:tcPr>
            <w:tcW w:w="1800" w:type="dxa"/>
          </w:tcPr>
          <w:p>
            <w:pPr>
              <w:jc w:val="center"/>
            </w:pPr>
            <w:r>
              <w:rPr/>
              <w:t xml:space="preserve">Full</w:t>
            </w:r>
          </w:p>
        </w:tc>
        <w:tc>
          <w:tcPr>
            <w:tcW w:w="1800" w:type="dxa"/>
          </w:tcPr>
          <w:p>
            <w:pPr>
              <w:jc w:val="center"/>
            </w:pPr>
            <w:r>
              <w:rPr/>
              <w:t xml:space="preserve">0.7484</w:t>
            </w:r>
          </w:p>
        </w:tc>
        <w:tc>
          <w:tcPr>
            <w:tcW w:w="1800" w:type="dxa"/>
          </w:tcPr>
          <w:p>
            <w:pPr>
              <w:jc w:val="center"/>
            </w:pPr>
            <w:r>
              <w:rPr/>
              <w:t xml:space="preserve">0.4000</w:t>
            </w:r>
          </w:p>
        </w:tc>
        <w:tc>
          <w:tcPr>
            <w:tcW w:w="1800" w:type="dxa"/>
          </w:tcPr>
          <w:p>
            <w:pPr>
              <w:jc w:val="center"/>
            </w:pPr>
            <w:r>
              <w:rPr/>
              <w:t xml:space="preserve">0.1480</w:t>
            </w:r>
          </w:p>
        </w:tc>
        <w:tc>
          <w:tcPr>
            <w:tcW w:w="1800" w:type="dxa"/>
          </w:tcPr>
          <w:p>
            <w:pPr>
              <w:jc w:val="center"/>
            </w:pPr>
            <w:r>
              <w:rPr/>
              <w:t xml:space="preserve">0.1170</w:t>
            </w:r>
          </w:p>
        </w:tc>
        <w:tc>
          <w:tcPr>
            <w:tcW w:w="1800" w:type="dxa"/>
          </w:tcPr>
          <w:p>
            <w:pPr>
              <w:jc w:val="center"/>
            </w:pPr>
            <w:r>
              <w:rPr/>
              <w:t xml:space="preserve">0.7535</w:t>
            </w:r>
          </w:p>
        </w:tc>
        <w:tc>
          <w:tcPr>
            <w:tcW w:w="1800" w:type="dxa"/>
          </w:tcPr>
          <w:p>
            <w:pPr>
              <w:jc w:val="center"/>
            </w:pPr>
            <w:r>
              <w:rPr/>
              <w:t xml:space="preserve">0.4066</w:t>
            </w:r>
          </w:p>
        </w:tc>
        <w:tc>
          <w:tcPr>
            <w:tcW w:w="1800" w:type="dxa"/>
          </w:tcPr>
          <w:p>
            <w:pPr>
              <w:jc w:val="center"/>
            </w:pPr>
            <w:r>
              <w:rPr/>
              <w:t xml:space="preserve">1.0000</w:t>
            </w:r>
          </w:p>
        </w:tc>
        <w:tc>
          <w:tcPr>
            <w:tcW w:w="1800" w:type="dxa"/>
          </w:tcPr>
          <w:p>
            <w:pPr>
              <w:jc w:val="center"/>
            </w:pPr>
            <w:r>
              <w:rPr/>
              <w:t xml:space="preserve">4</w:t>
            </w:r>
          </w:p>
        </w:tc>
        <w:tc>
          <w:tcPr>
            <w:tcW w:w="1800" w:type="dxa"/>
          </w:tcPr>
          <w:p>
            <w:pPr>
              <w:jc w:val="center"/>
            </w:pPr>
            <w:r>
              <w:rPr/>
              <w:t xml:space="preserve">0.6000</w:t>
            </w:r>
          </w:p>
        </w:tc>
      </w:tr>
      <w:tr>
        <w:tc>
          <w:tcPr>
            <w:tcW w:w="1800" w:type="dxa"/>
          </w:tcPr>
          <w:p>
            <w:pPr>
              <w:jc w:val="center"/>
            </w:pPr>
            <w:r>
              <w:rPr/>
              <w:t xml:space="preserve">No-EATR</w:t>
            </w:r>
          </w:p>
        </w:tc>
        <w:tc>
          <w:tcPr>
            <w:tcW w:w="1800" w:type="dxa"/>
          </w:tcPr>
          <w:p>
            <w:pPr>
              <w:jc w:val="center"/>
            </w:pPr>
            <w:r>
              <w:rPr/>
              <w:t xml:space="preserve">0.7439</w:t>
            </w:r>
          </w:p>
        </w:tc>
        <w:tc>
          <w:tcPr>
            <w:tcW w:w="1800" w:type="dxa"/>
          </w:tcPr>
          <w:p>
            <w:pPr>
              <w:jc w:val="center"/>
            </w:pPr>
            <w:r>
              <w:rPr/>
              <w:t xml:space="preserve">0.3964</w:t>
            </w:r>
          </w:p>
        </w:tc>
        <w:tc>
          <w:tcPr>
            <w:tcW w:w="1800" w:type="dxa"/>
          </w:tcPr>
          <w:p>
            <w:pPr>
              <w:jc w:val="center"/>
            </w:pPr>
            <w:r>
              <w:rPr/>
              <w:t xml:space="preserve">0.1373</w:t>
            </w:r>
          </w:p>
        </w:tc>
        <w:tc>
          <w:tcPr>
            <w:tcW w:w="1800" w:type="dxa"/>
          </w:tcPr>
          <w:p>
            <w:pPr>
              <w:jc w:val="center"/>
            </w:pPr>
            <w:r>
              <w:rPr/>
              <w:t xml:space="preserve">0.1378</w:t>
            </w:r>
          </w:p>
        </w:tc>
        <w:tc>
          <w:tcPr>
            <w:tcW w:w="1800" w:type="dxa"/>
          </w:tcPr>
          <w:p>
            <w:pPr>
              <w:jc w:val="center"/>
            </w:pPr>
            <w:r>
              <w:rPr/>
              <w:t xml:space="preserve">0.6895</w:t>
            </w:r>
          </w:p>
        </w:tc>
        <w:tc>
          <w:tcPr>
            <w:tcW w:w="1800" w:type="dxa"/>
          </w:tcPr>
          <w:p>
            <w:pPr>
              <w:jc w:val="center"/>
            </w:pPr>
            <w:r>
              <w:rPr/>
              <w:t xml:space="preserve">0.3916</w:t>
            </w:r>
          </w:p>
        </w:tc>
        <w:tc>
          <w:tcPr>
            <w:tcW w:w="1800" w:type="dxa"/>
          </w:tcPr>
          <w:p>
            <w:pPr>
              <w:jc w:val="center"/>
            </w:pPr>
            <w:r>
              <w:rPr/>
              <w:t xml:space="preserve">0.9971</w:t>
            </w:r>
          </w:p>
        </w:tc>
        <w:tc>
          <w:tcPr>
            <w:tcW w:w="1800" w:type="dxa"/>
          </w:tcPr>
          <w:p>
            <w:pPr>
              <w:jc w:val="center"/>
            </w:pPr>
            <w:r>
              <w:rPr/>
              <w:t xml:space="preserve">0</w:t>
            </w:r>
          </w:p>
        </w:tc>
        <w:tc>
          <w:tcPr>
            <w:tcW w:w="1800" w:type="dxa"/>
          </w:tcPr>
          <w:p>
            <w:pPr>
              <w:jc w:val="center"/>
            </w:pPr>
            <w:r>
              <w:rPr/>
              <w:t xml:space="preserve">1.0000</w:t>
            </w:r>
          </w:p>
        </w:tc>
      </w:tr>
      <w:tr>
        <w:tc>
          <w:tcPr>
            <w:tcW w:w="1800" w:type="dxa"/>
          </w:tcPr>
          <w:p>
            <w:pPr>
              <w:jc w:val="center"/>
            </w:pPr>
            <w:r>
              <w:rPr/>
              <w:t xml:space="preserve">No-Event</w:t>
            </w:r>
          </w:p>
        </w:tc>
        <w:tc>
          <w:tcPr>
            <w:tcW w:w="1800" w:type="dxa"/>
          </w:tcPr>
          <w:p>
            <w:pPr>
              <w:jc w:val="center"/>
            </w:pPr>
            <w:r>
              <w:rPr/>
              <w:t xml:space="preserve">0.7431</w:t>
            </w:r>
          </w:p>
        </w:tc>
        <w:tc>
          <w:tcPr>
            <w:tcW w:w="1800" w:type="dxa"/>
          </w:tcPr>
          <w:p>
            <w:pPr>
              <w:jc w:val="center"/>
            </w:pPr>
            <w:r>
              <w:rPr/>
              <w:t xml:space="preserve">0.4012</w:t>
            </w:r>
          </w:p>
        </w:tc>
        <w:tc>
          <w:tcPr>
            <w:tcW w:w="1800" w:type="dxa"/>
          </w:tcPr>
          <w:p>
            <w:pPr>
              <w:jc w:val="center"/>
            </w:pPr>
            <w:r>
              <w:rPr/>
              <w:t xml:space="preserve">0.3947</w:t>
            </w:r>
          </w:p>
        </w:tc>
        <w:tc>
          <w:tcPr>
            <w:tcW w:w="1800" w:type="dxa"/>
          </w:tcPr>
          <w:p>
            <w:pPr>
              <w:jc w:val="center"/>
            </w:pPr>
            <w:r>
              <w:rPr/>
              <w:t xml:space="preserve">0.7400</w:t>
            </w:r>
          </w:p>
        </w:tc>
        <w:tc>
          <w:tcPr>
            <w:tcW w:w="1800" w:type="dxa"/>
          </w:tcPr>
          <w:p>
            <w:pPr>
              <w:jc w:val="center"/>
            </w:pPr>
            <w:r>
              <w:rPr/>
              <w:t xml:space="preserve">0.8160</w:t>
            </w:r>
          </w:p>
        </w:tc>
        <w:tc>
          <w:tcPr>
            <w:tcW w:w="1800" w:type="dxa"/>
          </w:tcPr>
          <w:p>
            <w:pPr>
              <w:jc w:val="center"/>
            </w:pPr>
            <w:r>
              <w:rPr/>
              <w:t xml:space="preserve">0.4070</w:t>
            </w:r>
          </w:p>
        </w:tc>
        <w:tc>
          <w:tcPr>
            <w:tcW w:w="1800" w:type="dxa"/>
          </w:tcPr>
          <w:p>
            <w:pPr>
              <w:jc w:val="center"/>
            </w:pPr>
            <w:r>
              <w:rPr/>
              <w:t xml:space="preserve">1.0000</w:t>
            </w:r>
          </w:p>
        </w:tc>
        <w:tc>
          <w:tcPr>
            <w:tcW w:w="1800" w:type="dxa"/>
          </w:tcPr>
          <w:p>
            <w:pPr>
              <w:jc w:val="center"/>
            </w:pPr>
            <w:r>
              <w:rPr/>
              <w:t xml:space="preserve">9</w:t>
            </w:r>
          </w:p>
        </w:tc>
        <w:tc>
          <w:tcPr>
            <w:tcW w:w="1800" w:type="dxa"/>
          </w:tcPr>
          <w:p>
            <w:pPr>
              <w:jc w:val="center"/>
            </w:pPr>
            <w:r>
              <w:rPr/>
              <w:t xml:space="preserve">0.1000</w:t>
            </w:r>
          </w:p>
        </w:tc>
      </w:tr>
      <w:tr>
        <w:tc>
          <w:tcPr>
            <w:tcW w:w="1800" w:type="dxa"/>
          </w:tcPr>
          <w:p>
            <w:pPr>
              <w:jc w:val="center"/>
            </w:pPr>
            <w:r>
              <w:rPr/>
              <w:t xml:space="preserve">No-Attention</w:t>
            </w:r>
          </w:p>
        </w:tc>
        <w:tc>
          <w:tcPr>
            <w:tcW w:w="1800" w:type="dxa"/>
          </w:tcPr>
          <w:p>
            <w:pPr>
              <w:jc w:val="center"/>
            </w:pPr>
            <w:r>
              <w:rPr/>
              <w:t xml:space="preserve">0.7571</w:t>
            </w:r>
          </w:p>
        </w:tc>
        <w:tc>
          <w:tcPr>
            <w:tcW w:w="1800" w:type="dxa"/>
          </w:tcPr>
          <w:p>
            <w:pPr>
              <w:jc w:val="center"/>
            </w:pPr>
            <w:r>
              <w:rPr/>
              <w:t xml:space="preserve">0.4011</w:t>
            </w:r>
          </w:p>
        </w:tc>
        <w:tc>
          <w:tcPr>
            <w:tcW w:w="1800" w:type="dxa"/>
          </w:tcPr>
          <w:p>
            <w:pPr>
              <w:jc w:val="center"/>
            </w:pPr>
            <w:r>
              <w:rPr/>
              <w:t xml:space="preserve">0.1613</w:t>
            </w:r>
          </w:p>
        </w:tc>
        <w:tc>
          <w:tcPr>
            <w:tcW w:w="1800" w:type="dxa"/>
          </w:tcPr>
          <w:p>
            <w:pPr>
              <w:jc w:val="center"/>
            </w:pPr>
            <w:r>
              <w:rPr/>
              <w:t xml:space="preserve">0.1523</w:t>
            </w:r>
          </w:p>
        </w:tc>
        <w:tc>
          <w:tcPr>
            <w:tcW w:w="1800" w:type="dxa"/>
          </w:tcPr>
          <w:p>
            <w:pPr>
              <w:jc w:val="center"/>
            </w:pPr>
            <w:r>
              <w:rPr/>
              <w:t xml:space="preserve">0.7542</w:t>
            </w:r>
          </w:p>
        </w:tc>
        <w:tc>
          <w:tcPr>
            <w:tcW w:w="1800" w:type="dxa"/>
          </w:tcPr>
          <w:p>
            <w:pPr>
              <w:jc w:val="center"/>
            </w:pPr>
            <w:r>
              <w:rPr/>
              <w:t xml:space="preserve">0.3981</w:t>
            </w:r>
          </w:p>
        </w:tc>
        <w:tc>
          <w:tcPr>
            <w:tcW w:w="1800" w:type="dxa"/>
          </w:tcPr>
          <w:p>
            <w:pPr>
              <w:jc w:val="center"/>
            </w:pPr>
            <w:r>
              <w:rPr/>
              <w:t xml:space="preserve">1.0000</w:t>
            </w:r>
          </w:p>
        </w:tc>
        <w:tc>
          <w:tcPr>
            <w:tcW w:w="1800" w:type="dxa"/>
          </w:tcPr>
          <w:p>
            <w:pPr>
              <w:jc w:val="center"/>
            </w:pPr>
            <w:r>
              <w:rPr/>
              <w:t xml:space="preserve">0</w:t>
            </w:r>
          </w:p>
        </w:tc>
        <w:tc>
          <w:tcPr>
            <w:tcW w:w="1800" w:type="dxa"/>
          </w:tcPr>
          <w:p>
            <w:pPr>
              <w:jc w:val="center"/>
            </w:pPr>
            <w:r>
              <w:rPr/>
              <w:t xml:space="preserve">1.0000</w:t>
            </w:r>
          </w:p>
        </w:tc>
      </w:tr>
      <w:tr>
        <w:tc>
          <w:tcPr>
            <w:tcW w:w="1800" w:type="dxa"/>
          </w:tcPr>
          <w:p>
            <w:pPr>
              <w:jc w:val="center"/>
            </w:pPr>
            <w:r>
              <w:rPr/>
              <w:t xml:space="preserve">No-Region</w:t>
            </w:r>
          </w:p>
        </w:tc>
        <w:tc>
          <w:tcPr>
            <w:tcW w:w="1800" w:type="dxa"/>
          </w:tcPr>
          <w:p>
            <w:pPr>
              <w:jc w:val="center"/>
            </w:pPr>
            <w:r>
              <w:rPr/>
              <w:t xml:space="preserve">0.7471</w:t>
            </w:r>
          </w:p>
        </w:tc>
        <w:tc>
          <w:tcPr>
            <w:tcW w:w="1800" w:type="dxa"/>
          </w:tcPr>
          <w:p>
            <w:pPr>
              <w:jc w:val="center"/>
            </w:pPr>
            <w:r>
              <w:rPr/>
              <w:t xml:space="preserve">0.3973</w:t>
            </w:r>
          </w:p>
        </w:tc>
        <w:tc>
          <w:tcPr>
            <w:tcW w:w="1800" w:type="dxa"/>
          </w:tcPr>
          <w:p>
            <w:pPr>
              <w:jc w:val="center"/>
            </w:pPr>
            <w:r>
              <w:rPr/>
              <w:t xml:space="preserve">0.1517</w:t>
            </w:r>
          </w:p>
        </w:tc>
        <w:tc>
          <w:tcPr>
            <w:tcW w:w="1800" w:type="dxa"/>
          </w:tcPr>
          <w:p>
            <w:pPr>
              <w:jc w:val="center"/>
            </w:pPr>
            <w:r>
              <w:rPr/>
              <w:t xml:space="preserve">0.1136</w:t>
            </w:r>
          </w:p>
        </w:tc>
        <w:tc>
          <w:tcPr>
            <w:tcW w:w="1800" w:type="dxa"/>
          </w:tcPr>
          <w:p>
            <w:pPr>
              <w:jc w:val="center"/>
            </w:pPr>
            <w:r>
              <w:rPr/>
              <w:t xml:space="preserve">0.7422</w:t>
            </w:r>
          </w:p>
        </w:tc>
        <w:tc>
          <w:tcPr>
            <w:tcW w:w="1800" w:type="dxa"/>
          </w:tcPr>
          <w:p>
            <w:pPr>
              <w:jc w:val="center"/>
            </w:pPr>
            <w:r>
              <w:rPr/>
              <w:t xml:space="preserve">0.3978</w:t>
            </w:r>
          </w:p>
        </w:tc>
        <w:tc>
          <w:tcPr>
            <w:tcW w:w="1800" w:type="dxa"/>
          </w:tcPr>
          <w:p>
            <w:pPr>
              <w:jc w:val="center"/>
            </w:pPr>
            <w:r>
              <w:rPr/>
              <w:t xml:space="preserve">1.0000</w:t>
            </w:r>
          </w:p>
        </w:tc>
        <w:tc>
          <w:tcPr>
            <w:tcW w:w="1800" w:type="dxa"/>
          </w:tcPr>
          <w:p>
            <w:pPr>
              <w:jc w:val="center"/>
            </w:pPr>
            <w:r>
              <w:rPr/>
              <w:t xml:space="preserve">0</w:t>
            </w:r>
          </w:p>
        </w:tc>
        <w:tc>
          <w:tcPr>
            <w:tcW w:w="1800" w:type="dxa"/>
          </w:tcPr>
          <w:p>
            <w:pPr>
              <w:jc w:val="center"/>
            </w:pPr>
            <w:r>
              <w:rPr/>
              <w:t xml:space="preserve">1.0000</w:t>
            </w:r>
          </w:p>
        </w:tc>
      </w:tr>
      <w:tr>
        <w:tc>
          <w:tcPr>
            <w:tcW w:w="1800" w:type="dxa"/>
          </w:tcPr>
          <w:p>
            <w:pPr>
              <w:jc w:val="center"/>
            </w:pPr>
            <w:r>
              <w:rPr/>
              <w:t xml:space="preserve">No-Switch</w:t>
            </w:r>
          </w:p>
        </w:tc>
        <w:tc>
          <w:tcPr>
            <w:tcW w:w="1800" w:type="dxa"/>
          </w:tcPr>
          <w:p>
            <w:pPr>
              <w:jc w:val="center"/>
            </w:pPr>
            <w:r>
              <w:rPr/>
              <w:t xml:space="preserve">0.7502</w:t>
            </w:r>
          </w:p>
        </w:tc>
        <w:tc>
          <w:tcPr>
            <w:tcW w:w="1800" w:type="dxa"/>
          </w:tcPr>
          <w:p>
            <w:pPr>
              <w:jc w:val="center"/>
            </w:pPr>
            <w:r>
              <w:rPr/>
              <w:t xml:space="preserve">0.3977</w:t>
            </w:r>
          </w:p>
        </w:tc>
        <w:tc>
          <w:tcPr>
            <w:tcW w:w="1800" w:type="dxa"/>
          </w:tcPr>
          <w:p>
            <w:pPr>
              <w:jc w:val="center"/>
            </w:pPr>
            <w:r>
              <w:rPr/>
              <w:t xml:space="preserve">0.1346</w:t>
            </w:r>
          </w:p>
        </w:tc>
        <w:tc>
          <w:tcPr>
            <w:tcW w:w="1800" w:type="dxa"/>
          </w:tcPr>
          <w:p>
            <w:pPr>
              <w:jc w:val="center"/>
            </w:pPr>
            <w:r>
              <w:rPr/>
              <w:t xml:space="preserve">0.1168</w:t>
            </w:r>
          </w:p>
        </w:tc>
        <w:tc>
          <w:tcPr>
            <w:tcW w:w="1800" w:type="dxa"/>
          </w:tcPr>
          <w:p>
            <w:pPr>
              <w:jc w:val="center"/>
            </w:pPr>
            <w:r>
              <w:rPr/>
              <w:t xml:space="preserve">0.7511</w:t>
            </w:r>
          </w:p>
        </w:tc>
        <w:tc>
          <w:tcPr>
            <w:tcW w:w="1800" w:type="dxa"/>
          </w:tcPr>
          <w:p>
            <w:pPr>
              <w:jc w:val="center"/>
            </w:pPr>
            <w:r>
              <w:rPr/>
              <w:t xml:space="preserve">0.4009</w:t>
            </w:r>
          </w:p>
        </w:tc>
        <w:tc>
          <w:tcPr>
            <w:tcW w:w="1800" w:type="dxa"/>
          </w:tcPr>
          <w:p>
            <w:pPr>
              <w:jc w:val="center"/>
            </w:pPr>
            <w:r>
              <w:rPr/>
              <w:t xml:space="preserve">1.0000</w:t>
            </w:r>
          </w:p>
        </w:tc>
        <w:tc>
          <w:tcPr>
            <w:tcW w:w="1800" w:type="dxa"/>
          </w:tcPr>
          <w:p>
            <w:pPr>
              <w:jc w:val="center"/>
            </w:pPr>
            <w:r>
              <w:rPr/>
              <w:t xml:space="preserve">0</w:t>
            </w:r>
          </w:p>
        </w:tc>
        <w:tc>
          <w:tcPr>
            <w:tcW w:w="1800" w:type="dxa"/>
          </w:tcPr>
          <w:p>
            <w:pPr>
              <w:jc w:val="center"/>
            </w:pPr>
            <w:r>
              <w:rPr/>
              <w:t xml:space="preserve">1.0000</w:t>
            </w:r>
          </w:p>
        </w:tc>
      </w:tr>
    </w:tbl>
    <w:p>
      <w:r>
        <w:t xml:space="preserve">消融结果显示，事件一致性机制对虚假消息注入攻击识别具有决定性影响。完整模型中 FALSE_EVENT 节点平均全局信任为 0.1170；去除事件一致性后，该值升高至 0.7400，接近正常节点信任水平。事件报告日志也显示，当节点 50 在 t=130 s 上报事件状态 1，而真实状态和共识状态均为 0 时，系统将其识别为 falseReport 并施加 0.2000 的惩罚；正常节点上报与共识一致时获得 0.0300 的奖励。</w:t>
      </w:r>
    </w:p>
    <w:p>
      <w:pPr>
        <w:pStyle w:val="Heading1"/>
      </w:pPr>
      <w:r>
        <w:t xml:space="preserve">8 结论</w:t>
      </w:r>
    </w:p>
    <w:p>
      <w:r>
        <w:t xml:space="preserve">本文面向灾后无人机蜂群网络中复杂链路环境、任务事件真实性和恶意攻击交织的问题，提出了环境—事件协同动态信任管理与鲁棒 Leader 选举机制 EETLE。该机制通过四元信任向量刻画可信度、环境不确定性、认知不确定性和不可信度，利用链路中断概率建立环境不确定性，并通过 EATR 将环境诱导失败与节点恶意行为进行概率区分。在任务语义层，EETLE 通过信任加权事件共识对虚假消息注入行为进行动态奖惩；在全局信任层，采用人工权重线性注意力融合多节点推荐；在 Leader 选举层，综合全局信任、信任稳定性、通信质量、区域约束和切换裕度，提高蜂群协同控制的安全性和稳定性。仿真实验表明，EETLE 能够在多种恶意比例下保持较高检测性能和较低误判率，并在中等恶意比例下维持较高正常 Leader 比例。未来工作将进一步面向真实无人机平台、多区域大规模场景和参数自适应优化开展研究。</w:t>
      </w:r>
    </w:p>
    <w:p>
      <w:pPr>
        <w:pStyle w:val="Heading1"/>
      </w:pPr>
      <w:r>
        <w:t xml:space="preserve">参考文献</w:t>
      </w:r>
    </w:p>
    <w:p>
      <w:r>
        <w:t xml:space="preserve">[1] [参考文献待补充]</w:t>
      </w:r>
    </w:p>
    <w:p>
      <w:r>
        <w:t xml:space="preserve">[2] [参考文献待补充]</w:t>
      </w:r>
    </w:p>
    <w:p>
      <w:r>
        <w:t xml:space="preserve">[3] [参考文献待补充]</w:t>
      </w:r>
    </w:p>
    <w:p>
      <w:r>
        <w:t xml:space="preserve">[4] [参考文献待补充]</w:t>
      </w:r>
    </w:p>
    <w:p>
      <w:r>
        <w:t xml:space="preserve">[5] [参考文献待补充]</w:t>
      </w:r>
    </w:p>
    <w:p>
      <w:r>
        <w:t xml:space="preserve">[6] [参考文献待补充]</w:t>
      </w:r>
    </w:p>
    <w:p>
      <w:r>
        <w:t xml:space="preserve">[7] [参考文献待补充]</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360" w:lineRule="auto"/>
    </w:pPr>
    <w:rPr>
      <w:rFonts w:ascii="Times New Roman" w:eastAsia="宋体" w:hAnsi="Times New Roman" w:cs="Times New Roman"/>
      <w:sz w:val="21"/>
      <w:szCs w:val="21"/>
    </w:rPr>
  </w:style>
  <w:style w:type="paragraph" w:styleId="Title">
    <w:name w:val="Title"/>
    <w:basedOn w:val="Normal"/>
    <w:qFormat/>
    <w:pPr>
      <w:jc w:val="center"/>
      <w:spacing w:after="240"/>
    </w:pPr>
    <w:rPr>
      <w:b/>
      <w:bCs/>
      <w:rFonts w:ascii="Times New Roman" w:eastAsia="黑体" w:hAnsi="Times New Roman"/>
      <w:sz w:val="32"/>
      <w:szCs w:val="32"/>
    </w:rPr>
  </w:style>
  <w:style w:type="paragraph" w:styleId="Heading1">
    <w:name w:val="heading 1"/>
    <w:basedOn w:val="Normal"/>
    <w:next w:val="Normal"/>
    <w:qFormat/>
    <w:pPr>
      <w:spacing w:before="240" w:after="120"/>
    </w:pPr>
    <w:rPr>
      <w:b/>
      <w:bCs/>
      <w:rFonts w:ascii="Times New Roman" w:eastAsia="黑体" w:hAnsi="Times New Roman"/>
      <w:sz w:val="28"/>
      <w:szCs w:val="28"/>
    </w:rPr>
  </w:style>
  <w:style w:type="paragraph" w:styleId="Heading2">
    <w:name w:val="heading 2"/>
    <w:basedOn w:val="Normal"/>
    <w:next w:val="Normal"/>
    <w:qFormat/>
    <w:pPr>
      <w:spacing w:before="180" w:after="80"/>
    </w:pPr>
    <w:rPr>
      <w:b/>
      <w:bCs/>
      <w:rFonts w:ascii="Times New Roman" w:eastAsia="黑体" w:hAnsi="Times New Roman"/>
      <w:sz w:val="24"/>
      <w:szCs w:val="24"/>
    </w:rPr>
  </w:style>
  <w:style w:type="table" w:styleId="TableGrid">
    <w:name w:val="Table Grid"/>
    <w:basedOn w:val="TableNormal"/>
    <w:uiPriority w:val="59"/>
    <w:qFormat/>
    <w:tblPr>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