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AAD8C">
      <w:pPr>
        <w:pStyle w:val="31"/>
      </w:pPr>
      <w:r>
        <w:t>Ascend NPU 访存与向量化机制笔记</w:t>
      </w:r>
    </w:p>
    <w:p w14:paraId="27F074AF">
      <w:pPr>
        <w:pStyle w:val="3"/>
      </w:pPr>
      <w:r>
        <w:t>一、存储体系总览</w:t>
      </w:r>
    </w:p>
    <w:p w14:paraId="09F45C72">
      <w:r>
        <w:rPr>
          <w:rFonts w:ascii="微软雅黑" w:hAnsi="微软雅黑" w:eastAsia="微软雅黑" w:cs="微软雅黑"/>
          <w:color w:val="000000"/>
          <w:sz w:val="21"/>
        </w:rPr>
        <w:t>Ascend AI-Core 存在多层片上存储，Vector 与 Cube 两套计算单元访问不同存储层，使用不同搬运硬件，对齐约束相互独立。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1E855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1A362AB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存储单元</w:t>
            </w:r>
          </w:p>
        </w:tc>
        <w:tc>
          <w:tcPr>
            <w:tcW w:w="1814" w:type="dxa"/>
            <w:shd w:val="clear" w:color="auto" w:fill="D9E2F3"/>
          </w:tcPr>
          <w:p w14:paraId="71EA7B6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容量级别</w:t>
            </w:r>
          </w:p>
        </w:tc>
        <w:tc>
          <w:tcPr>
            <w:tcW w:w="1814" w:type="dxa"/>
            <w:shd w:val="clear" w:color="auto" w:fill="D9E2F3"/>
          </w:tcPr>
          <w:p w14:paraId="24E0394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服务对象</w:t>
            </w:r>
          </w:p>
        </w:tc>
        <w:tc>
          <w:tcPr>
            <w:tcW w:w="1814" w:type="dxa"/>
            <w:shd w:val="clear" w:color="auto" w:fill="D9E2F3"/>
          </w:tcPr>
          <w:p w14:paraId="0A85A2A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对齐要求</w:t>
            </w:r>
          </w:p>
        </w:tc>
        <w:tc>
          <w:tcPr>
            <w:tcW w:w="1814" w:type="dxa"/>
            <w:shd w:val="clear" w:color="auto" w:fill="D9E2F3"/>
          </w:tcPr>
          <w:p w14:paraId="3112E4B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主要搬运单元</w:t>
            </w:r>
          </w:p>
        </w:tc>
      </w:tr>
      <w:tr w14:paraId="00A973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FCE41E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GM（全局内存）</w:t>
            </w:r>
          </w:p>
        </w:tc>
        <w:tc>
          <w:tcPr>
            <w:tcW w:w="1814" w:type="dxa"/>
          </w:tcPr>
          <w:p w14:paraId="1BC5D97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最大</w:t>
            </w:r>
          </w:p>
        </w:tc>
        <w:tc>
          <w:tcPr>
            <w:tcW w:w="1814" w:type="dxa"/>
          </w:tcPr>
          <w:p w14:paraId="6476A3B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所有核</w:t>
            </w:r>
          </w:p>
        </w:tc>
        <w:tc>
          <w:tcPr>
            <w:tcW w:w="1814" w:type="dxa"/>
          </w:tcPr>
          <w:p w14:paraId="79B344C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无强制对齐，512B 访存粒度</w:t>
            </w:r>
          </w:p>
        </w:tc>
        <w:tc>
          <w:tcPr>
            <w:tcW w:w="1814" w:type="dxa"/>
          </w:tcPr>
          <w:p w14:paraId="76E3196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MTE2 / MTE3</w:t>
            </w:r>
          </w:p>
        </w:tc>
      </w:tr>
      <w:tr w14:paraId="59474D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F97EBD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UB（统一缓冲区）</w:t>
            </w:r>
          </w:p>
        </w:tc>
        <w:tc>
          <w:tcPr>
            <w:tcW w:w="1814" w:type="dxa"/>
          </w:tcPr>
          <w:p w14:paraId="057DF6B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片上</w:t>
            </w:r>
          </w:p>
        </w:tc>
        <w:tc>
          <w:tcPr>
            <w:tcW w:w="1814" w:type="dxa"/>
          </w:tcPr>
          <w:p w14:paraId="357EDBD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Vector Core</w:t>
            </w:r>
          </w:p>
        </w:tc>
        <w:tc>
          <w:tcPr>
            <w:tcW w:w="1814" w:type="dxa"/>
          </w:tcPr>
          <w:p w14:paraId="112BF72E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32 Byte</w:t>
            </w:r>
          </w:p>
        </w:tc>
        <w:tc>
          <w:tcPr>
            <w:tcW w:w="1814" w:type="dxa"/>
          </w:tcPr>
          <w:p w14:paraId="452FC94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MTE2 / MTE3</w:t>
            </w:r>
          </w:p>
        </w:tc>
      </w:tr>
      <w:tr w14:paraId="1F4B5D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11C3A8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L1 Buffer</w:t>
            </w:r>
          </w:p>
        </w:tc>
        <w:tc>
          <w:tcPr>
            <w:tcW w:w="1814" w:type="dxa"/>
          </w:tcPr>
          <w:p w14:paraId="2AF50622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片上</w:t>
            </w:r>
          </w:p>
        </w:tc>
        <w:tc>
          <w:tcPr>
            <w:tcW w:w="1814" w:type="dxa"/>
          </w:tcPr>
          <w:p w14:paraId="2009EA3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Cube（中转）</w:t>
            </w:r>
          </w:p>
        </w:tc>
        <w:tc>
          <w:tcPr>
            <w:tcW w:w="1814" w:type="dxa"/>
          </w:tcPr>
          <w:p w14:paraId="732A20C8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32 Byte</w:t>
            </w:r>
          </w:p>
        </w:tc>
        <w:tc>
          <w:tcPr>
            <w:tcW w:w="1814" w:type="dxa"/>
          </w:tcPr>
          <w:p w14:paraId="22A5D80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MTE2 / MTE3</w:t>
            </w:r>
          </w:p>
        </w:tc>
      </w:tr>
      <w:tr w14:paraId="718E73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494BA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L0A / L0B</w:t>
            </w:r>
          </w:p>
        </w:tc>
        <w:tc>
          <w:tcPr>
            <w:tcW w:w="1814" w:type="dxa"/>
          </w:tcPr>
          <w:p w14:paraId="67079DC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片上</w:t>
            </w:r>
          </w:p>
        </w:tc>
        <w:tc>
          <w:tcPr>
            <w:tcW w:w="1814" w:type="dxa"/>
          </w:tcPr>
          <w:p w14:paraId="0D02CF9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Cube（输入）</w:t>
            </w:r>
          </w:p>
        </w:tc>
        <w:tc>
          <w:tcPr>
            <w:tcW w:w="1814" w:type="dxa"/>
          </w:tcPr>
          <w:p w14:paraId="0F70A05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512 Byte</w:t>
            </w:r>
          </w:p>
        </w:tc>
        <w:tc>
          <w:tcPr>
            <w:tcW w:w="1814" w:type="dxa"/>
          </w:tcPr>
          <w:p w14:paraId="61BD0E6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MTE1</w:t>
            </w:r>
          </w:p>
        </w:tc>
      </w:tr>
      <w:tr w14:paraId="1D02D4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E8D53E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L0C</w:t>
            </w:r>
          </w:p>
        </w:tc>
        <w:tc>
          <w:tcPr>
            <w:tcW w:w="1814" w:type="dxa"/>
          </w:tcPr>
          <w:p w14:paraId="29AC1ED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片上</w:t>
            </w:r>
          </w:p>
        </w:tc>
        <w:tc>
          <w:tcPr>
            <w:tcW w:w="1814" w:type="dxa"/>
          </w:tcPr>
          <w:p w14:paraId="6148C66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Cube（输出）</w:t>
            </w:r>
          </w:p>
        </w:tc>
        <w:tc>
          <w:tcPr>
            <w:tcW w:w="1814" w:type="dxa"/>
          </w:tcPr>
          <w:p w14:paraId="1F6814D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64 Byte</w:t>
            </w:r>
          </w:p>
        </w:tc>
        <w:tc>
          <w:tcPr>
            <w:tcW w:w="1814" w:type="dxa"/>
          </w:tcPr>
          <w:p w14:paraId="4715973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FixPipe</w:t>
            </w:r>
          </w:p>
        </w:tc>
      </w:tr>
    </w:tbl>
    <w:p w14:paraId="6D4B0B83">
      <w:pPr>
        <w:spacing w:after="80"/>
      </w:pPr>
    </w:p>
    <w:p w14:paraId="583BBD62">
      <w:r>
        <w:rPr>
          <w:rFonts w:ascii="微软雅黑" w:hAnsi="微软雅黑" w:eastAsia="微软雅黑" w:cs="微软雅黑"/>
          <w:b/>
          <w:color w:val="1F4E79"/>
          <w:sz w:val="22"/>
        </w:rPr>
        <w:t>核心结论：Vector 读 UB，Cube 读 L0A/L0B；MTE2 搬入、MTE3 搬出、MTE1 专供 Cube 加载，三条流水线可并行。</w:t>
      </w:r>
    </w:p>
    <w:p w14:paraId="54B88F9C">
      <w:pPr>
        <w:pStyle w:val="4"/>
      </w:pPr>
      <w:r>
        <w:t>1.1 完整数据流</w:t>
      </w:r>
    </w:p>
    <w:p w14:paraId="520080DA">
      <w:pPr>
        <w:shd w:val="clear" w:color="auto" w:fill="F2F2F2"/>
        <w:spacing w:before="80" w:after="160" w:line="276" w:lineRule="auto"/>
        <w:ind w:left="170" w:right="170"/>
        <w:jc w:val="left"/>
      </w:pPr>
      <w:r>
        <w:rPr>
          <w:rFonts w:ascii="Consolas" w:hAnsi="Consolas" w:eastAsia="Consolas" w:cs="Consolas"/>
          <w:color w:val="243447"/>
          <w:sz w:val="20"/>
        </w:rPr>
        <w:t xml:space="preserve">                     GM（全局内存）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               │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┌──────────────┼──────────────┐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│ MTE2         │ MTE2         │ MTE2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↓              ↓              ↓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UB             L1            L0A/L0B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（Vector）    （Cube中转）    （Cube输入）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│              │              │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│ Vector       │ MTE1         │ Cube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↓              ↓              ↓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Vector Core     L0A/L0B         L0C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│              │              │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│              │              │ FixPipe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↓              ↓              ↓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UB             Cube          UB / GM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│                              │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│ MTE3                         │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 ↓                              ↓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  GM                             GM</w:t>
      </w:r>
    </w:p>
    <w:p w14:paraId="3FBF5E44">
      <w:r>
        <w:rPr>
          <w:rFonts w:ascii="微软雅黑" w:hAnsi="微软雅黑" w:eastAsia="微软雅黑" w:cs="微软雅黑"/>
          <w:b/>
          <w:color w:val="1F4E79"/>
          <w:sz w:val="22"/>
        </w:rPr>
        <w:t>Vector 路径：GM → UB → Vector Core → UB → GM</w:t>
      </w:r>
    </w:p>
    <w:p w14:paraId="671C1202">
      <w:r>
        <w:rPr>
          <w:rFonts w:ascii="微软雅黑" w:hAnsi="微软雅黑" w:eastAsia="微软雅黑" w:cs="微软雅黑"/>
          <w:b/>
          <w:color w:val="1F4E79"/>
          <w:sz w:val="22"/>
        </w:rPr>
        <w:t>Cube 路径：GM → L1 → L0A/L0B → Cube → L0C → FixPipe → UB/GM</w:t>
      </w:r>
    </w:p>
    <w:p w14:paraId="4F0465B5">
      <w:pPr>
        <w:pStyle w:val="3"/>
      </w:pPr>
      <w:r>
        <w:t>二、Vector Core 访存机制</w:t>
      </w:r>
    </w:p>
    <w:p w14:paraId="65375222">
      <w:pPr>
        <w:pStyle w:val="4"/>
      </w:pPr>
      <w:r>
        <w:t>2.1 32 字节对齐：硬件硬性要求</w:t>
      </w:r>
    </w:p>
    <w:p w14:paraId="5F1B7199">
      <w:r>
        <w:rPr>
          <w:rFonts w:ascii="微软雅黑" w:hAnsi="微软雅黑" w:eastAsia="微软雅黑" w:cs="微软雅黑"/>
          <w:color w:val="000000"/>
          <w:sz w:val="21"/>
        </w:rPr>
        <w:t>Vector Core 只能直接访问 UB，不经过 L1、L0A/L0B 或 L0C。UB 中所有内存操作的起始地址和数据长度（除非使用特殊接口）都必须满足 32 字节对齐，这是硬件总线粒度与 SIMD 并行度匹配的硬性要求。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4EA57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</w:tcPr>
          <w:p w14:paraId="21F572D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项目</w:t>
            </w:r>
          </w:p>
        </w:tc>
        <w:tc>
          <w:tcPr>
            <w:tcW w:w="4536" w:type="dxa"/>
            <w:shd w:val="clear" w:color="auto" w:fill="D9E2F3"/>
          </w:tcPr>
          <w:p w14:paraId="3E2A734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内容</w:t>
            </w:r>
          </w:p>
        </w:tc>
      </w:tr>
      <w:tr w14:paraId="5654C1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D839D1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寻址基本单位</w:t>
            </w:r>
          </w:p>
        </w:tc>
        <w:tc>
          <w:tcPr>
            <w:tcW w:w="4536" w:type="dxa"/>
          </w:tcPr>
          <w:p w14:paraId="21D2CFC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1 DataBlock = 32 Byte</w:t>
            </w:r>
          </w:p>
        </w:tc>
      </w:tr>
      <w:tr w14:paraId="5BEEEC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BAFBC6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单次迭代（一个 repeat）</w:t>
            </w:r>
          </w:p>
        </w:tc>
        <w:tc>
          <w:tcPr>
            <w:tcW w:w="4536" w:type="dxa"/>
          </w:tcPr>
          <w:p w14:paraId="785DFFD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8 DataBlock = 256 Byte</w:t>
            </w:r>
          </w:p>
        </w:tc>
      </w:tr>
      <w:tr w14:paraId="3F06EE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CA6685E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物理寄存器宽度</w:t>
            </w:r>
          </w:p>
        </w:tc>
        <w:tc>
          <w:tcPr>
            <w:tcW w:w="4536" w:type="dxa"/>
          </w:tcPr>
          <w:p w14:paraId="19621C4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256 Byte</w:t>
            </w:r>
          </w:p>
        </w:tc>
      </w:tr>
      <w:tr w14:paraId="189948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5C3CB3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fp32 时 lane 数</w:t>
            </w:r>
          </w:p>
        </w:tc>
        <w:tc>
          <w:tcPr>
            <w:tcW w:w="4536" w:type="dxa"/>
          </w:tcPr>
          <w:p w14:paraId="60D49EE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64 lane（mask 取值 [1, 64]）</w:t>
            </w:r>
          </w:p>
        </w:tc>
      </w:tr>
      <w:tr w14:paraId="29670E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944E8C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fp16 时 lane 数</w:t>
            </w:r>
          </w:p>
        </w:tc>
        <w:tc>
          <w:tcPr>
            <w:tcW w:w="4536" w:type="dxa"/>
          </w:tcPr>
          <w:p w14:paraId="4BDA0BA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128 lane（mask 取值 [1, 128]）</w:t>
            </w:r>
          </w:p>
        </w:tc>
      </w:tr>
    </w:tbl>
    <w:p w14:paraId="38540586">
      <w:pPr>
        <w:spacing w:after="80"/>
      </w:pPr>
    </w:p>
    <w:p w14:paraId="4E1711CD">
      <w:r>
        <w:rPr>
          <w:rFonts w:ascii="微软雅黑" w:hAnsi="微软雅黑" w:eastAsia="微软雅黑" w:cs="微软雅黑"/>
          <w:b/>
          <w:color w:val="1F4E79"/>
          <w:sz w:val="22"/>
        </w:rPr>
        <w:t>Lane 不是线程，而是 Vector 单元一次迭代内能并行处理的数据槽位，对应 256B 物理寄存器里的一个位置。Mask 寄存器（128 bit）每一位对应一个 lane，为 0 时硬件跳过该 lane 的计算与写回。</w:t>
      </w:r>
    </w:p>
    <w:p w14:paraId="70B0D024">
      <w:pPr>
        <w:pStyle w:val="4"/>
      </w:pPr>
      <w:r>
        <w:t>2.2 三种硬件 mask 模式</w:t>
      </w:r>
    </w:p>
    <w:p w14:paraId="00084A5B">
      <w:r>
        <w:rPr>
          <w:rFonts w:ascii="微软雅黑" w:hAnsi="微软雅黑" w:eastAsia="微软雅黑" w:cs="微软雅黑"/>
          <w:color w:val="000000"/>
          <w:sz w:val="21"/>
        </w:rPr>
        <w:t>Ascend C 的矢量指令原生支持 mask 参数，尾块靠 mask 屏蔽多余 lane，无需手动写循环处理尾部。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4382A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0E45765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模式</w:t>
            </w:r>
          </w:p>
        </w:tc>
        <w:tc>
          <w:tcPr>
            <w:tcW w:w="2268" w:type="dxa"/>
            <w:shd w:val="clear" w:color="auto" w:fill="D9E2F3"/>
          </w:tcPr>
          <w:p w14:paraId="0B95485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mask 是什么</w:t>
            </w:r>
          </w:p>
        </w:tc>
        <w:tc>
          <w:tcPr>
            <w:tcW w:w="2268" w:type="dxa"/>
            <w:shd w:val="clear" w:color="auto" w:fill="D9E2F3"/>
          </w:tcPr>
          <w:p w14:paraId="57C0AC1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谁决定尾块</w:t>
            </w:r>
          </w:p>
        </w:tc>
        <w:tc>
          <w:tcPr>
            <w:tcW w:w="2268" w:type="dxa"/>
            <w:shd w:val="clear" w:color="auto" w:fill="D9E2F3"/>
          </w:tcPr>
          <w:p w14:paraId="06D84A9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适用场景</w:t>
            </w:r>
          </w:p>
        </w:tc>
      </w:tr>
      <w:tr w14:paraId="2391B6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47139F2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连续模式</w:t>
            </w:r>
          </w:p>
        </w:tc>
        <w:tc>
          <w:tcPr>
            <w:tcW w:w="2268" w:type="dxa"/>
          </w:tcPr>
          <w:p w14:paraId="7103216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一个数字（如 36），表示前 N 个元素参与</w:t>
            </w:r>
          </w:p>
        </w:tc>
        <w:tc>
          <w:tcPr>
            <w:tcW w:w="2268" w:type="dxa"/>
          </w:tcPr>
          <w:p w14:paraId="452581B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你算好传进去</w:t>
            </w:r>
          </w:p>
        </w:tc>
        <w:tc>
          <w:tcPr>
            <w:tcW w:w="2268" w:type="dxa"/>
          </w:tcPr>
          <w:p w14:paraId="0D082792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连续、尾部不满</w:t>
            </w:r>
          </w:p>
        </w:tc>
      </w:tr>
      <w:tr w14:paraId="760F7E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BF6FE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逐 bit 模式</w:t>
            </w:r>
          </w:p>
        </w:tc>
        <w:tc>
          <w:tcPr>
            <w:tcW w:w="2268" w:type="dxa"/>
          </w:tcPr>
          <w:p w14:paraId="03F242E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一个 bit 串（64/128 位），逐位控制每个 lane</w:t>
            </w:r>
          </w:p>
        </w:tc>
        <w:tc>
          <w:tcPr>
            <w:tcW w:w="2268" w:type="dxa"/>
          </w:tcPr>
          <w:p w14:paraId="0440EAE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你写每 bit</w:t>
            </w:r>
          </w:p>
        </w:tc>
        <w:tc>
          <w:tcPr>
            <w:tcW w:w="2268" w:type="dxa"/>
          </w:tcPr>
          <w:p w14:paraId="6FC765F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离散、非对齐、任意位置</w:t>
            </w:r>
          </w:p>
        </w:tc>
      </w:tr>
      <w:tr w14:paraId="46D52F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B495B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Counter 模式</w:t>
            </w:r>
          </w:p>
        </w:tc>
        <w:tc>
          <w:tcPr>
            <w:tcW w:w="2268" w:type="dxa"/>
          </w:tcPr>
          <w:p w14:paraId="6A047D0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一个总数（如 100），硬件自动推断迭代次数</w:t>
            </w:r>
          </w:p>
        </w:tc>
        <w:tc>
          <w:tcPr>
            <w:tcW w:w="2268" w:type="dxa"/>
          </w:tcPr>
          <w:p w14:paraId="0BEC04A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硬件自动切分</w:t>
            </w:r>
          </w:p>
        </w:tc>
        <w:tc>
          <w:tcPr>
            <w:tcW w:w="2268" w:type="dxa"/>
          </w:tcPr>
          <w:p w14:paraId="3927AA0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不想自己管迭代</w:t>
            </w:r>
          </w:p>
        </w:tc>
      </w:tr>
    </w:tbl>
    <w:p w14:paraId="4AE8E24C">
      <w:pPr>
        <w:spacing w:after="80"/>
      </w:pPr>
    </w:p>
    <w:p w14:paraId="51465C45">
      <w:pPr>
        <w:shd w:val="clear" w:color="auto" w:fill="F2F2F2"/>
        <w:spacing w:before="80" w:after="160" w:line="276" w:lineRule="auto"/>
        <w:ind w:left="170" w:right="170"/>
        <w:jc w:val="left"/>
      </w:pPr>
      <w:r>
        <w:rPr>
          <w:rFonts w:ascii="Consolas" w:hAnsi="Consolas" w:eastAsia="Consolas" w:cs="Consolas"/>
          <w:color w:val="243447"/>
          <w:sz w:val="20"/>
        </w:rPr>
        <w:t>// 连续模式：处理 36 个有效元素，硬件一次 64 lane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lane:  0  1  2 ... 35 | 36 37 ... 63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mask:  1  1  1 ...  1 |  0  0 ...  0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 xml:space="preserve">       └── 参与 ──┘   └── 不参与 ──┘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// 逐 bit 模式：只算偶数下标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lane:  0  1  2  3  4  5 ... 63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mask:  1  0  1  0  1  0 ...  0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// Counter 模式：处理 100 个元素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第 1 次迭代：处理 64 个（自动）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第 2 次迭代：处理 36 个（自动，尾块）</w:t>
      </w:r>
    </w:p>
    <w:p w14:paraId="395A0225">
      <w:r>
        <w:rPr>
          <w:rFonts w:ascii="微软雅黑" w:hAnsi="微软雅黑" w:eastAsia="微软雅黑" w:cs="微软雅黑"/>
          <w:b/>
          <w:color w:val="1F4E79"/>
          <w:sz w:val="22"/>
        </w:rPr>
        <w:t>关键：mask 只作用于 Vector 计算阶段，MTE 搬运硬件完全不看 mask。</w:t>
      </w:r>
    </w:p>
    <w:p w14:paraId="35C875C9">
      <w:pPr>
        <w:pStyle w:val="4"/>
      </w:pPr>
      <w:r>
        <w:t>2.3 非对齐处理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AA6EE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</w:tcPr>
          <w:p w14:paraId="184C7ED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场景</w:t>
            </w:r>
          </w:p>
        </w:tc>
        <w:tc>
          <w:tcPr>
            <w:tcW w:w="4536" w:type="dxa"/>
            <w:shd w:val="clear" w:color="auto" w:fill="D9E2F3"/>
          </w:tcPr>
          <w:p w14:paraId="6123FF1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处理方式</w:t>
            </w:r>
          </w:p>
        </w:tc>
      </w:tr>
      <w:tr w14:paraId="742528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392577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地址 32B 对齐</w:t>
            </w:r>
          </w:p>
        </w:tc>
        <w:tc>
          <w:tcPr>
            <w:tcW w:w="4536" w:type="dxa"/>
          </w:tcPr>
          <w:p w14:paraId="63595C1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正常访问</w:t>
            </w:r>
          </w:p>
        </w:tc>
      </w:tr>
      <w:tr w14:paraId="2E8F23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CDE949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地址非 32B 对齐</w:t>
            </w:r>
          </w:p>
        </w:tc>
        <w:tc>
          <w:tcPr>
            <w:tcW w:w="4536" w:type="dxa"/>
          </w:tcPr>
          <w:p w14:paraId="5165C6A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直接运行时报错（硬性要求）</w:t>
            </w:r>
          </w:p>
        </w:tc>
      </w:tr>
      <w:tr w14:paraId="771FA8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3BF797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长度非 32B 对齐</w:t>
            </w:r>
          </w:p>
        </w:tc>
        <w:tc>
          <w:tcPr>
            <w:tcW w:w="4536" w:type="dxa"/>
          </w:tcPr>
          <w:p w14:paraId="47AEB7F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DataCopyPad 自动补 dummy，或 asc_loadunalign / asc_storeunalign</w:t>
            </w:r>
          </w:p>
        </w:tc>
      </w:tr>
    </w:tbl>
    <w:p w14:paraId="5B1F5510">
      <w:pPr>
        <w:spacing w:after="80"/>
      </w:pPr>
    </w:p>
    <w:p w14:paraId="1572AFB7">
      <w:r>
        <w:rPr>
          <w:rFonts w:ascii="微软雅黑" w:hAnsi="微软雅黑" w:eastAsia="微软雅黑" w:cs="微软雅黑"/>
          <w:color w:val="000000"/>
          <w:sz w:val="21"/>
        </w:rPr>
        <w:t>DataCopyPad 在搬运时自动处理对齐：从 UB 读取时硬件在数据前后填充 dummy 凑齐 32B，写入 GM 时再丢弃这些填充数据，保证结果正确。开发者也可以手动采用“搬入时多搬冗余、搬出时用 Mask/UnPad 去除”的策略。</w:t>
      </w:r>
    </w:p>
    <w:p w14:paraId="34B1C2CF">
      <w:pPr>
        <w:pStyle w:val="3"/>
      </w:pPr>
      <w:r>
        <w:t>三、Cube 访存机制</w:t>
      </w:r>
    </w:p>
    <w:p w14:paraId="594BCECD">
      <w:pPr>
        <w:pStyle w:val="4"/>
      </w:pPr>
      <w:r>
        <w:t>3.1 严格分阶段的数据流</w:t>
      </w:r>
    </w:p>
    <w:p w14:paraId="73ED3805">
      <w:r>
        <w:rPr>
          <w:rFonts w:ascii="微软雅黑" w:hAnsi="微软雅黑" w:eastAsia="微软雅黑" w:cs="微软雅黑"/>
          <w:color w:val="000000"/>
          <w:sz w:val="21"/>
        </w:rPr>
        <w:t>Cube 不直接读写 L1 或 UB，读写严格分阶段：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8C433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7D5CF9C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阶段</w:t>
            </w:r>
          </w:p>
        </w:tc>
        <w:tc>
          <w:tcPr>
            <w:tcW w:w="3024" w:type="dxa"/>
            <w:shd w:val="clear" w:color="auto" w:fill="D9E2F3"/>
          </w:tcPr>
          <w:p w14:paraId="6E50A04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数据流</w:t>
            </w:r>
          </w:p>
        </w:tc>
        <w:tc>
          <w:tcPr>
            <w:tcW w:w="3024" w:type="dxa"/>
            <w:shd w:val="clear" w:color="auto" w:fill="D9E2F3"/>
          </w:tcPr>
          <w:p w14:paraId="6DB1238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搬运单元</w:t>
            </w:r>
          </w:p>
        </w:tc>
      </w:tr>
      <w:tr w14:paraId="16181E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6BEC91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搬入</w:t>
            </w:r>
          </w:p>
        </w:tc>
        <w:tc>
          <w:tcPr>
            <w:tcW w:w="3024" w:type="dxa"/>
          </w:tcPr>
          <w:p w14:paraId="5DF059F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GM → L1</w:t>
            </w:r>
          </w:p>
        </w:tc>
        <w:tc>
          <w:tcPr>
            <w:tcW w:w="3024" w:type="dxa"/>
          </w:tcPr>
          <w:p w14:paraId="35B5A08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MTE2</w:t>
            </w:r>
          </w:p>
        </w:tc>
      </w:tr>
      <w:tr w14:paraId="0748EE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E7E07E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加载</w:t>
            </w:r>
          </w:p>
        </w:tc>
        <w:tc>
          <w:tcPr>
            <w:tcW w:w="3024" w:type="dxa"/>
          </w:tcPr>
          <w:p w14:paraId="3CF328A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L1 → L0A/L0B</w:t>
            </w:r>
          </w:p>
        </w:tc>
        <w:tc>
          <w:tcPr>
            <w:tcW w:w="3024" w:type="dxa"/>
          </w:tcPr>
          <w:p w14:paraId="48918D4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MTE1</w:t>
            </w:r>
          </w:p>
        </w:tc>
      </w:tr>
      <w:tr w14:paraId="0BF37F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ACD4AE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计算</w:t>
            </w:r>
          </w:p>
        </w:tc>
        <w:tc>
          <w:tcPr>
            <w:tcW w:w="3024" w:type="dxa"/>
          </w:tcPr>
          <w:p w14:paraId="307A181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L0A/L0B → Cube → L0C</w:t>
            </w:r>
          </w:p>
        </w:tc>
        <w:tc>
          <w:tcPr>
            <w:tcW w:w="3024" w:type="dxa"/>
          </w:tcPr>
          <w:p w14:paraId="7F3480F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Cube 单元</w:t>
            </w:r>
          </w:p>
        </w:tc>
      </w:tr>
      <w:tr w14:paraId="0CD428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3AA381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搬出</w:t>
            </w:r>
          </w:p>
        </w:tc>
        <w:tc>
          <w:tcPr>
            <w:tcW w:w="3024" w:type="dxa"/>
          </w:tcPr>
          <w:p w14:paraId="058CD9D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L0C → UB / GM</w:t>
            </w:r>
          </w:p>
        </w:tc>
        <w:tc>
          <w:tcPr>
            <w:tcW w:w="3024" w:type="dxa"/>
          </w:tcPr>
          <w:p w14:paraId="33804BE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FixPipe</w:t>
            </w:r>
          </w:p>
        </w:tc>
      </w:tr>
    </w:tbl>
    <w:p w14:paraId="41F33616">
      <w:pPr>
        <w:spacing w:after="80"/>
      </w:pPr>
    </w:p>
    <w:p w14:paraId="1526C88A">
      <w:r>
        <w:rPr>
          <w:rFonts w:ascii="微软雅黑" w:hAnsi="微软雅黑" w:eastAsia="微软雅黑" w:cs="微软雅黑"/>
          <w:b/>
          <w:color w:val="1F4E79"/>
          <w:sz w:val="22"/>
        </w:rPr>
        <w:t>Cube 的直接数据源是 L0A/L0B，不是 L1，也不是 UB。L0A/L0B 对齐要求 512 Byte，L1 对齐 32 Byte，L0C 对齐 64 Byte。</w:t>
      </w:r>
    </w:p>
    <w:p w14:paraId="401778DF">
      <w:pPr>
        <w:pStyle w:val="4"/>
      </w:pPr>
      <w:r>
        <w:t>3.2 NZ 分形格式</w:t>
      </w:r>
    </w:p>
    <w:p w14:paraId="30215AFC">
      <w:r>
        <w:rPr>
          <w:rFonts w:ascii="微软雅黑" w:hAnsi="微软雅黑" w:eastAsia="微软雅黑" w:cs="微软雅黑"/>
          <w:color w:val="000000"/>
          <w:sz w:val="21"/>
        </w:rPr>
        <w:t>L1 中的数据按 NZ（分形）格式排列：分形内行主序 + 分形间列主序。分形大小由数据类型决定：fp16 为 16×16，int8 为 16×32。</w:t>
      </w:r>
    </w:p>
    <w:p w14:paraId="1B0A12F4">
      <w:pPr>
        <w:shd w:val="clear" w:color="auto" w:fill="F2F2F2"/>
        <w:spacing w:before="80" w:after="160" w:line="276" w:lineRule="auto"/>
        <w:ind w:left="170" w:right="170"/>
        <w:jc w:val="left"/>
      </w:pPr>
      <w:r>
        <w:rPr>
          <w:rFonts w:ascii="Consolas" w:hAnsi="Consolas" w:eastAsia="Consolas" w:cs="Consolas"/>
          <w:color w:val="243447"/>
          <w:sz w:val="20"/>
        </w:rPr>
        <w:t>原始矩阵（4×4，分形 2×2）：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[ a00 a01 | a02 a03 ]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[ a10 a11 | a12 a13 ]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[ -------- + -------- ]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[ a20 a21 | a22 a23 ]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[ a30 a31 | a32 a33 ]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NZ 线性排列：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a00 a01 a10 a11 | a20 a21 a30 a31 | a02 a03 a12 a13 | a22 a23 a32 a33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└─分形(0,0)─┘   └─分形(1,0)─┘   └─分形(0,1)─┘   └─分形(1,1)─┘</w:t>
      </w:r>
    </w:p>
    <w:p w14:paraId="5065F043">
      <w:r>
        <w:rPr>
          <w:rFonts w:ascii="微软雅黑" w:hAnsi="微软雅黑" w:eastAsia="微软雅黑" w:cs="微软雅黑"/>
          <w:b/>
          <w:color w:val="1F4E79"/>
          <w:sz w:val="22"/>
        </w:rPr>
        <w:t>格式转换链：ND →（MTE2）→ NZ →（MTE1）→ ZZ（左矩阵）/ ZN（右矩阵）→ Cube</w:t>
      </w:r>
    </w:p>
    <w:p w14:paraId="104927DF">
      <w:r>
        <w:rPr>
          <w:rFonts w:ascii="微软雅黑" w:hAnsi="微软雅黑" w:eastAsia="微软雅黑" w:cs="微软雅黑"/>
          <w:color w:val="000000"/>
          <w:sz w:val="21"/>
        </w:rPr>
        <w:t>对齐约束：L1 数据不足一个完整分形时硬件直接报错；GM 地址非 512B 对齐时带宽效率降至约 70%；多核访问同一 512B 区间时请求被串行化。</w:t>
      </w:r>
    </w:p>
    <w:p w14:paraId="256BECEF">
      <w:pPr>
        <w:pStyle w:val="3"/>
      </w:pPr>
      <w:r>
        <w:t>四、MTE 搬运单元与 GM 访存</w:t>
      </w:r>
    </w:p>
    <w:p w14:paraId="773F8D99">
      <w:pPr>
        <w:pStyle w:val="4"/>
      </w:pPr>
      <w:r>
        <w:t>4.1 三个搬运单元分工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A8E4E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64D1082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搬运单元</w:t>
            </w:r>
          </w:p>
        </w:tc>
        <w:tc>
          <w:tcPr>
            <w:tcW w:w="3024" w:type="dxa"/>
            <w:shd w:val="clear" w:color="auto" w:fill="D9E2F3"/>
          </w:tcPr>
          <w:p w14:paraId="7D4137C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负责通路</w:t>
            </w:r>
          </w:p>
        </w:tc>
        <w:tc>
          <w:tcPr>
            <w:tcW w:w="3024" w:type="dxa"/>
            <w:shd w:val="clear" w:color="auto" w:fill="D9E2F3"/>
          </w:tcPr>
          <w:p w14:paraId="0139E07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方向</w:t>
            </w:r>
          </w:p>
        </w:tc>
      </w:tr>
      <w:tr w14:paraId="19A330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F77D962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MTE2</w:t>
            </w:r>
          </w:p>
        </w:tc>
        <w:tc>
          <w:tcPr>
            <w:tcW w:w="3024" w:type="dxa"/>
          </w:tcPr>
          <w:p w14:paraId="1D35819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GM → UB、GM → L1</w:t>
            </w:r>
          </w:p>
        </w:tc>
        <w:tc>
          <w:tcPr>
            <w:tcW w:w="3024" w:type="dxa"/>
          </w:tcPr>
          <w:p w14:paraId="2ABB5AB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搬入</w:t>
            </w:r>
          </w:p>
        </w:tc>
      </w:tr>
      <w:tr w14:paraId="708C6A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4C1404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MTE1</w:t>
            </w:r>
          </w:p>
        </w:tc>
        <w:tc>
          <w:tcPr>
            <w:tcW w:w="3024" w:type="dxa"/>
          </w:tcPr>
          <w:p w14:paraId="62C1BB9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L1 → L0A/L0B</w:t>
            </w:r>
          </w:p>
        </w:tc>
        <w:tc>
          <w:tcPr>
            <w:tcW w:w="3024" w:type="dxa"/>
          </w:tcPr>
          <w:p w14:paraId="5AD9458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核内加载（供 Cube）</w:t>
            </w:r>
          </w:p>
        </w:tc>
      </w:tr>
      <w:tr w14:paraId="2E7806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360449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MTE3</w:t>
            </w:r>
          </w:p>
        </w:tc>
        <w:tc>
          <w:tcPr>
            <w:tcW w:w="3024" w:type="dxa"/>
          </w:tcPr>
          <w:p w14:paraId="715DBE3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UB → GM、UB ↔ L1</w:t>
            </w:r>
          </w:p>
        </w:tc>
        <w:tc>
          <w:tcPr>
            <w:tcW w:w="3024" w:type="dxa"/>
          </w:tcPr>
          <w:p w14:paraId="0A39F40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搬出 / 核内搬运</w:t>
            </w:r>
          </w:p>
        </w:tc>
      </w:tr>
      <w:tr w14:paraId="4C55D6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73E284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FixPipe</w:t>
            </w:r>
          </w:p>
        </w:tc>
        <w:tc>
          <w:tcPr>
            <w:tcW w:w="3024" w:type="dxa"/>
          </w:tcPr>
          <w:p w14:paraId="65D87BC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L0C → UB / GM</w:t>
            </w:r>
          </w:p>
        </w:tc>
        <w:tc>
          <w:tcPr>
            <w:tcW w:w="3024" w:type="dxa"/>
          </w:tcPr>
          <w:p w14:paraId="212A997E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结果搬出</w:t>
            </w:r>
          </w:p>
        </w:tc>
      </w:tr>
    </w:tbl>
    <w:p w14:paraId="2533BC68">
      <w:pPr>
        <w:spacing w:after="80"/>
      </w:pPr>
    </w:p>
    <w:p w14:paraId="71555947">
      <w:pPr>
        <w:pStyle w:val="4"/>
      </w:pPr>
      <w:r>
        <w:t>4.2 32B 与 512B：两个层面的对齐</w:t>
      </w:r>
    </w:p>
    <w:p w14:paraId="0B06643A">
      <w:r>
        <w:rPr>
          <w:rFonts w:ascii="微软雅黑" w:hAnsi="微软雅黑" w:eastAsia="微软雅黑" w:cs="微软雅黑"/>
          <w:b/>
          <w:color w:val="1F4E79"/>
          <w:sz w:val="22"/>
        </w:rPr>
        <w:t>UB 侧 32B：硬性读写对齐。MTE3 从 UB 读数据时，起始地址和长度都必须 32B 对齐，不满足就补 dummy。</w:t>
      </w:r>
    </w:p>
    <w:p w14:paraId="519CCEE7">
      <w:r>
        <w:rPr>
          <w:rFonts w:ascii="微软雅黑" w:hAnsi="微软雅黑" w:eastAsia="微软雅黑" w:cs="微软雅黑"/>
          <w:b/>
          <w:color w:val="1F4E79"/>
          <w:sz w:val="22"/>
        </w:rPr>
        <w:t>GM 侧 512B：访存粒度，不是起始地址强制要求。MTE 访问 GM 时地址请求按 512B 粒度对齐处理。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920E3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</w:tcPr>
          <w:p w14:paraId="1FBDE31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场景</w:t>
            </w:r>
          </w:p>
        </w:tc>
        <w:tc>
          <w:tcPr>
            <w:tcW w:w="4536" w:type="dxa"/>
            <w:shd w:val="clear" w:color="auto" w:fill="D9E2F3"/>
          </w:tcPr>
          <w:p w14:paraId="36B203F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结果</w:t>
            </w:r>
          </w:p>
        </w:tc>
      </w:tr>
      <w:tr w14:paraId="4FA5F6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A43244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GM 地址 512B 对齐</w:t>
            </w:r>
          </w:p>
        </w:tc>
        <w:tc>
          <w:tcPr>
            <w:tcW w:w="4536" w:type="dxa"/>
          </w:tcPr>
          <w:p w14:paraId="09CF398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带宽效率最佳，达到理论峰值</w:t>
            </w:r>
          </w:p>
        </w:tc>
      </w:tr>
      <w:tr w14:paraId="734325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4A9F29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GM 地址仅 32B 对齐</w:t>
            </w:r>
          </w:p>
        </w:tc>
        <w:tc>
          <w:tcPr>
            <w:tcW w:w="4536" w:type="dxa"/>
          </w:tcPr>
          <w:p w14:paraId="33077C4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带宽约为 512B 对齐时的 70%</w:t>
            </w:r>
          </w:p>
        </w:tc>
      </w:tr>
      <w:tr w14:paraId="213737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289029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多核同时访问连续 512B 内地址</w:t>
            </w:r>
          </w:p>
        </w:tc>
        <w:tc>
          <w:tcPr>
            <w:tcW w:w="4536" w:type="dxa"/>
          </w:tcPr>
          <w:p w14:paraId="452A8C6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请求被串行处理，效率进一步下降</w:t>
            </w:r>
          </w:p>
        </w:tc>
      </w:tr>
    </w:tbl>
    <w:p w14:paraId="469FB0F1">
      <w:pPr>
        <w:spacing w:after="80"/>
      </w:pPr>
    </w:p>
    <w:p w14:paraId="0FC953AF">
      <w:r>
        <w:rPr>
          <w:rFonts w:ascii="微软雅黑" w:hAnsi="微软雅黑" w:eastAsia="微软雅黑" w:cs="微软雅黑"/>
          <w:color w:val="000000"/>
          <w:sz w:val="21"/>
        </w:rPr>
        <w:t>512B 的真正含义是“按 512B 粒度划分访问区域”——地址落在哪个 512B 区间，决定访问效率和是否与其他核冲突，而不是“起点必须对齐到 512B”。</w:t>
      </w:r>
    </w:p>
    <w:p w14:paraId="5124F91C">
      <w:pPr>
        <w:pStyle w:val="3"/>
      </w:pPr>
      <w:r>
        <w:t>五、越界与编译器防护</w:t>
      </w:r>
    </w:p>
    <w:p w14:paraId="221D60E8">
      <w:pPr>
        <w:pStyle w:val="4"/>
      </w:pPr>
      <w:r>
        <w:t>5.1 MTE 与 Vector 解耦</w:t>
      </w:r>
    </w:p>
    <w:p w14:paraId="7155B3FB">
      <w:r>
        <w:rPr>
          <w:rFonts w:ascii="微软雅黑" w:hAnsi="微软雅黑" w:eastAsia="微软雅黑" w:cs="微软雅黑"/>
          <w:color w:val="000000"/>
          <w:sz w:val="21"/>
        </w:rPr>
        <w:t>MTE 是数据搬运引擎，其指令参数里没有 Vector 计算用的 mask。流程是：MTE 按块把数据搬进 UB（不管 mask）→ Vector 按 mask 选择哪些元素参与计算。MTE 搬进来的“多余元素”就待在 UB 里，Vector 计算时用 mask 忽略。</w:t>
      </w:r>
    </w:p>
    <w:p w14:paraId="08749C91">
      <w:pPr>
        <w:pStyle w:val="4"/>
      </w:pPr>
      <w:r>
        <w:t>5.2 越界不能靠 mask 屏蔽兜底</w:t>
      </w:r>
    </w:p>
    <w:p w14:paraId="1C522059">
      <w:pPr>
        <w:shd w:val="clear" w:color="auto" w:fill="F2F2F2"/>
        <w:spacing w:before="80" w:after="160" w:line="276" w:lineRule="auto"/>
        <w:ind w:left="170" w:right="170"/>
        <w:jc w:val="left"/>
      </w:pPr>
      <w:r>
        <w:rPr>
          <w:rFonts w:ascii="Consolas" w:hAnsi="Consolas" w:eastAsia="Consolas" w:cs="Consolas"/>
          <w:color w:val="243447"/>
          <w:sz w:val="20"/>
        </w:rPr>
        <w:t>MTE 搬运（越界发生在这里）  →  Vector 计算（mask 屏蔽在这里）</w:t>
      </w:r>
    </w:p>
    <w:p w14:paraId="07640A63">
      <w:r>
        <w:rPr>
          <w:rFonts w:ascii="微软雅黑" w:hAnsi="微软雅黑" w:eastAsia="微软雅黑" w:cs="微软雅黑"/>
          <w:color w:val="000000"/>
          <w:sz w:val="21"/>
        </w:rPr>
        <w:t>越界发生在搬运阶段，屏蔽发生在计算阶段，搬运在前。MTE 按错误的块大小去读 GM，读到 tensor 尾部之外时当场报错，Vector 还没开始算，mask 根本救不了。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CE334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</w:tcPr>
          <w:p w14:paraId="411633FE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w="4536" w:type="dxa"/>
            <w:shd w:val="clear" w:color="auto" w:fill="D9E2F3"/>
          </w:tcPr>
          <w:p w14:paraId="469A9E4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后果</w:t>
            </w:r>
          </w:p>
        </w:tc>
      </w:tr>
      <w:tr w14:paraId="1E5C8E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9EA036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越界读</w:t>
            </w:r>
          </w:p>
        </w:tc>
        <w:tc>
          <w:tcPr>
            <w:tcW w:w="4536" w:type="dxa"/>
          </w:tcPr>
          <w:p w14:paraId="3345328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读到脏数据，更严重的是触发 MTE 硬件异常，kernel 报错终止</w:t>
            </w:r>
          </w:p>
        </w:tc>
      </w:tr>
      <w:tr w14:paraId="1C9632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48A8A8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越界写</w:t>
            </w:r>
          </w:p>
        </w:tc>
        <w:tc>
          <w:tcPr>
            <w:tcW w:w="4536" w:type="dxa"/>
          </w:tcPr>
          <w:p w14:paraId="44306FD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污染其他 tensor / 缓冲区的数据</w:t>
            </w:r>
          </w:p>
        </w:tc>
      </w:tr>
    </w:tbl>
    <w:p w14:paraId="038C829E">
      <w:pPr>
        <w:spacing w:after="80"/>
      </w:pPr>
    </w:p>
    <w:p w14:paraId="1BC988B5">
      <w:pPr>
        <w:pStyle w:val="4"/>
      </w:pPr>
      <w:r>
        <w:t>5.3 “多搬”不等于“越界”</w:t>
      </w:r>
    </w:p>
    <w:p w14:paraId="0BCEC1F6">
      <w:r>
        <w:rPr>
          <w:rFonts w:ascii="微软雅黑" w:hAnsi="微软雅黑" w:eastAsia="微软雅黑" w:cs="微软雅黑"/>
          <w:color w:val="000000"/>
          <w:sz w:val="21"/>
        </w:rPr>
        <w:t>区别在于多搬的部分物理上还在不在 tensor 真实内存里：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C1BCC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7B3C793D">
            <w:pPr>
              <w:spacing w:before="40" w:after="40" w:line="276" w:lineRule="auto"/>
            </w:pPr>
          </w:p>
        </w:tc>
        <w:tc>
          <w:tcPr>
            <w:tcW w:w="1814" w:type="dxa"/>
            <w:shd w:val="clear" w:color="auto" w:fill="D9E2F3"/>
          </w:tcPr>
          <w:p w14:paraId="7A51F658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tensor 真实行数</w:t>
            </w:r>
          </w:p>
        </w:tc>
        <w:tc>
          <w:tcPr>
            <w:tcW w:w="1814" w:type="dxa"/>
            <w:shd w:val="clear" w:color="auto" w:fill="D9E2F3"/>
          </w:tcPr>
          <w:p w14:paraId="636373A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MTE 实际搬</w:t>
            </w:r>
          </w:p>
        </w:tc>
        <w:tc>
          <w:tcPr>
            <w:tcW w:w="1814" w:type="dxa"/>
            <w:shd w:val="clear" w:color="auto" w:fill="D9E2F3"/>
          </w:tcPr>
          <w:p w14:paraId="3944008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多搬部分在 tensor 内吗</w:t>
            </w:r>
          </w:p>
        </w:tc>
        <w:tc>
          <w:tcPr>
            <w:tcW w:w="1814" w:type="dxa"/>
            <w:shd w:val="clear" w:color="auto" w:fill="D9E2F3"/>
          </w:tcPr>
          <w:p w14:paraId="7BD7E44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结果</w:t>
            </w:r>
          </w:p>
        </w:tc>
      </w:tr>
      <w:tr w14:paraId="4E3713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16AAAE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情况 A</w:t>
            </w:r>
          </w:p>
        </w:tc>
        <w:tc>
          <w:tcPr>
            <w:tcW w:w="1814" w:type="dxa"/>
          </w:tcPr>
          <w:p w14:paraId="19E7F06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8 行</w:t>
            </w:r>
          </w:p>
        </w:tc>
        <w:tc>
          <w:tcPr>
            <w:tcW w:w="1814" w:type="dxa"/>
          </w:tcPr>
          <w:p w14:paraId="4FDF05A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6 行（只需 4）</w:t>
            </w:r>
          </w:p>
        </w:tc>
        <w:tc>
          <w:tcPr>
            <w:tcW w:w="1814" w:type="dxa"/>
          </w:tcPr>
          <w:p w14:paraId="55A4F2AE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✅ 在</w:t>
            </w:r>
          </w:p>
        </w:tc>
        <w:tc>
          <w:tcPr>
            <w:tcW w:w="1814" w:type="dxa"/>
          </w:tcPr>
          <w:p w14:paraId="2770619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安全，可 mask 屏蔽</w:t>
            </w:r>
          </w:p>
        </w:tc>
      </w:tr>
      <w:tr w14:paraId="2DA473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AB7EC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情况 B</w:t>
            </w:r>
          </w:p>
        </w:tc>
        <w:tc>
          <w:tcPr>
            <w:tcW w:w="1814" w:type="dxa"/>
          </w:tcPr>
          <w:p w14:paraId="338B053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1 行</w:t>
            </w:r>
          </w:p>
        </w:tc>
        <w:tc>
          <w:tcPr>
            <w:tcW w:w="1814" w:type="dxa"/>
          </w:tcPr>
          <w:p w14:paraId="5DD91ED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4 行（只需 1）</w:t>
            </w:r>
          </w:p>
        </w:tc>
        <w:tc>
          <w:tcPr>
            <w:tcW w:w="1814" w:type="dxa"/>
          </w:tcPr>
          <w:p w14:paraId="15025BB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❌ 不在（第 2~4 行不存在）</w:t>
            </w:r>
          </w:p>
        </w:tc>
        <w:tc>
          <w:tcPr>
            <w:tcW w:w="1814" w:type="dxa"/>
          </w:tcPr>
          <w:p w14:paraId="39009722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越界，报错</w:t>
            </w:r>
          </w:p>
        </w:tc>
      </w:tr>
    </w:tbl>
    <w:p w14:paraId="1AFA4792">
      <w:pPr>
        <w:spacing w:after="80"/>
      </w:pPr>
    </w:p>
    <w:p w14:paraId="3D752418">
      <w:r>
        <w:rPr>
          <w:rFonts w:ascii="微软雅黑" w:hAnsi="微软雅黑" w:eastAsia="微软雅黑" w:cs="微软雅黑"/>
          <w:b/>
          <w:color w:val="1F4E79"/>
          <w:sz w:val="22"/>
        </w:rPr>
        <w:t>判断标准是物理地址合不合法，不是“逻辑上需不需要”。</w:t>
      </w:r>
    </w:p>
    <w:p w14:paraId="57A3694F">
      <w:pPr>
        <w:pStyle w:val="4"/>
      </w:pPr>
      <w:r>
        <w:t>5.4 两种膨胀与编译器应对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992"/>
        <w:gridCol w:w="2071"/>
        <w:gridCol w:w="3215"/>
      </w:tblGrid>
      <w:tr w14:paraId="4AF1AE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4F20D8D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问题</w:t>
            </w:r>
          </w:p>
        </w:tc>
        <w:tc>
          <w:tcPr>
            <w:tcW w:w="2268" w:type="dxa"/>
            <w:shd w:val="clear" w:color="auto" w:fill="D9E2F3"/>
          </w:tcPr>
          <w:p w14:paraId="449664A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发生位置</w:t>
            </w:r>
          </w:p>
        </w:tc>
        <w:tc>
          <w:tcPr>
            <w:tcW w:w="2268" w:type="dxa"/>
            <w:shd w:val="clear" w:color="auto" w:fill="D9E2F3"/>
          </w:tcPr>
          <w:p w14:paraId="4E4E4ACE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后果</w:t>
            </w:r>
          </w:p>
        </w:tc>
        <w:tc>
          <w:tcPr>
            <w:tcW w:w="2268" w:type="dxa"/>
            <w:shd w:val="clear" w:color="auto" w:fill="D9E2F3"/>
          </w:tcPr>
          <w:p w14:paraId="19328B4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编译器处理</w:t>
            </w:r>
          </w:p>
        </w:tc>
      </w:tr>
      <w:tr w14:paraId="194B48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493C8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UB 膨胀</w:t>
            </w:r>
          </w:p>
        </w:tc>
        <w:tc>
          <w:tcPr>
            <w:tcW w:w="2268" w:type="dxa"/>
          </w:tcPr>
          <w:p w14:paraId="5F8607C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UB 内部</w:t>
            </w:r>
          </w:p>
        </w:tc>
        <w:tc>
          <w:tcPr>
            <w:tcW w:w="2268" w:type="dxa"/>
          </w:tcPr>
          <w:p w14:paraId="6740A7A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UB overflow（片上空间不够）</w:t>
            </w:r>
          </w:p>
        </w:tc>
        <w:tc>
          <w:tcPr>
            <w:tcW w:w="2268" w:type="dxa"/>
          </w:tcPr>
          <w:p w14:paraId="52D1A9E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mayDiscretememaccess 降级标量</w:t>
            </w:r>
          </w:p>
        </w:tc>
      </w:tr>
      <w:tr w14:paraId="333352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C909E9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 OOB</w:t>
            </w:r>
          </w:p>
        </w:tc>
        <w:tc>
          <w:tcPr>
            <w:tcW w:w="2268" w:type="dxa"/>
          </w:tcPr>
          <w:p w14:paraId="54B46F3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GM 访存</w:t>
            </w:r>
          </w:p>
        </w:tc>
        <w:tc>
          <w:tcPr>
            <w:tcW w:w="2268" w:type="dxa"/>
          </w:tcPr>
          <w:p w14:paraId="36BBD3B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硬件异常，kernel 挂</w:t>
            </w:r>
          </w:p>
        </w:tc>
        <w:tc>
          <w:tcPr>
            <w:tcW w:w="2268" w:type="dxa"/>
          </w:tcPr>
          <w:p w14:paraId="2B4C570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DiscreteMaskAccessConversion 收紧范围</w:t>
            </w:r>
          </w:p>
        </w:tc>
      </w:tr>
    </w:tbl>
    <w:p w14:paraId="65F93DB3">
      <w:pPr>
        <w:spacing w:after="80"/>
      </w:pPr>
    </w:p>
    <w:p w14:paraId="0354035A">
      <w:r>
        <w:rPr>
          <w:rFonts w:ascii="微软雅黑" w:hAnsi="微软雅黑" w:eastAsia="微软雅黑" w:cs="微软雅黑"/>
          <w:color w:val="000000"/>
          <w:sz w:val="21"/>
        </w:rPr>
        <w:t>DiscreteMaskAccessConversion 在编译流水线（triton_to_structure → add_discrete_mask_access_conversion → ...）中自动插入，把离散 mask 导致的整块 MTE 读收紧到有效数据范围。以 BLOCK_M=4、BLOCK_N=4096、M=1 为例：修复前 MTE 按 4×4096=32768 字节读，越过 tensor 尾部；修复后约束到 1×4096=8192 字节。</w:t>
      </w:r>
    </w:p>
    <w:p w14:paraId="17D085E9">
      <w:r>
        <w:rPr>
          <w:rFonts w:ascii="微软雅黑" w:hAnsi="微软雅黑" w:eastAsia="微软雅黑" w:cs="微软雅黑"/>
          <w:color w:val="000000"/>
          <w:sz w:val="21"/>
        </w:rPr>
        <w:t>AutoBlockify 则保持逻辑有效范围，将并行工作按循环分段处理：load/store rewrite 时保留 boundary check，createMask 对 blockify mask 扩维并与已有 mask 做逻辑 AND。两者是互补层次。</w:t>
      </w:r>
    </w:p>
    <w:p w14:paraId="26833899">
      <w:r>
        <w:rPr>
          <w:rFonts w:ascii="微软雅黑" w:hAnsi="微软雅黑" w:eastAsia="微软雅黑" w:cs="微软雅黑"/>
          <w:b/>
          <w:color w:val="1F4E79"/>
          <w:sz w:val="22"/>
        </w:rPr>
        <w:t>硬件 mask 负责“一次迭代内哪些 lane 参与”；编译器 conversion 负责“整体访存范围不要越界”。两者配合，才能既向量化又安全。</w:t>
      </w:r>
    </w:p>
    <w:p w14:paraId="6D9AD124">
      <w:pPr>
        <w:pStyle w:val="3"/>
      </w:pPr>
      <w:r>
        <w:t>六、与 NVIDIA GPU 的对比</w:t>
      </w:r>
    </w:p>
    <w:p w14:paraId="2B45BF19">
      <w:pPr>
        <w:pStyle w:val="4"/>
      </w:pPr>
      <w:r>
        <w:t>6.1 两个层级：Bank 约束 vs 合并访问</w:t>
      </w:r>
    </w:p>
    <w:p w14:paraId="216AF0B2">
      <w:r>
        <w:rPr>
          <w:rFonts w:ascii="微软雅黑" w:hAnsi="微软雅黑" w:eastAsia="微软雅黑" w:cs="微软雅黑"/>
          <w:color w:val="000000"/>
          <w:sz w:val="21"/>
        </w:rPr>
        <w:t>NVIDIA 端要区分两个层级：Coalescing（合并）发生在 SM 访问 GM 这一级，不是线程访问 SMEM 那一级。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9CF8B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5082221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层级</w:t>
            </w:r>
          </w:p>
        </w:tc>
        <w:tc>
          <w:tcPr>
            <w:tcW w:w="2268" w:type="dxa"/>
            <w:shd w:val="clear" w:color="auto" w:fill="D9E2F3"/>
          </w:tcPr>
          <w:p w14:paraId="04E236E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谁访问谁</w:t>
            </w:r>
          </w:p>
        </w:tc>
        <w:tc>
          <w:tcPr>
            <w:tcW w:w="2268" w:type="dxa"/>
            <w:shd w:val="clear" w:color="auto" w:fill="D9E2F3"/>
          </w:tcPr>
          <w:p w14:paraId="237719C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机制</w:t>
            </w:r>
          </w:p>
        </w:tc>
        <w:tc>
          <w:tcPr>
            <w:tcW w:w="2268" w:type="dxa"/>
            <w:shd w:val="clear" w:color="auto" w:fill="D9E2F3"/>
          </w:tcPr>
          <w:p w14:paraId="1A57D2C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灵活程度</w:t>
            </w:r>
          </w:p>
        </w:tc>
      </w:tr>
      <w:tr w14:paraId="316E25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B2F66D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线程/Warp → SMEM</w:t>
            </w:r>
          </w:p>
        </w:tc>
        <w:tc>
          <w:tcPr>
            <w:tcW w:w="2268" w:type="dxa"/>
          </w:tcPr>
          <w:p w14:paraId="092428D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Warp 内 32 线程访问 Shared Memory</w:t>
            </w:r>
          </w:p>
        </w:tc>
        <w:tc>
          <w:tcPr>
            <w:tcW w:w="2268" w:type="dxa"/>
          </w:tcPr>
          <w:p w14:paraId="62032B7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Bank 访问，每个 Bank 每周期服务一个线程</w:t>
            </w:r>
          </w:p>
        </w:tc>
        <w:tc>
          <w:tcPr>
            <w:tcW w:w="2268" w:type="dxa"/>
          </w:tcPr>
          <w:p w14:paraId="158E3CE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受限，必须避免 Bank Conflict</w:t>
            </w:r>
          </w:p>
        </w:tc>
      </w:tr>
      <w:tr w14:paraId="08922A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1340B8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SM → GM</w:t>
            </w:r>
          </w:p>
        </w:tc>
        <w:tc>
          <w:tcPr>
            <w:tcW w:w="2268" w:type="dxa"/>
          </w:tcPr>
          <w:p w14:paraId="2369716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SM 内存子系统（LSU+L1）向 GM 发请求</w:t>
            </w:r>
          </w:p>
        </w:tc>
        <w:tc>
          <w:tcPr>
            <w:tcW w:w="2268" w:type="dxa"/>
          </w:tcPr>
          <w:p w14:paraId="6E4EBED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Coalescing / TMA</w:t>
            </w:r>
          </w:p>
        </w:tc>
        <w:tc>
          <w:tcPr>
            <w:tcW w:w="2268" w:type="dxa"/>
          </w:tcPr>
          <w:p w14:paraId="08F3C09F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灵活，硬件自动合并</w:t>
            </w:r>
          </w:p>
        </w:tc>
      </w:tr>
    </w:tbl>
    <w:p w14:paraId="509D025E">
      <w:pPr>
        <w:spacing w:after="80"/>
      </w:pPr>
    </w:p>
    <w:p w14:paraId="5F78F174">
      <w:r>
        <w:rPr>
          <w:rFonts w:ascii="微软雅黑" w:hAnsi="微软雅黑" w:eastAsia="微软雅黑" w:cs="微软雅黑"/>
          <w:color w:val="000000"/>
          <w:sz w:val="21"/>
        </w:rPr>
        <w:t>SMEM 被分成 32 个 Bank（每个 4B）。两个线程访问同一 Bank 的不同地址 → Bank Conflict → 串行化。所以线程访问 SMEM 必须“结构化”：要么访问模式天然对齐 Bank，要么靠 Swizzle（XOR 打散）避免冲突。</w:t>
      </w:r>
    </w:p>
    <w:p w14:paraId="21FE71CF">
      <w:pPr>
        <w:shd w:val="clear" w:color="auto" w:fill="F2F2F2"/>
        <w:spacing w:before="80" w:after="160" w:line="276" w:lineRule="auto"/>
        <w:ind w:left="170" w:right="170"/>
        <w:jc w:val="left"/>
      </w:pPr>
      <w:r>
        <w:rPr>
          <w:rFonts w:ascii="Consolas" w:hAnsi="Consolas" w:eastAsia="Consolas" w:cs="Consolas"/>
          <w:color w:val="243447"/>
          <w:sz w:val="20"/>
        </w:rPr>
        <w:t>// 无冲突：线程 t 访问 smem[t]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线程  0 → Bank  0   线程  1 → Bank  1  ...  线程 31 → Bank 31  ✅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// 有冲突：线程 t 访问 smem[t*2]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线程  0 → Bank  0   线程  1 → Bank  2  ...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线程 16 → Bank  0  ← 和线程 0 撞 Bank 0</w:t>
      </w:r>
      <w:r>
        <w:br w:type="textWrapping"/>
      </w:r>
      <w:r>
        <w:rPr>
          <w:rFonts w:ascii="Consolas" w:hAnsi="Consolas" w:eastAsia="Consolas" w:cs="Consolas"/>
          <w:color w:val="243447"/>
          <w:sz w:val="20"/>
        </w:rPr>
        <w:t>线程 17 → Bank  2  ← 和线程 1 撞 Bank 2   ❌ 2-way conflict，慢 2 倍</w:t>
      </w:r>
    </w:p>
    <w:p w14:paraId="0B7A1B22">
      <w:r>
        <w:rPr>
          <w:rFonts w:ascii="微软雅黑" w:hAnsi="微软雅黑" w:eastAsia="微软雅黑" w:cs="微软雅黑"/>
          <w:color w:val="000000"/>
          <w:sz w:val="21"/>
        </w:rPr>
        <w:t>SM 访问 GM 时则灵活得多：32 个线程地址连续合并成 1 次 128B 读取；在同一 cache line 内即使不连续也合并；分散在多个 cache line 才拆成多次事务。TMA 也在这一层——SM 内存子系统直接从 GM 搬大块到 SMEM，硬件自动处理合并和 Swizzle。</w:t>
      </w:r>
    </w:p>
    <w:p w14:paraId="1A4A55E8">
      <w:pPr>
        <w:pStyle w:val="4"/>
      </w:pPr>
      <w:r>
        <w:t>6.2 全景对比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2F739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0D9EF9E1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特性</w:t>
            </w:r>
          </w:p>
        </w:tc>
        <w:tc>
          <w:tcPr>
            <w:tcW w:w="3024" w:type="dxa"/>
            <w:shd w:val="clear" w:color="auto" w:fill="D9E2F3"/>
          </w:tcPr>
          <w:p w14:paraId="5E9D8538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Ascend</w:t>
            </w:r>
          </w:p>
        </w:tc>
        <w:tc>
          <w:tcPr>
            <w:tcW w:w="3024" w:type="dxa"/>
            <w:shd w:val="clear" w:color="auto" w:fill="D9E2F3"/>
          </w:tcPr>
          <w:p w14:paraId="6F95F8E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0"/>
              </w:rPr>
              <w:t>NVIDIA</w:t>
            </w:r>
          </w:p>
        </w:tc>
      </w:tr>
      <w:tr w14:paraId="67621B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9BA554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计算单元读片上存储</w:t>
            </w:r>
          </w:p>
        </w:tc>
        <w:tc>
          <w:tcPr>
            <w:tcW w:w="3024" w:type="dxa"/>
          </w:tcPr>
          <w:p w14:paraId="73F49F9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Vector 读 UB、Cube 读 L0A/L0B</w:t>
            </w:r>
          </w:p>
        </w:tc>
        <w:tc>
          <w:tcPr>
            <w:tcW w:w="3024" w:type="dxa"/>
          </w:tcPr>
          <w:p w14:paraId="7DED95D6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线程读 SMEM（Bank 约束）</w:t>
            </w:r>
          </w:p>
        </w:tc>
      </w:tr>
      <w:tr w14:paraId="1153C6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72D938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片上存储约束</w:t>
            </w:r>
          </w:p>
        </w:tc>
        <w:tc>
          <w:tcPr>
            <w:tcW w:w="3024" w:type="dxa"/>
          </w:tcPr>
          <w:p w14:paraId="352897D0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32B / 512B 对齐</w:t>
            </w:r>
          </w:p>
        </w:tc>
        <w:tc>
          <w:tcPr>
            <w:tcW w:w="3024" w:type="dxa"/>
          </w:tcPr>
          <w:p w14:paraId="29681CD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Bank Conflict</w:t>
            </w:r>
          </w:p>
        </w:tc>
      </w:tr>
      <w:tr w14:paraId="1DD86A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7E0E9AC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布局优化</w:t>
            </w:r>
          </w:p>
        </w:tc>
        <w:tc>
          <w:tcPr>
            <w:tcW w:w="3024" w:type="dxa"/>
          </w:tcPr>
          <w:p w14:paraId="758BDC8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NZ 分形格式</w:t>
            </w:r>
          </w:p>
        </w:tc>
        <w:tc>
          <w:tcPr>
            <w:tcW w:w="3024" w:type="dxa"/>
          </w:tcPr>
          <w:p w14:paraId="4574145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Swizzle（XOR 打散）</w:t>
            </w:r>
          </w:p>
        </w:tc>
      </w:tr>
      <w:tr w14:paraId="025058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97F034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片外搬运</w:t>
            </w:r>
          </w:p>
        </w:tc>
        <w:tc>
          <w:tcPr>
            <w:tcW w:w="3024" w:type="dxa"/>
          </w:tcPr>
          <w:p w14:paraId="080C5BF8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MTE 块搬运 + 对齐</w:t>
            </w:r>
          </w:p>
        </w:tc>
        <w:tc>
          <w:tcPr>
            <w:tcW w:w="3024" w:type="dxa"/>
          </w:tcPr>
          <w:p w14:paraId="560D9E0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SM 内存子系统，合并 / TMA</w:t>
            </w:r>
          </w:p>
        </w:tc>
      </w:tr>
      <w:tr w14:paraId="3CB6D4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F9B8467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不连续访问</w:t>
            </w:r>
          </w:p>
        </w:tc>
        <w:tc>
          <w:tcPr>
            <w:tcW w:w="3024" w:type="dxa"/>
          </w:tcPr>
          <w:p w14:paraId="24E10C98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编译器降级为标量</w:t>
            </w:r>
          </w:p>
        </w:tc>
        <w:tc>
          <w:tcPr>
            <w:tcW w:w="3024" w:type="dxa"/>
          </w:tcPr>
          <w:p w14:paraId="5BCFB90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硬件尝试合并（Coalescing）</w:t>
            </w:r>
          </w:p>
        </w:tc>
      </w:tr>
      <w:tr w14:paraId="47C504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FB2EA13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对齐处理</w:t>
            </w:r>
          </w:p>
        </w:tc>
        <w:tc>
          <w:tcPr>
            <w:tcW w:w="3024" w:type="dxa"/>
          </w:tcPr>
          <w:p w14:paraId="3F00D3B4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补 dummy / 报错</w:t>
            </w:r>
          </w:p>
        </w:tc>
        <w:tc>
          <w:tcPr>
            <w:tcW w:w="3024" w:type="dxa"/>
          </w:tcPr>
          <w:p w14:paraId="73666288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多次事务 / 合并</w:t>
            </w:r>
          </w:p>
        </w:tc>
      </w:tr>
      <w:tr w14:paraId="3907C9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2AF632B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灵活性</w:t>
            </w:r>
          </w:p>
        </w:tc>
        <w:tc>
          <w:tcPr>
            <w:tcW w:w="3024" w:type="dxa"/>
          </w:tcPr>
          <w:p w14:paraId="01EAADA5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较低，依赖编译器策略</w:t>
            </w:r>
          </w:p>
        </w:tc>
        <w:tc>
          <w:tcPr>
            <w:tcW w:w="3024" w:type="dxa"/>
          </w:tcPr>
          <w:p w14:paraId="06764A2A">
            <w:pPr>
              <w:spacing w:before="40" w:after="40" w:line="276" w:lineRule="auto"/>
            </w:pP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较高，硬件合并更灵活</w:t>
            </w:r>
          </w:p>
        </w:tc>
      </w:tr>
    </w:tbl>
    <w:p w14:paraId="3F402AFE">
      <w:pPr>
        <w:spacing w:after="80"/>
      </w:pPr>
    </w:p>
    <w:p w14:paraId="5C53941A">
      <w:r>
        <w:rPr>
          <w:rFonts w:ascii="微软雅黑" w:hAnsi="微软雅黑" w:eastAsia="微软雅黑" w:cs="微软雅黑"/>
          <w:b/>
          <w:color w:val="1F4E79"/>
          <w:sz w:val="22"/>
        </w:rPr>
        <w:t>核心差异：Ascend 是固定对齐 + 块搬运，不满足就补 dummy 或降级；NVIDIA 是 Bank 约束 + Swizzle，硬件合并更灵活。两边都是片上访问有约束、片外搬运有另一套机制。</w:t>
      </w:r>
    </w:p>
    <w:p w14:paraId="3AEED877">
      <w:pPr>
        <w:pStyle w:val="3"/>
      </w:pPr>
      <w:r>
        <w:t>七、核心结论</w:t>
      </w:r>
      <w:bookmarkStart w:id="0" w:name="_GoBack"/>
      <w:bookmarkEnd w:id="0"/>
    </w:p>
    <w:p w14:paraId="5BC3275F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存储分层：Vector 读 UB（32B 对齐），Cube 读 L0A/L0B（512B 对齐），MTE1/2/3 三条搬运流水线并行。</w:t>
      </w:r>
    </w:p>
    <w:p w14:paraId="46B72002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Vector 宽度固定：单次迭代 256B，fp32 时 64 lane、fp16 时 128 lane；尾块靠连续 / 逐 bit / Counter 三种硬件 mask 屏蔽。</w:t>
      </w:r>
    </w:p>
    <w:p w14:paraId="4C3A3A9A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Cube 走 NZ 分形格式：ND → NZ → ZZ/ZN，fp16 分形 16×16、int8 16×32，不足一个分形直接报错。</w:t>
      </w:r>
    </w:p>
    <w:p w14:paraId="6664716B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GM 侧 512B 是访存粒度而非强制起始对齐：512B 对齐时带宽峰值，仅 32B 对齐时约 70%，多核落同一 512B 区间会串行化。</w:t>
      </w:r>
    </w:p>
    <w:p w14:paraId="25C551D2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MTE 与 Vector 解耦：MTE 按块搬运不看 mask，越界发生在搬运阶段，不能靠计算阶段的 mask 屏蔽兜底。</w:t>
      </w:r>
    </w:p>
    <w:p w14:paraId="3808CA69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“多搬”≠“越界”：多搬部分在 tensor 物理内存内就安全，超出才越界；判断标准是物理地址合法性。</w:t>
      </w:r>
    </w:p>
    <w:p w14:paraId="65C2D354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编译器两道防线：DiscreteMaskAccessConversion 收紧 MTE 搬运范围防 OOB，mayDiscretememaccess 在维度不足 32B 时降级标量防 UB 膨胀。</w:t>
      </w:r>
    </w:p>
    <w:p w14:paraId="57A9A80A">
      <w:pPr>
        <w:rPr>
          <w:rFonts w:ascii="微软雅黑" w:hAnsi="微软雅黑" w:eastAsia="微软雅黑" w:cs="微软雅黑"/>
          <w:color w:val="000000"/>
          <w:sz w:val="21"/>
        </w:rPr>
      </w:pPr>
      <w:r>
        <w:rPr>
          <w:rFonts w:ascii="微软雅黑" w:hAnsi="微软雅黑" w:eastAsia="微软雅黑" w:cs="微软雅黑"/>
          <w:color w:val="000000"/>
          <w:sz w:val="21"/>
        </w:rPr>
        <w:t>对比 NVIDIA：SMEM 端受 Bank 约束需 Swizzle，GM 端硬件 Coalescing 灵活合并；Ascend 则是固定对齐块搬运，不满足就补 dummy 或降级。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54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12" w:lineRule="auto"/>
      <w:jc w:val="both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 w:line="31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31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312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31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360" w:line="312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许晨龙</cp:lastModifiedBy>
  <dcterms:modified xsi:type="dcterms:W3CDTF">2026-10-16T08:17:19Z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352A5858377D46CE98530AD142E5BCFB_12</vt:lpwstr>
  </property>
</Properties>
</file>