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E035D">
      <w:pPr>
        <w:pStyle w:val="2"/>
      </w:pPr>
      <w:r>
        <w:t>Ascend Triton：访存对齐问题与核间协作</w:t>
      </w:r>
    </w:p>
    <w:p w14:paraId="2E9D50D2"/>
    <w:p w14:paraId="1C85FF77">
      <w:r>
        <w:t>本文按 NVIDIA 后端分析的相同问题范围检查当前仓库的 third_party/ascend：</w:t>
      </w:r>
    </w:p>
    <w:p w14:paraId="491A4BCF"/>
    <w:p w14:paraId="1BCD81DE">
      <w:pPr>
        <w:pStyle w:val="10"/>
      </w:pPr>
      <w:r>
        <w:t>1. Ascend 如何处理 mask、尾块和访存边界导致的越界风险，以及是否能确认它会自动修复任意运行时指针地址不对齐。</w:t>
      </w:r>
    </w:p>
    <w:p w14:paraId="1159F226">
      <w:pPr>
        <w:pStyle w:val="10"/>
      </w:pPr>
      <w:r>
        <w:t>2. 多个 block / core 是否可以协作，以及已有同步代码实际覆盖什么范围。</w:t>
      </w:r>
    </w:p>
    <w:p w14:paraId="6A29B394"/>
    <w:p w14:paraId="70BF1E4F">
      <w:pPr>
        <w:pStyle w:val="3"/>
      </w:pPr>
      <w:r>
        <w:t>结论摘要</w:t>
      </w:r>
    </w:p>
    <w:p w14:paraId="64CE6EBC"/>
    <w:p w14:paraId="6B82E55B">
      <w:pPr>
        <w:pStyle w:val="10"/>
      </w:pPr>
      <w:r>
        <w:t>•  mask 和尾块越界： Ascend 编译流程在结构化转换后调用 DiscreteMaskAccessConversion。其回归测试明确覆盖离散 mask 与连续尾块边界组合导致的 MTE 越界，并验证转换后读访问只覆盖有效的连续行，而不是整个 tile。other=0 以及 mask 语义也由转换测试覆盖。</w:t>
      </w:r>
    </w:p>
    <w:p w14:paraId="225ABF90">
      <w:pPr>
        <w:pStyle w:val="10"/>
      </w:pPr>
      <w:r>
        <w:t>•  不要把它等同于任意地址对齐修复： 已检查的 Ascend 后端代码没有显示一条与 NVIDIA getMaskAlignment 等价的访存向量宽度推导路径，也没有可见的运行时指针低位检查 / 对齐前缀与尾部拆分。Ascend tile generator 中的 32-byte 对齐是 tile 大小配置策略，不是指针地址修复的证据。因而任意实际地址不对齐的处理，不能仅凭这些文件断言。</w:t>
      </w:r>
    </w:p>
    <w:p w14:paraId="095FFB44">
      <w:pPr>
        <w:pStyle w:val="10"/>
      </w:pPr>
      <w:r>
        <w:t>•  尾块 blockify： AutoBlockify 将部分逻辑工作转换为循环，并在 load/store 上把原 mask 与 blockify mask 合并、保留 boundary check。它有助于控制切分后的有效工作范围，但并不取代离散 mask 访存转换。</w:t>
      </w:r>
    </w:p>
    <w:p w14:paraId="72BA1457">
      <w:pPr>
        <w:pStyle w:val="10"/>
      </w:pPr>
      <w:r>
        <w:t>•  核间协作： 有明确的 sync_block_set/wait/all 和动态 Vector/Cube 数据传输同步；同步关联 core 类型、pipe 和 event/flag。它主要解决 producer-consumer 数据传输或指定 core 集合间同步，不等价于任意 grid block 的通用全局 barrier。</w:t>
      </w:r>
    </w:p>
    <w:p w14:paraId="59458C51"/>
    <w:p w14:paraId="7B4E2C06">
      <w:pPr>
        <w:pStyle w:val="3"/>
      </w:pPr>
      <w:r>
        <w:t>1. Ascend 如何避免 mask / 尾块越界</w:t>
      </w:r>
    </w:p>
    <w:p w14:paraId="4C02ED27"/>
    <w:p w14:paraId="5CE5EAEA">
      <w:pPr>
        <w:pStyle w:val="4"/>
      </w:pPr>
      <w:bookmarkStart w:id="0" w:name="_GoBack"/>
      <w:r>
        <w:t>1.1 编译流水线显式插入离散 mask 转换</w:t>
      </w:r>
    </w:p>
    <w:p w14:paraId="22485D66"/>
    <w:p w14:paraId="41BA8C95">
      <w:r>
        <w:t>backend/compiler.py 的 ttir_to_linalg 流水线先执行 triton_to_structure，之后立即调用 add_discrete_mask_access_conversion，再继续 annotation、unstructure、HIVM、LLVM 等转换（约 115–158 行）。该 pass 接收 compile_on_910_95、force_simt_template 和 enable_sync_block_lock 选项。</w:t>
      </w:r>
    </w:p>
    <w:p w14:paraId="2A55E9C4"/>
    <w:p w14:paraId="01295D55">
      <w:r>
        <w:t>Ascend binding 在 triton_ascend.cc 中注册同一 pass（约 380–390 行）。其实际实现库名为 DiscreteMaskAccessConversion，并由 bin/CMakeLists.txt 链接。当前 checkout 可见调用入口和测试，但没有找到该 pass 的实现源文件；因此下面对其具体效果以仓库中的回归测试为证，不推断未展示的内部算法。</w:t>
      </w:r>
    </w:p>
    <w:p w14:paraId="265C7D12"/>
    <w:p w14:paraId="38915B64">
      <w:pPr>
        <w:pStyle w:val="4"/>
      </w:pPr>
      <w:r>
        <w:t>1.2 MTE 回归测试证明尾块范围会被收紧</w:t>
      </w:r>
    </w:p>
    <w:p w14:paraId="0A531F73"/>
    <w:p w14:paraId="6814FF69">
      <w:r>
        <w:t>unittest/pytest_ut/test_discrete_mask_tail_block_mte_oob.py 给出直接的越界场景：</w:t>
      </w:r>
    </w:p>
    <w:p w14:paraId="1F6E7A30"/>
    <w:p w14:paraId="5CD63070">
      <w:pPr>
        <w:pStyle w:val="10"/>
      </w:pPr>
      <w:r>
        <w:t>•  kernel 的二维 load mask 由 row_boundary、row_disc 和列范围组合而成；参数取 BLOCK_M=4、BLOCK_N=4096、M=1（约 51–78、153–167 行）。</w:t>
      </w:r>
    </w:p>
    <w:p w14:paraId="66B47C09">
      <w:pPr>
        <w:pStyle w:val="10"/>
      </w:pPr>
      <w:r>
        <w:t>•  测试注释记录了修复前的问题：离散 mask 可能让 MTE 拷贝按 BLOCK_M × BLOCK_N 读 32768 字节，越过 tensor 尾部并触发 MTE；修复后应将读访问约束到有效的 M × BLOCK_N，即 8192 字节（约 76–78 行）。</w:t>
      </w:r>
    </w:p>
    <w:p w14:paraId="78AF7CE4">
      <w:pPr>
        <w:pStyle w:val="10"/>
      </w:pPr>
      <w:r>
        <w:t>•  测试将 tensor 安排在 NPU allocator segment 尾部，要求额外越界读会跨 segment 边界，再运行 kernel 并同步；如果触发 MTE，测试失败（约 153–233 行）。</w:t>
      </w:r>
    </w:p>
    <w:p w14:paraId="1B22A576"/>
    <w:p w14:paraId="04037133">
      <w:r>
        <w:t>这说明 Ascend 的对策不只是“最后对结果做 mask”：它专门针对离散 mask 可能导致的底层过量访存建立了 conversion pass，并以真实 MTE OOB 场景回归验证访问范围。</w:t>
      </w:r>
    </w:p>
    <w:p w14:paraId="5D67D17B"/>
    <w:p w14:paraId="610855ED">
      <w:r>
        <w:t>对应的通用转换测试 unittest/Conversion/General/DiscreteMaskAccess/loadstore.mlir 也验证了：</w:t>
      </w:r>
    </w:p>
    <w:p w14:paraId="6955B55E"/>
    <w:p w14:paraId="2FD3D92B">
      <w:pPr>
        <w:pStyle w:val="10"/>
      </w:pPr>
      <w:r>
        <w:t>•  对 load mask，将 load 结果与 other（缺省时为 0）通过 select 合并，再存储。</w:t>
      </w:r>
    </w:p>
    <w:p w14:paraId="25A193F9">
      <w:pPr>
        <w:pStyle w:val="10"/>
      </w:pPr>
      <w:r>
        <w:t>•  对 masked store，先保留原目标值，再根据 mask 选择新值或旧值后写回。</w:t>
      </w:r>
    </w:p>
    <w:p w14:paraId="199F65DD"/>
    <w:p w14:paraId="71A5BB5A">
      <w:r>
        <w:t>这些 lit 测试证明了离散 mask 的语义保持；真实物理越界修复的证据来自上面的 Ascend NPU MTE 回归测试。</w:t>
      </w:r>
    </w:p>
    <w:bookmarkEnd w:id="0"/>
    <w:p w14:paraId="04C9D450"/>
    <w:p w14:paraId="1E4A1B5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不是。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Ascend 并非“傻傻地一个一个读写”，它底层也有向量化能力；只是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在这条 Triton-Ascend 编译流水线里，第⑦站 unstructure 把高层搬运刻意降成了标量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scf.for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逐元素访存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，所以你看到的是标量形态，而不是硬件能力的全部。</w:t>
      </w:r>
    </w:p>
    <w:p w14:paraId="1CFC8A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9F34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一、硬件层面：Ascend 有向量化，也有掩码机制</w:t>
      </w:r>
    </w:p>
    <w:p w14:paraId="7B35E88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Ascend C 的矢量指令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原生支持 mask 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，而且有硬件层面的一次处理多个元素的能力：</w:t>
      </w:r>
    </w:p>
    <w:p w14:paraId="35A008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54FB5C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连续模式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：mask 直接表示“前面连续多少个元素参与计算”。比如 32 位数据类型，单次迭代可处理 64 个元素，mask ∈ [1, 64]。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"https://www.hiascend.com/doc_center/source/zh/canncommercial/800/developmentguide/opdevg/Ascendcopdevg/CANN%E5%95%86%E7%94%A8%E7%89%88 8.0.0 Ascend C%E8%87%AA%E5%AE%9A%E4%B9%89%E7%AE%97%E5%AD%90%E5%BC%80%E5%8F%91%E6%8C%87%E5%8D%97 01.pdf" \l "349#16"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"https://www.hiascend.com/doc_center/source/zh/CANNCommunityEdition/80RC3alpha003/devguide/opdevg/ascendcopdevg/CANN 8.0.RC3.alpha003 Ascend C%E8%87%AA%E5%AE%9A%E4%B9%89%E7%AE%97%E5%AD%90%E5%BC%80%E5%8F%91%E6%8C%87%E5%8D%97 01.pdf" \l "34#8"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5FE942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1B15F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7FCAD63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逐 bit 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：按位控制哪些元素参与，bit 为 1 参与、为 0 不参与。这正是处理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非对齐尾块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的硬件级手段。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"https://www.hiascend.com/document/detail/zh/CANNCommunityEdition/900/API/ascendcopapi/context/struct/asc_load3d_v2_config.md" \l "4"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"https://pypto.gitcode.com/pypto_pro/api/SIMD-API/operation/memory_vector_computation/vector_mask/set_vec_mask.html" \l "id4"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7F0BCD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43D394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4649C4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Counter 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：不需要感知迭代次数和尾块对齐，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直接传入参与计算的数据量，实际迭代次数由 Vector 计算单元自动推断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。这说明硬件本身就有处理“有效元素数非对齐”的能力。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"https://www.hiascend.com/doc_center/source/zh/canncommercial/81RC1/developmentguide/opdevg/Ascendcopdevg/CANN%E5%95%86%E7%94%A8%E7%89%88 8.1.RC1 Ascend C%E7%AE%97%E5%AD%90%E5%BC%80%E5%8F%91%E6%8C%87%E5%8D%97 01.pdf" \l "374#16"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36ECA1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5415B69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所以 Ascend 的硬件不是没有向量宽度，而是它的向量宽度是固定的（如 64 个 32-bit 元素/迭代），尾块用 mask 屏蔽多余 lane。</w:t>
      </w:r>
    </w:p>
    <w:p w14:paraId="31F17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FA48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二、编译层面：为什么你看到的是逐元素标量</w:t>
      </w:r>
    </w:p>
    <w:p w14:paraId="1F82884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你看到的：</w:t>
      </w:r>
    </w:p>
    <w:p w14:paraId="1F9520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mlir</w:t>
      </w:r>
    </w:p>
    <w:p w14:paraId="02F124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  <w:bdr w:val="none" w:color="auto" w:sz="0" w:space="0"/>
        </w:rPr>
        <w:t>scf.for %i = 0 to 64 step 1 {  scf.for %j = 0 to 32 step 1 {    %m   = hivm.load %ub_a_mask[%i, %j] : i1    %off = hivm.load %ub_a_off[%i, %j]  : i32    %val = hivm.load_scalar %a_ptr[%off], %m : f32    hivm.store %ub_a[%i, %j], %val : f32  }}</w:t>
      </w:r>
    </w:p>
    <w:p w14:paraId="632A586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第⑦站 unstructure 特意降成的形态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。文档原文说的是：</w:t>
      </w:r>
    </w:p>
    <w:p w14:paraId="372822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将高层搬运、加法、ReLU 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展开为标量 scf.for 循环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，显式逐元素访存</w:t>
      </w:r>
    </w:p>
    <w:p w14:paraId="4CDEF2B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这是编译策略，不是硬件极限。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第⑦站把高层搬运拆成逐元素，是为了让后续 HIVM/LLVM 阶段能在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更细粒度上做地址计算和 mask 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——尤其是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离散 mask（每元素独立判断）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场景，逐元素表达更灵活。</w:t>
      </w:r>
    </w:p>
    <w:p w14:paraId="4AF329A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但注意：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unstructure 拆的是“搬运”，Cube 矩阵乘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hivm.mmad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是明确保留的，不拆。</w:t>
      </w:r>
    </w:p>
    <w:p w14:paraId="78CA9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CB58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三、那什么时候会用向量宽度</w:t>
      </w:r>
    </w:p>
    <w:p w14:paraId="7028A50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从你贴的源码引用也能看出关键区别：</w:t>
      </w:r>
    </w:p>
    <w:p w14:paraId="2D965F4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mask 分组若与向量组边界相合，编译器有机会保留较宽访存；mask 负责正确性，不保证一定生成特定向量宽度。</w:t>
      </w:r>
    </w:p>
    <w:p w14:paraId="0CC405C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意思是：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7"/>
        <w:gridCol w:w="4553"/>
      </w:tblGrid>
      <w:tr w14:paraId="73824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F805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A54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可能的行为</w:t>
            </w:r>
          </w:p>
        </w:tc>
      </w:tr>
      <w:tr w14:paraId="10A68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C91C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mask 是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连续尾块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（offs &lt; N）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577B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有机会映射到向量指令 + 硬件 mask，保留宽访存</w:t>
            </w:r>
          </w:p>
        </w:tc>
      </w:tr>
      <w:tr w14:paraId="0839F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069B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mask 是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离散 mask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（每元素独立）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33A8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可能拆标量，或走逐 bit mask 向量指令，取决于编译器</w:t>
            </w:r>
          </w:p>
        </w:tc>
      </w:tr>
      <w:tr w14:paraId="6810F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CD46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mask 与向量组边界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D379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大概率保留向量宽度</w:t>
            </w:r>
          </w:p>
        </w:tc>
      </w:tr>
      <w:tr w14:paraId="37AD1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C286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mask 与向量组边界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不对齐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6682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可能拆开处理</w:t>
            </w:r>
          </w:p>
        </w:tc>
      </w:tr>
    </w:tbl>
    <w:p w14:paraId="39AECC5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所以不是“Ascend 只会逐元素”，而是“离散 mask 场景下，编译器当前策略可能拆标量”。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连续对齐的 mask 是有机会走向量路径的。</w:t>
      </w:r>
    </w:p>
    <w:p w14:paraId="4DB2EE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EE8E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四、和 NVIDIA 的本质区别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9"/>
        <w:gridCol w:w="3737"/>
        <w:gridCol w:w="3184"/>
      </w:tblGrid>
      <w:tr w14:paraId="31B72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7CDC8A">
            <w:pPr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00A7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NVIDIA GPU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8F7C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Ascend NPU</w:t>
            </w:r>
          </w:p>
        </w:tc>
      </w:tr>
      <w:tr w14:paraId="0D3E7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0FA2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掩码机制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32C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谓词寄存器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，每条指令带 </w:t>
            </w:r>
            <w:r>
              <w:rPr>
                <w:rStyle w:val="9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@p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谓词，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不活跃线程直接不执行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"https://docs.nvidia.cn/cuda/pdf/ptx_isa_9.1.pdf" \l "120#18"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C66E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mask 操作数/掩码寄存器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，硬件按 bit 屏蔽 lane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"https://pypto.gitcode.com/pypto_pro/api/SIMD-API/operation/memory_vector_computation/vector_mask/set_vec_mask.html" \l "id4"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"https://www.hiascend.com/doc_center/source/zh/canncommercial/81RC1/developmentguide/opdevg/Ascendcopdevg/CANN%E5%95%86%E7%94%A8%E7%89%88 8.1.RC1 Ascend C%E7%AE%97%E5%AD%90%E5%BC%80%E5%8F%91%E6%8C%87%E5%8D%97 01.pdf" \l "374#16"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3FA22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67E4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向量化策略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77B0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根据 contiguity 计算向量宽度（如 128-bit ld.v4.f32），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masked load 降成 predicated PTX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"https://deepwiki.com/nlzy/triton-gfx906/5.3-target-specific-code-generation" \l "1"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"https://deepwiki.com/triton-lang/triton/5.2-memory-operations-lowering" \l "1"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E4DF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有固定向量宽度（如 64 元素/迭代），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尾块靠 mask 屏蔽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，离散 mask 可能拆标量</w:t>
            </w:r>
          </w:p>
        </w:tc>
      </w:tr>
      <w:tr w14:paraId="44554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EFBC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尾块处理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D04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谓词 + 收缩向量宽度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53FA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硬件 mask / Counter 模式 / 可能逐元素</w:t>
            </w:r>
          </w:p>
        </w:tc>
      </w:tr>
    </w:tbl>
    <w:p w14:paraId="44AD974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核心区别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：NVIDIA 的谓词是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指令级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的（每条指令动态判断），Ascend 的 mask 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迭代内 lane 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的（一个 mask 控制一次迭代哪些元素活跃）。</w:t>
      </w:r>
    </w:p>
    <w:p w14:paraId="7EECEA6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两者都能处理边界，但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实现路径不同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。Ascend 的“逐元素”是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特定编译阶段（unstructure）的策略选择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，不是硬件没有向量能力。</w:t>
      </w:r>
    </w:p>
    <w:p w14:paraId="389046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7CB0F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五、结论</w:t>
      </w:r>
    </w:p>
    <w:p w14:paraId="1AFF73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Ascend 有向量宽度和硬件掩码，不是“傻傻地一个一个读写”。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你看到的逐元素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scf.for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是第⑦站 unstructure 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编译策略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——把高层搬运拆成标量，以便后续处理离散 mask 的地址计算。连续对齐的 mask 有机会保留向量宽度；离散 mask 才可能被拆成标量。这是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编译器当前处理离散 mask 的保守策略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，不等于硬件只能逐元素。</w:t>
      </w:r>
    </w:p>
    <w:p w14:paraId="65E8A89F"/>
    <w:p w14:paraId="1E4B8EFE">
      <w:pPr>
        <w:pStyle w:val="4"/>
      </w:pPr>
      <w:r>
        <w:t>1.3 AutoBlockify 保留边界 mask</w:t>
      </w:r>
    </w:p>
    <w:p w14:paraId="237F9D4F"/>
    <w:p w14:paraId="2D9C6D2E">
      <w:r>
        <w:t>lib/AutoBlockify/RewriteOperation.cpp 的 load/store rewrite 会从原 op 读取 mask，将 blockify mask 合并进去，并保留/调整 boundaryCheck：</w:t>
      </w:r>
    </w:p>
    <w:p w14:paraId="1A835C5E"/>
    <w:p w14:paraId="5EFEE8E3">
      <w:pPr>
        <w:pStyle w:val="10"/>
      </w:pPr>
      <w:r>
        <w:t>•  Load：mask = createMask(mask, uccMask, ...) 后重新创建带 mask、padding 和 boundary check 的 load（约 165–190 行）。</w:t>
      </w:r>
    </w:p>
    <w:p w14:paraId="25BED0E0">
      <w:pPr>
        <w:pStyle w:val="10"/>
      </w:pPr>
      <w:r>
        <w:t>•  Store：同样合并 mask 后重建带 boundary check 的 store（约 194–207 行）。</w:t>
      </w:r>
    </w:p>
    <w:p w14:paraId="4DD6CBA9">
      <w:pPr>
        <w:pStyle w:val="10"/>
      </w:pPr>
      <w:r>
        <w:t>•  lib/AutoBlockify/Utils.cpp 的 createMask 对 blockify mask 扩维、broadcast，并与已有 mask 做逻辑 AND（约 75–91 行）。</w:t>
      </w:r>
    </w:p>
    <w:p w14:paraId="521F882E">
      <w:pPr>
        <w:pStyle w:val="10"/>
      </w:pPr>
      <w:r>
        <w:t>•  同一工具文件的 createBlockifyLoop 以 min(max(logicalBlockNum - logicalBlockId, 0), autoBlockifySize) 限制循环迭代范围（约 125–145 行）。</w:t>
      </w:r>
    </w:p>
    <w:p w14:paraId="62062DFF"/>
    <w:p w14:paraId="1CFB5BDE">
      <w:r>
        <w:t>因此 AutoBlockify 的边界对策是保持逻辑有效范围，并将并行逻辑工作按循环分段处理；这与离散 mask 访存转换是两个互补层次。</w:t>
      </w:r>
    </w:p>
    <w:p w14:paraId="72629FB9"/>
    <w:p w14:paraId="566DB5E1">
      <w:pPr>
        <w:pStyle w:val="3"/>
      </w:pPr>
      <w:r>
        <w:t>2. 32-byte 对齐：是 tiling 约束，不是指针修复</w:t>
      </w:r>
    </w:p>
    <w:p w14:paraId="67737A9A"/>
    <w:p w14:paraId="70738C90">
      <w:r>
        <w:t>Ascend runtime 的 runtime/tile_generator.py 中 aligned_numel 使用元素字节宽度将 tile 元素数舍入到 32-byte 边界；SIMT 模式则取不小于给定长度的 2 次幂（约 236–244 行）。fill_config 用该结果生成 split / tiling 配置，同时按候选 block 尺寸裁剪（约 252–270 行）。</w:t>
      </w:r>
    </w:p>
    <w:p w14:paraId="6CC2F0A5"/>
    <w:p w14:paraId="32912265">
      <w:r>
        <w:t>另一个独立例子在 lib/TritonAffinityOpt/DAGSync.cpp：数据搬运 shape 会根据元素字节数计算 32-byte block 大小；特定转换只接受静态二维 memref 和满足 16 对齐的 M 维度（约 420–463、941 行附近）。</w:t>
      </w:r>
    </w:p>
    <w:p w14:paraId="34589131"/>
    <w:p w14:paraId="05ED2F0B">
      <w:r>
        <w:t>这些代码证明后端在tile 划分和中间数据布局中利用 32-byte 对齐约束，但不证明任意 base pointer 偏移都能由 runtime 自动修正。runtime/utils.py 有“wrapper npu 32 bytes align”注释（约 72 行），但可见代码这里只提供 dtype 到字节数的映射，未展示计算具体 pointer 偏移或生成 unaligned load/store 的逻辑。</w:t>
      </w:r>
    </w:p>
    <w:p w14:paraId="4255309A"/>
    <w:p w14:paraId="22FB9E17">
      <w:r>
        <w:t>因此，要判断真正的地址对齐问题，需区分：</w:t>
      </w:r>
    </w:p>
    <w:p w14:paraId="706C3013"/>
    <w:p w14:paraId="5A06DF3B">
      <w:pPr>
        <w:pStyle w:val="10"/>
      </w:pPr>
      <w:r>
        <w:t>1. mask/尾块导致越界： 使用正常的边界 mask，并确认 DiscreteMaskAccessConversion 在当前编译模式启用；Ascend 已有对应 MTE 回归测试。</w:t>
      </w:r>
    </w:p>
    <w:p w14:paraId="1B411FDF">
      <w:pPr>
        <w:pStyle w:val="10"/>
      </w:pPr>
      <w:r>
        <w:t>2. tensor/base pointer 实际地址或 stride 不满足访存自然对齐： 当前可见源码不足以确认自动修复。需用实际 dtype、stride、offset 和硬件编译模式构造 NPU 测试，查看生成的 Linalg/HIVM/最终设备代码，并确认所选模板支持该地址条件。不要仅因 tile size 按 32 bytes 对齐而假设 pointer 也已对齐。</w:t>
      </w:r>
    </w:p>
    <w:p w14:paraId="569ACA56"/>
    <w:p w14:paraId="1DAFB977">
      <w:pPr>
        <w:pStyle w:val="3"/>
      </w:pPr>
      <w:r>
        <w:t>3. 多 block / core 协作能力</w:t>
      </w:r>
    </w:p>
    <w:p w14:paraId="0651B019"/>
    <w:p w14:paraId="673CECFF">
      <w:pPr>
        <w:pStyle w:val="4"/>
      </w:pPr>
      <w:r>
        <w:t>3.1 显式同步 op：set / wait / all</w:t>
      </w:r>
    </w:p>
    <w:p w14:paraId="62C32788"/>
    <w:p w14:paraId="226BFAD4">
      <w:r>
        <w:t>Ascend Python builder 在 triton_ascend.cc 约 145–152 行暴露 create_custom_op_for_inter_core_sync，将 op 名、sender/mode 和 event id 包装为 triton::ascend::CustomOp。</w:t>
      </w:r>
    </w:p>
    <w:p w14:paraId="61FC6789"/>
    <w:p w14:paraId="0501D16E">
      <w:r>
        <w:t>lib/TritonToHIVM/TritonToHIVM.cpp 将这些 custom op 转换为 HIVM 同步操作（约 86–158 行）：</w:t>
      </w:r>
    </w:p>
    <w:p w14:paraId="6FD776CC"/>
    <w:p w14:paraId="286EAFEE">
      <w:pPr>
        <w:pStyle w:val="10"/>
      </w:pPr>
      <w:r>
        <w:t>•  sync_block_set / sync_block_wait 根据 sender 决定 CUBE 或 VECTOR core，并结合 producer/consumer pipe 和 id 生成对应 set/wait。</w:t>
      </w:r>
    </w:p>
    <w:p w14:paraId="275F8510">
      <w:pPr>
        <w:pStyle w:val="10"/>
      </w:pPr>
      <w:r>
        <w:t>•  sync_block_all 提供 all_cube、all_vector、all 等范围。</w:t>
      </w:r>
    </w:p>
    <w:p w14:paraId="30AFFE51"/>
    <w:p w14:paraId="04014265">
      <w:r>
        <w:t>unittest/Conversion/General/TritonToHIVM/sync_block_op_conversion.mlir 验证了以上 custom op 被转换为 hivm.hir.sync_block_set、sync_block_wait 和不同作用域的 hivm.hir.sync_block。</w:t>
      </w:r>
    </w:p>
    <w:p w14:paraId="46055FCF"/>
    <w:p w14:paraId="1102E978">
      <w:pPr>
        <w:pStyle w:val="4"/>
      </w:pPr>
      <w:r>
        <w:t>3.2 动态流水线中的 Vector / Cube 数据传输同步</w:t>
      </w:r>
    </w:p>
    <w:p w14:paraId="51C00671"/>
    <w:p w14:paraId="7FDE33E9">
      <w:r>
        <w:t>lib/DynamicCVPipeline/SplitDataflow/InterCoreTransferAndSync.cpp 针对实际传输类型插入生产者/消费者同步（约 660–750 行）：</w:t>
      </w:r>
    </w:p>
    <w:p w14:paraId="66865B69"/>
    <w:p w14:paraId="2CC89C20">
      <w:pPr>
        <w:pStyle w:val="10"/>
      </w:pPr>
      <w:r>
        <w:t>•  FixpipeOp 路径在 CUBE 与 VECTOR 之间插入 set/wait，并用 PIPE_FIX、PIPE_V 和 flag id 配对；循环复用时还加入写前等待和写后通知。</w:t>
      </w:r>
    </w:p>
    <w:p w14:paraId="574DEB05">
      <w:pPr>
        <w:pStyle w:val="10"/>
      </w:pPr>
      <w:r>
        <w:t>•  CopyOp 路径同样插入 VECTOR 与 CUBE 间的 set/wait，使用 PIPE_MTE3、PIPE_MTE1、PIPE_M 等 pipe，并在循环内防止缓冲区覆盖尚未消费的数据。</w:t>
      </w:r>
    </w:p>
    <w:p w14:paraId="2928DD54"/>
    <w:p w14:paraId="6CCC9045">
      <w:r>
        <w:t>lib/DynamicCVPipeline/AddControlFlowCondition.cpp 将该流程组织为克隆 Vector/Cube ops、按 block id 建条件、更新循环并插入 inter-core PIPE_S 同步等阶段（约 100–130 行）。</w:t>
      </w:r>
    </w:p>
    <w:p w14:paraId="77286D9E"/>
    <w:p w14:paraId="68170859">
      <w:r>
        <w:t>这类协作是显式、定向的生产者—消费者数据交换及其同步，依赖正确的 core、pipe、flag 和控制流关系；它不是所有 block 自动共享任意内存或自动进行全局 rendezvous。</w:t>
      </w:r>
    </w:p>
    <w:p w14:paraId="62A12C7F"/>
    <w:p w14:paraId="648732FC">
      <w:pPr>
        <w:pStyle w:val="4"/>
      </w:pPr>
      <w:r>
        <w:t>3.3 Launch grid 与同步范围</w:t>
      </w:r>
    </w:p>
    <w:p w14:paraId="338CB234"/>
    <w:p w14:paraId="7B122531">
      <w:r>
        <w:t>backend/driver.py 注释指出 NPU 当前只支持 1D parallelization；launch 时将 grid 的维度乘积作为 blockNum，并按物理 Vector/Cube core 数量告警或在 auto-map 开启时限制 block 数（约 852–876 行）。这说明多个程序 block 可被映射到设备物理 core 执行，但仅有多个 grid block 不会自动产生互相同步。</w:t>
      </w:r>
    </w:p>
    <w:p w14:paraId="35508ADF"/>
    <w:p w14:paraId="14E1F4AA">
      <w:r>
        <w:t>对 sync_block_all，当前转换明确区分 ALL_CUBE、ALL_VECTOR、ALL 的 pipe scope。不能从这些操作推断其语义等同于跨所有任意 grid block 的通用 global barrier；若 kernel 需要跨 block 的全局生产—消费阶段，应显式确认对应的 Ascend sync API / pass 会生成所需同步，并验证其设备范围和运行约束。</w:t>
      </w:r>
    </w:p>
    <w:p w14:paraId="6C04AA02"/>
    <w:p w14:paraId="297B8D34">
      <w:pPr>
        <w:pStyle w:val="3"/>
      </w:pPr>
      <w:r>
        <w:t>4. 对策建议</w:t>
      </w:r>
    </w:p>
    <w:p w14:paraId="6B0BE725"/>
    <w:p w14:paraId="11993CB3">
      <w:r>
        <w:t xml:space="preserve"> 问题   |   Ascend 路径   |   建议 </w:t>
      </w:r>
    </w:p>
    <w:p w14:paraId="7A6DE8BB">
      <w:r>
        <w:t xml:space="preserve"> tail block / mask 组合读越界   |   DiscreteMaskAccessConversion；NPU MTE OOB regression test   |   保留正确的连续边界 mask 与离散 mask；确认当前 backend pipeline 确实包含该 pass；以 segment/tensor 尾部压力测试验证无 MTE OOB。 </w:t>
      </w:r>
    </w:p>
    <w:p w14:paraId="4E995C78">
      <w:r>
        <w:t xml:space="preserve"> AutoBlockify 切分后的有效元素   |   createMask 合并 mask；load/store rewrite 保留 boundary check   |   确保 mask 随 blockify 后的 shape 正确广播；关注最后一个不满 block 的执行路径。 </w:t>
      </w:r>
    </w:p>
    <w:p w14:paraId="05BB0CD8">
      <w:r>
        <w:t xml:space="preserve"> 32-byte tile / transfer 对齐   |   runtime tile generator 舍入 tiling 数，DAGSync 对特定中间布局做 32B 分块   |   将其视为配置/布局约束；不要视为任意 pointer 偏移的自动修复。 </w:t>
      </w:r>
    </w:p>
    <w:p w14:paraId="4DFCC4D8">
      <w:r>
        <w:t xml:space="preserve"> Vector/Cube 间共享数据依赖   |   sync_block_set/wait/all，DynamicCVPipeline 注入 pipe/event 同步   |   为 producer/consumer 配对正确的 core、pipe 和 flag；检查循环缓冲的复用同步。 </w:t>
      </w:r>
    </w:p>
    <w:p w14:paraId="67622BD2">
      <w:r>
        <w:t xml:space="preserve"> 任意 grid block 间全局同步   |   当前源码未证明可由普通 launch 自动获得   |   只有使用了明确支持该范围的 Ascend API 和 lowering，且在目标设备验证后，才能依赖全局同步。 </w:t>
      </w:r>
    </w:p>
    <w:p w14:paraId="1A76B094"/>
    <w:p w14:paraId="71B4D38C">
      <w:pPr>
        <w:pStyle w:val="3"/>
      </w:pPr>
      <w:r>
        <w:t>5. 关键源码索引</w:t>
      </w:r>
    </w:p>
    <w:p w14:paraId="2C9DDF51"/>
    <w:p w14:paraId="6341936A">
      <w:r>
        <w:t xml:space="preserve"> 关注点   |   源码位置 </w:t>
      </w:r>
    </w:p>
    <w:p w14:paraId="257CD256">
      <w:r>
        <w:t xml:space="preserve"> Ascend 编译 pass 顺序   |   backend/compiler.py，约 115–158 行 </w:t>
      </w:r>
    </w:p>
    <w:p w14:paraId="0F5241DD">
      <w:r>
        <w:t xml:space="preserve"> Discrete mask pass 注册入口   |   triton_ascend.cc，约 380–390 行 </w:t>
      </w:r>
    </w:p>
    <w:p w14:paraId="73DC8CBC">
      <w:r>
        <w:t xml:space="preserve"> 尾块 MTE OOB 修复的回归场景   |   test_discrete_mask_tail_block_mte_oob.py，约 51–78、153–233 行 </w:t>
      </w:r>
    </w:p>
    <w:p w14:paraId="17026D86">
      <w:r>
        <w:t xml:space="preserve"> mask load/store conversion 语义测试   |   loadstore.mlir，约 1–65 行 </w:t>
      </w:r>
    </w:p>
    <w:p w14:paraId="56D42425">
      <w:r>
        <w:t xml:space="preserve"> blockify mask 合并和边界保留   |   RewriteOperation.cpp，约 165–207 行；Utils.cpp，约 75–91 行 </w:t>
      </w:r>
    </w:p>
    <w:p w14:paraId="72EBBD7F">
      <w:r>
        <w:t xml:space="preserve"> 32-byte tiling 尺寸舍入   |   tile_generator.py，约 236–270 行 </w:t>
      </w:r>
    </w:p>
    <w:p w14:paraId="2FF9667D">
      <w:r>
        <w:t xml:space="preserve"> 32-byte 中间搬运布局   |   DAGSync.cpp，约 420–463、941 行附近 </w:t>
      </w:r>
    </w:p>
    <w:p w14:paraId="33D661B9">
      <w:r>
        <w:t xml:space="preserve"> custom sync 到 HIVM lowering   |   TritonToHIVM.cpp，约 86–158 行 </w:t>
      </w:r>
    </w:p>
    <w:p w14:paraId="10A14289">
      <w:r>
        <w:t xml:space="preserve"> inter-core transfer / event 配对   |   InterCoreTransferAndSync.cpp，约 660–750 行 </w:t>
      </w:r>
    </w:p>
    <w:p w14:paraId="549E5691">
      <w:r>
        <w:t xml:space="preserve"> CUBE/VECTOR/all sync 的转换测试   |   sync_block_op_conversion.mlir，约 1–21 行 </w:t>
      </w:r>
    </w:p>
    <w:p w14:paraId="09E7CF86">
      <w:r>
        <w:t xml:space="preserve"> 设备 grid 和物理 block 映射   |   backend/driver.py，约 852–876 行 </w:t>
      </w:r>
    </w:p>
    <w:sectPr>
      <w:pgSz w:w="12240" w:h="15840"/>
      <w:pgMar w:top="900" w:right="900" w:bottom="900" w:left="900" w:header="450" w:footer="4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B8E595"/>
    <w:multiLevelType w:val="multilevel"/>
    <w:tmpl w:val="B1B8E5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54716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76" w:lineRule="auto"/>
    </w:pPr>
    <w:rPr>
      <w:sz w:val="22"/>
      <w:szCs w:val="22"/>
    </w:rPr>
  </w:style>
  <w:style w:type="paragraph" w:styleId="2">
    <w:name w:val="heading 1"/>
    <w:basedOn w:val="1"/>
    <w:qFormat/>
    <w:uiPriority w:val="0"/>
    <w:pPr>
      <w:keepNext/>
      <w:spacing w:before="300" w:after="120"/>
    </w:pPr>
    <w:rPr>
      <w:b/>
      <w:color w:val="1F4E79"/>
      <w:sz w:val="34"/>
    </w:rPr>
  </w:style>
  <w:style w:type="paragraph" w:styleId="3">
    <w:name w:val="heading 2"/>
    <w:basedOn w:val="1"/>
    <w:qFormat/>
    <w:uiPriority w:val="0"/>
    <w:pPr>
      <w:keepNext/>
      <w:spacing w:before="240" w:after="100"/>
    </w:pPr>
    <w:rPr>
      <w:b/>
      <w:color w:val="2F75B5"/>
      <w:sz w:val="28"/>
    </w:rPr>
  </w:style>
  <w:style w:type="paragraph" w:styleId="4">
    <w:name w:val="heading 3"/>
    <w:basedOn w:val="1"/>
    <w:uiPriority w:val="0"/>
    <w:pPr>
      <w:keepNext/>
    </w:pPr>
    <w:rPr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paragraph" w:styleId="10">
    <w:name w:val="List Paragraph"/>
    <w:basedOn w:val="1"/>
    <w:uiPriority w:val="0"/>
    <w:pPr>
      <w:ind w:left="36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62</TotalTime>
  <ScaleCrop>false</ScaleCrop>
  <LinksUpToDate>false</LinksUpToDate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2026-10-15T09:02:15Z</dcterms:created>
  <dc:creator>ncc</dc:creator>
  <cp:lastModifiedBy>许晨龙</cp:lastModifiedBy>
  <dcterms:modified xsi:type="dcterms:W3CDTF">2026-10-15T10:06:43Z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3883C9EA4EEA4DE9922829FAF9A89995_12</vt:lpwstr>
  </property>
</Properties>
</file>