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NVIDIA Triton：对齐处理与 CTA 协作</w:t>
      </w:r>
    </w:p>
    <w:p/>
    <w:p>
      <w:r>
        <w:t xml:space="preserve">本文根据当前仓库 third_party/nvidia 后端实现梳理两件事：</w:t>
      </w:r>
    </w:p>
    <w:p/>
    <w:p>
      <w:pPr>
        <w:pStyle w:val="ListParagraph"/>
      </w:pPr>
      <w:r>
        <w:t xml:space="preserve">1. NVIDIA 后端如何处理向量化访存中的 mask / 尾部对齐约束，以及代码能否证明它会处理任意运行时地址不对齐。</w:t>
      </w:r>
    </w:p>
    <w:p>
      <w:pPr>
        <w:pStyle w:val="ListParagraph"/>
      </w:pPr>
      <w:r>
        <w:t xml:space="preserve">2. 多个 block（NVIDIA CUDA CTA）之间是否可以协作，协作的范围和硬件条件是什么。</w:t>
      </w:r>
    </w:p>
    <w:p/>
    <w:p>
      <w:pPr>
        <w:pStyle w:val="Heading2"/>
      </w:pPr>
      <w:r>
        <w:t xml:space="preserve">结论摘要</w:t>
      </w:r>
    </w:p>
    <w:p/>
    <w:p>
      <w:pPr>
        <w:pStyle w:val="ListParagraph"/>
      </w:pPr>
      <w:r>
        <w:t xml:space="preserve">•  向量化访存： 后端依据 pointer contiguity 选择初始向量宽度；存在 mask 时，再用 mask alignment 收窄宽度。最大向量宽度为 128 bit。宽度降为 1 时会发出 vectorization 失败 remark，并按更小的访问粒度生成访存。</w:t>
      </w:r>
    </w:p>
    <w:p>
      <w:pPr>
        <w:pStyle w:val="ListParagraph"/>
      </w:pPr>
      <w:r>
        <w:t xml:space="preserve">•  边界 mask： 宽向量只在同一向量组的 mask 值相同时才成立。普通 load/store 的向量组由该组的 mask 代表；cp.async 则用 mask 控制有效源字节数，未覆盖字节由指令清零。</w:t>
      </w:r>
    </w:p>
    <w:p>
      <w:pPr>
        <w:pStyle w:val="ListParagraph"/>
      </w:pPr>
      <w:r>
        <w:t xml:space="preserve">•  任意地址不对齐： 这里没有看到针对运行时 pointer 地址的显式对齐测试或动态拆分逻辑。因此，不能把 mask 对齐处理等同于“任意字节地址不对齐都由后端自动修复”；生成宽向量访存依赖上游 pointer/layout 分析所提供的合法性信息。</w:t>
      </w:r>
    </w:p>
    <w:p>
      <w:pPr>
        <w:pStyle w:val="ListParagraph"/>
      </w:pPr>
      <w:r>
        <w:t xml:space="preserve">•  CTA 协作： 支持。同一 cluster 内可使用 cluster barrier 和 distributed shared memory 访问远端 CTA 的共享内存；部分 Hopper Tensor Core MMA 还支持双 CTA 协作。num_ctas &gt; 1 / 非单位 cluster_dims 在该后端要求 SM90+。</w:t>
      </w:r>
    </w:p>
    <w:p>
      <w:pPr>
        <w:pStyle w:val="ListParagraph"/>
      </w:pPr>
      <w:r>
        <w:t xml:space="preserve">•  协作范围： 以上是 CTA cluster 范围的协作，不等于任意 grid 的全局 barrier。driver 还支持设置 cooperative-grid launch 属性，但这本身并不插入 grid-wide 同步指令。</w:t>
      </w:r>
    </w:p>
    <w:p/>
    <w:p>
      <w:pPr>
        <w:pStyle w:val="Heading2"/>
      </w:pPr>
      <w:r>
        <w:t xml:space="preserve">1. 向量化访存及对齐约束</w:t>
      </w:r>
    </w:p>
    <w:p/>
    <w:p>
      <w:pPr>
        <w:pStyle w:val="Heading3"/>
      </w:pPr>
      <w:r>
        <w:t xml:space="preserve">1.1 向量宽度由连续性和 mask alignment 约束</w:t>
      </w:r>
    </w:p>
    <w:p/>
    <w:p>
      <w:r>
        <w:t xml:space="preserve">LoadStoreOpToLLVM.cpp 中的 getVectorSize 将 AxisInfoAnalysis 得到的 pointer contiguity 与 128-bit 硬件上限取最小值（约 202–212 行）。Load 和 store 遇到 mask 时，再将宽度限制为 getMaskAlignment(mask)（load 约 261–280 行；store 约 634–696 行）。</w:t>
      </w:r>
    </w:p>
    <w:p/>
    <w:p>
      <w:r>
        <w:t xml:space="preserve">mask alignment 的用途由 async-copy 路径的注释写得很具体（约 1597–1605 行）：若一次搬运 N 个相邻元素，pointer 必须连续，且每组 N 个 mask bit 必须相同。例如宽度为 2 时，mask 需要形如 [x, x, y, y, ...]。不满足时，缩小向量宽度，避免一个宽访存错误地跨过有效/无效元素边界。</w:t>
      </w:r>
    </w:p>
    <w:p/>
    <w:p>
      <w:r>
        <w:t xml:space="preserve">宽度最终为 1、但每线程本来有多个元素时，load/store 会发出 Warning: vectorization fails remark（load 约 284–290 行；store 约 699–705 行）。这是分析后退化访问宽度，而不是运行时检查到地址错位后做地址修复。</w:t>
      </w:r>
    </w:p>
    <w:p/>
    <w:p>
      <w:pPr>
        <w:pStyle w:val="Heading3"/>
      </w:pPr>
      <w:r>
        <w:t xml:space="preserve">1.2 Load/store 如何应用 mask</w:t>
      </w:r>
    </w:p>
    <w:p/>
    <w:p>
      <w:pPr>
        <w:pStyle w:val="ListParagraph"/>
      </w:pPr>
      <w:r>
        <w:t xml:space="preserve">•  Load 遍历每个向量组时，从组起始元素取 predicate（约 389–398、422–445 行），并生成 PTX ld（约 507–554 行）；向量组宽度是上述分析和 mask alignment 收窄后的 vec。</w:t>
      </w:r>
    </w:p>
    <w:p>
      <w:pPr>
        <w:pStyle w:val="ListParagraph"/>
      </w:pPr>
      <w:r>
        <w:t xml:space="preserve">•  Store 同样按 vec 分组（约 747–748 行），并对生成的 PTX st 使用 predicate（约 810–868 行）。</w:t>
      </w:r>
    </w:p>
    <w:p>
      <w:pPr>
        <w:pStyle w:val="ListParagraph"/>
      </w:pPr>
      <w:r>
        <w:t xml:space="preserve">•  因此，宽访存使用组内 mask 一致这一前提；不能因为有 mask 就推断访问会自动拆成任意逐元素操作。</w:t>
      </w:r>
    </w:p>
    <w:p/>
    <w:p>
      <w:pPr>
        <w:pStyle w:val="Heading3"/>
      </w:pPr>
      <w:r>
        <w:t xml:space="preserve">1.3 cp.async 的特殊边界处理</w:t>
      </w:r>
    </w:p>
    <w:p/>
    <w:p>
      <w:r>
        <w:t xml:space="preserve">异步拷贝路径（约 1597–1658 行）把最大向量宽度限制在 128 bit，并把 mask 转为 source-size：mask 为真时传入完整字节数，为假时 source-size 为 0，PTX cp.async 会将剩余部分填 0。代码还明确说明当前假设 other == 0。此路径要求传输宽度至少为 4 字节；低于 4 字节会报错，而不是静默接受任意小粒度。</w:t>
      </w:r>
    </w:p>
    <w:p/>
    <w:p>
      <w:pPr>
        <w:pStyle w:val="Heading3"/>
      </w:pPr>
      <w:r>
        <w:t xml:space="preserve">1.4 重要边界：mask alignment 不等于任意地址对齐修复</w:t>
      </w:r>
    </w:p>
    <w:p/>
    <w:p>
      <w:r>
        <w:t xml:space="preserve">上述代码显式展示的是 连续性 / mask 分组约束对向量宽度的限制。在这条 NVIDIA load/store lowering 中，没有看到基于运行时地址低位的对齐分支、前缀/主体/尾部拆分，或通用的 unaligned 宽访问修复流程。</w:t>
      </w:r>
    </w:p>
    <w:p/>
    <w:p>
      <w:r>
        <w:t xml:space="preserve">因此，若“对不齐”指的是实际 pointer 地址不满足所选 PTX 向量访存的自然对齐要求，仅凭这里的 mask alignment 逻辑不能证明后端会自动修复它；还需满足 Triton 上游 pointer、布局和对齐分析所作的假设。源码中 getVectorSize 本身只直接使用 contiguity 和元素位宽（约 202–212 行），不要把它解释为运行时地址对齐检查。</w:t>
      </w:r>
    </w:p>
    <w:p/>
    <w:p>
      <w:pPr>
        <w:pStyle w:val="Heading2"/>
      </w:pPr>
      <w:r>
        <w:t xml:space="preserve">2. 多 CTA / block 协作</w:t>
      </w:r>
    </w:p>
    <w:p/>
    <w:p>
      <w:pPr>
        <w:pStyle w:val="Heading3"/>
      </w:pPr>
      <w:r>
        <w:t xml:space="preserve">2.1 同一 cluster 的分布式共享内存和 barrier</w:t>
      </w:r>
    </w:p>
    <w:p/>
    <w:p>
      <w:r>
        <w:t xml:space="preserve">ConvertLayoutOpToLLVM.cpp 的跨 CTA layout 转换路径（约 289–370 行）给出了直接实例：</w:t>
      </w:r>
    </w:p>
    <w:p/>
    <w:p>
      <w:pPr>
        <w:pStyle w:val="ListParagraph"/>
      </w:pPr>
      <w:r>
        <w:t xml:space="preserve">1. 各 CTA 将本地数据写入 shared memory。</w:t>
      </w:r>
    </w:p>
    <w:p>
      <w:pPr>
        <w:pStyle w:val="ListParagraph"/>
      </w:pPr>
      <w:r>
        <w:t xml:space="preserve">2. 发出 ClusterArriveOp / ClusterWaitOp，建立 cluster 级同步。</w:t>
      </w:r>
    </w:p>
    <w:p>
      <w:pPr>
        <w:pStyle w:val="ListParagraph"/>
      </w:pPr>
      <w:r>
        <w:t xml:space="preserve">3. 将全局坐标拆分为 CTA id 和 CTA 内坐标，通过 remoteCTAId 计算远端 CTA，调用 targetInfo.loadDShared(...) 从其共享内存读取。</w:t>
      </w:r>
    </w:p>
    <w:p>
      <w:pPr>
        <w:pStyle w:val="ListParagraph"/>
      </w:pPr>
      <w:r>
        <w:t xml:space="preserve">4. 再做一次 cluster barrier，保护后续使用阶段。</w:t>
      </w:r>
    </w:p>
    <w:p/>
    <w:p>
      <w:r>
        <w:t xml:space="preserve">普通 barrier 的选择逻辑也有直接证据：LoadStoreOpToLLVM.cpp 约 881–889 行在 numCTAs == 1 时使用 CTA barrier，否则生成 cluster arrive/wait。cluster arrive/wait 随后在 ClusterOpsToLLVM.cpp 约 34–62 行分别 lower 到 NVVM cluster arrive / wait 操作。</w:t>
      </w:r>
    </w:p>
    <w:p/>
    <w:p>
      <w:pPr>
        <w:pStyle w:val="Heading3"/>
      </w:pPr>
      <w:r>
        <w:t xml:space="preserve">2.2 双 CTA Tensor Core MMA</w:t>
      </w:r>
    </w:p>
    <w:p/>
    <w:p>
      <w:r>
        <w:t xml:space="preserve">MMAv5.cpp 展示了受限的两 CTA 矩阵乘协作：</w:t>
      </w:r>
    </w:p>
    <w:p/>
    <w:p>
      <w:pPr>
        <w:pStyle w:val="ListParagraph"/>
      </w:pPr>
      <w:r>
        <w:t xml:space="preserve">•  指令 opcode 根据 twoCTAs 选择 tcgen05.mma.cta_group::2 或 cta_group::1（约 235–250 行）。</w:t>
      </w:r>
    </w:p>
    <w:p>
      <w:pPr>
        <w:pStyle w:val="ListParagraph"/>
      </w:pPr>
      <w:r>
        <w:t xml:space="preserve">•  两 CTA 路径在 MMA 前执行 cluster arrive/wait，使用 cluster CTA id 限定参与发射的 CTA，并且 MMA 仅由特定 warp / elected thread 执行（约 374–395 行）。</w:t>
      </w:r>
    </w:p>
    <w:p>
      <w:pPr>
        <w:pStyle w:val="ListParagraph"/>
      </w:pPr>
      <w:r>
        <w:t xml:space="preserve">•  双 CTA commit 使用 cluster multicast 将完成通知发给 CTA 0 和 1（约 297–319 行）。</w:t>
      </w:r>
    </w:p>
    <w:p/>
    <w:p>
      <w:r>
        <w:t xml:space="preserve">这证明后端存在特定算子、特定硬件指令上的双 CTA 协作，不代表任何普通 Triton kernel 都会自动让多个 CTA 共同计算一个 tile。</w:t>
      </w:r>
    </w:p>
    <w:p/>
    <w:p>
      <w:pPr>
        <w:pStyle w:val="Heading3"/>
      </w:pPr>
      <w:r>
        <w:t xml:space="preserve">2.3 编译和 launch 的硬件条件</w:t>
      </w:r>
    </w:p>
    <w:p/>
    <w:p>
      <w:r>
        <w:t xml:space="preserve">compiler.py 约 178–196 行验证 cluster_dims 为 3 个正整数，并在 num_ctas &gt; 1 或 cluster 维度乘积大于 1 且架构低于 SM90 时拒绝编译配置。该文件约 269–284 行把 cluster 维度交给 CTA planning pass。</w:t>
      </w:r>
    </w:p>
    <w:p/>
    <w:p>
      <w:r>
        <w:t xml:space="preserve">driver.py 约 317–380 行通过 cuLaunchKernelEx 配置 cluster dimensions；非单位 cluster 会扩展 grid dimensions，并附加 CU_LAUNCH_ATTRIBUTE_CLUSTER_DIMENSION 和 cluster scheduling policy。这与前述 CTA-cluster 协作路径对应。</w:t>
      </w:r>
    </w:p>
    <w:p/>
    <w:p>
      <w:pPr>
        <w:pStyle w:val="Heading3"/>
      </w:pPr>
      <w:r>
        <w:t xml:space="preserve">2.4 不要混淆 cluster 协作和全 grid 同步</w:t>
      </w:r>
    </w:p>
    <w:p/>
    <w:p>
      <w:r>
        <w:t xml:space="preserve">同一 driver 还会在 launch_cooperative_grid 为真时设置 CU_LAUNCH_ATTRIBUTE_COOPERATIVE（driver.py 约 350 行附近），编译选项及 metadata 也保留该标记（compiler.py 约 115 行、349–353 行）。这说明运行时支持请求 cooperative-grid launch；它不是在 kernel 中自动插入全 grid barrier 的证据。在 third_party/nvidia 下检查到的同步 lowering 是 CTA / cluster barrier；没有发现 grid.sync 的生成。因此，若算法要求所有 grid CTA 在 kernel 中全局汇合，还需要单独确认相应的语言级同步实现、适用约束和 launch 条件，不能只依赖 cluster_dims 或 cooperative launch 标志。</w:t>
      </w:r>
    </w:p>
    <w:p/>
    <w:p>
      <w:pPr>
        <w:pStyle w:val="Heading2"/>
      </w:pPr>
      <w:r>
        <w:t xml:space="preserve">3. 与标注的 Ascend binding 的对照</w:t>
      </w:r>
    </w:p>
    <w:p/>
    <w:p>
      <w:r>
        <w:t xml:space="preserve">标注文件 triton_ascend.cc 约 145–152 行暴露了 create_custom_op_for_inter_core_sync，并把 op 名、模式/发送方和 id 交给 triton::ascend::CustomOp。这能证明 Ascend binding 提供了 inter-core sync 的自定义 op 入口，但 binding 本身没有说明该 op 的实际同步语义或硬件范围；需继续追踪对应 CustomOp 的定义和 lowering。</w:t>
      </w:r>
    </w:p>
    <w:p/>
    <w:p>
      <w:r>
        <w:t xml:space="preserve">相较之下，NVIDIA 后端在这里能直接追到 cluster arrive/wait、远端 shared-memory load，以及 PTX/NVVM lower 路径，因而可以明确确认 cluster 内 CTA 协作的具体机制。</w:t>
      </w:r>
    </w:p>
    <w:p/>
    <w:p>
      <w:pPr>
        <w:pStyle w:val="Heading2"/>
      </w:pPr>
      <w:r>
        <w:t xml:space="preserve">4. 关键源码索引</w:t>
      </w:r>
    </w:p>
    <w:p/>
    <w:p>
      <w:r>
        <w:t xml:space="preserve"> 关注点   |   源码位置 </w:t>
      </w:r>
    </w:p>
    <w:p>
      <w:r>
        <w:t xml:space="preserve"> vector width、mask alignment、128-bit 上限   |   LoadStoreOpToLLVM.cpp，约 202–215、261–290、634–705 行 </w:t>
      </w:r>
    </w:p>
    <w:p>
      <w:r>
        <w:t xml:space="preserve"> masked cp.async 及 4-byte 下限   |   LoadStoreOpToLLVM.cpp，约 1597–1613、1645–1658 行 </w:t>
      </w:r>
    </w:p>
    <w:p>
      <w:r>
        <w:t xml:space="preserve"> cluster shared-memory layout 转换及同步   |   ConvertLayoutOpToLLVM.cpp，约 289–370 行 </w:t>
      </w:r>
    </w:p>
    <w:p>
      <w:r>
        <w:t xml:space="preserve"> 普通 CTA barrier / cluster barrier 选择   |   LoadStoreOpToLLVM.cpp，约 881–889 行 </w:t>
      </w:r>
    </w:p>
    <w:p>
      <w:r>
        <w:t xml:space="preserve"> cluster barrier lowering   |   ClusterOpsToLLVM.cpp，约 34–62 行 </w:t>
      </w:r>
    </w:p>
    <w:p>
      <w:r>
        <w:t xml:space="preserve"> 双 CTA MMA、前置同步和 multicast commit   |   MMAv5.cpp，约 235–250、297–319、374–395 行 </w:t>
      </w:r>
    </w:p>
    <w:p>
      <w:r>
        <w:t xml:space="preserve"> SM90 限制和 cluster dims 编译配置   |   compiler.py，约 178–196、269–284 行 </w:t>
      </w:r>
    </w:p>
    <w:p>
      <w:r>
        <w:t xml:space="preserve"> CUDA cluster launch 与 cooperative-grid 属性   |   driver.py，约 317–380 行 </w:t>
      </w:r>
    </w:p>
    <w:sectPr>
      <w:pgSz w:w="12240" w:h="15840"/>
      <w:pgMar w:top="900" w:right="900" w:bottom="900" w:left="900" w:header="450" w:footer="4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  <w:pPr>
      <w:spacing w:after="120" w:line="276"/>
    </w:pPr>
  </w:style>
  <w:style w:type="paragraph" w:styleId="Heading1">
    <w:name w:val="heading 1"/>
    <w:basedOn w:val="Normal"/>
    <w:rPr>
      <w:b/>
      <w:color w:val="1F4E79"/>
      <w:sz w:val="34"/>
    </w:rPr>
    <w:pPr>
      <w:keepNext/>
      <w:spacing w:before="300" w:after="120"/>
    </w:pPr>
  </w:style>
  <w:style w:type="paragraph" w:styleId="Heading2">
    <w:name w:val="heading 2"/>
    <w:basedOn w:val="Normal"/>
    <w:rPr>
      <w:b/>
      <w:color w:val="2F75B5"/>
      <w:sz w:val="28"/>
    </w:rPr>
    <w:pPr>
      <w:keepNext/>
      <w:spacing w:before="240" w:after="100"/>
    </w:pPr>
  </w:style>
  <w:style w:type="paragraph" w:styleId="Heading3">
    <w:name w:val="heading 3"/>
    <w:basedOn w:val="Normal"/>
    <w:rPr>
      <w:b/>
      <w:sz w:val="24"/>
    </w:rPr>
    <w:pPr>
      <w:keepNext/>
    </w:p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