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 w:after="0"/>
      </w:pPr>
    </w:p>
    <w:p>
      <w:pPr>
        <w:spacing w:after="480"/>
        <w:jc w:val="center"/>
      </w:pPr>
      <w:r>
        <w:rPr>
          <w:b/>
          <w:bCs/>
          <w:color w:val="365F91"/>
          <w:sz w:val="40"/>
          <w:szCs w:val="40"/>
          <w:rFonts w:ascii="Segoe UI" w:cs="Segoe UI" w:eastAsia="Segoe UI" w:hAnsi="Segoe UI"/>
        </w:rPr>
        <w:t xml:space="preserve">Due Diligence Report</w:t>
      </w:r>
    </w:p>
    <w:p>
      <w:pPr>
        <w:spacing w:after="960"/>
        <w:jc w:val="center"/>
      </w:pPr>
      <w:r>
        <w:rPr>
          <w:b/>
          <w:bCs/>
          <w:color w:val="4F81BD"/>
          <w:sz w:val="32"/>
          <w:szCs w:val="32"/>
          <w:rFonts w:ascii="Segoe UI" w:cs="Segoe UI" w:eastAsia="Segoe UI" w:hAnsi="Segoe UI"/>
        </w:rPr>
        <w:t xml:space="preserve">TechCorp Industries Pte Ltd</w:t>
      </w:r>
    </w:p>
    <w:p>
      <w:pPr>
        <w:jc w:val="center"/>
      </w:pPr>
      <w:r>
        <w:rPr>
          <w:i/>
          <w:iCs/>
          <w:color w:val="808080"/>
          <w:sz w:val="20"/>
          <w:szCs w:val="20"/>
          <w:rFonts w:ascii="Segoe UI" w:cs="Segoe UI" w:eastAsia="Segoe UI" w:hAnsi="Segoe UI"/>
        </w:rPr>
        <w:t xml:space="preserve">January 2026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1.0 Company Overview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TechCorp Industries Pte Ltd is a leading technology solutions provider headquartered in Singapore. Founded in 2015, the company has grown to become a significant player in the enterprise software market across Southeast Asia.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The company specializes in </w:t>
      </w:r>
      <w:r>
        <w:rPr>
          <w:b/>
          <w:bCs/>
          <w:color w:val="000000"/>
          <w:sz w:val="20"/>
          <w:szCs w:val="20"/>
          <w:rFonts w:ascii="Segoe UI" w:cs="Segoe UI" w:eastAsia="Segoe UI" w:hAnsi="Segoe UI"/>
        </w:rPr>
        <w:t xml:space="preserve">cloud infrastructure</w:t>
      </w:r>
      <w:r>
        <w:rPr>
          <w:color w:val="000000"/>
          <w:sz w:val="20"/>
          <w:szCs w:val="20"/>
          <w:rFonts w:ascii="Segoe UI" w:cs="Segoe UI" w:eastAsia="Segoe UI" w:hAnsi="Segoe UI"/>
        </w:rPr>
        <w:t xml:space="preserve">, </w:t>
      </w:r>
      <w:r>
        <w:rPr>
          <w:i/>
          <w:iCs/>
          <w:color w:val="000000"/>
          <w:sz w:val="20"/>
          <w:szCs w:val="20"/>
          <w:rFonts w:ascii="Segoe UI" w:cs="Segoe UI" w:eastAsia="Segoe UI" w:hAnsi="Segoe UI"/>
        </w:rPr>
        <w:t xml:space="preserve">data analytics</w:t>
      </w:r>
      <w:r>
        <w:rPr>
          <w:color w:val="000000"/>
          <w:sz w:val="20"/>
          <w:szCs w:val="20"/>
          <w:rFonts w:ascii="Segoe UI" w:cs="Segoe UI" w:eastAsia="Segoe UI" w:hAnsi="Segoe UI"/>
        </w:rPr>
        <w:t xml:space="preserve">, and </w:t>
      </w:r>
      <w:r>
        <w:rPr>
          <w:b/>
          <w:bCs/>
          <w:i/>
          <w:iCs/>
          <w:color w:val="000000"/>
          <w:sz w:val="20"/>
          <w:szCs w:val="20"/>
          <w:rFonts w:ascii="Segoe UI" w:cs="Segoe UI" w:eastAsia="Segoe UI" w:hAnsi="Segoe UI"/>
        </w:rPr>
        <w:t xml:space="preserve">enterprise security solutions</w:t>
      </w:r>
      <w:r>
        <w:rPr>
          <w:color w:val="000000"/>
          <w:sz w:val="20"/>
          <w:szCs w:val="20"/>
          <w:rFonts w:ascii="Segoe UI" w:cs="Segoe UI" w:eastAsia="Segoe UI" w:hAnsi="Segoe UI"/>
        </w:rPr>
        <w:t xml:space="preserve">. Their flagship product, CloudSync Pro, serves over 500 enterprise clients globally.</w:t>
      </w: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2.0 Market Analysis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The Southeast Asian enterprise software market presents significant growth opportunities: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Total addressable market (TAM) of USD 45 billion by 2028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Cloud adoption rate growing at 25% CAGR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Enterprise security spending increased 40% YoY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Digital transformation initiatives driving demand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Government support for technology sector development</w:t>
      </w:r>
    </w:p>
    <w:p>
      <w:pPr>
        <w:pStyle w:val="Heading2"/>
        <w:spacing w:before="240" w:after="120"/>
      </w:pPr>
      <w:r>
        <w:rPr>
          <w:b/>
          <w:bCs/>
          <w:color w:val="4F81BD"/>
          <w:sz w:val="20"/>
          <w:szCs w:val="20"/>
          <w:rFonts w:ascii="Segoe UI" w:cs="Segoe UI" w:eastAsia="Segoe UI" w:hAnsi="Segoe UI"/>
        </w:rPr>
        <w:t xml:space="preserve">2.1 Competitive Landscape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TechCorp competes with both global players and regional specialists. Key differentiators include local market expertise and regulatory compliance capabilities.</w:t>
      </w: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3.0 Financial Summary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The company has demonstrated strong financial performance over the past three fiscal years:</w:t>
      </w: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Metric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FY2023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FY2024</w:t>
            </w:r>
          </w:p>
        </w:tc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FY2025E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Revenue (USD M)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45.2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62.8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85.0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Gross Margin (%)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68%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71%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73%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EBITDA (USD M)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8.5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14.2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21.0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EBITDA Margin (%)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19%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23%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25%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Net Income (USD M)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4.2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8.5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13.0</w:t>
            </w:r>
          </w:p>
        </w:tc>
      </w:tr>
      <w:tr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Headcount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180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245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320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rPr>
          <w:b/>
          <w:bCs/>
          <w:color w:val="4F81BD"/>
          <w:sz w:val="20"/>
          <w:szCs w:val="20"/>
          <w:rFonts w:ascii="Segoe UI" w:cs="Segoe UI" w:eastAsia="Segoe UI" w:hAnsi="Segoe UI"/>
        </w:rPr>
        <w:t xml:space="preserve">3.1 Revenue Breakdown by Segment</w:t>
      </w: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Segment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Revenue (USD M)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% of Total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Cloud Services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35.0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56%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Professional Services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18.5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29%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License &amp; Support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9.3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15%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4.0 Key Risks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The following risk factors should be considered in the investment decision:</w:t>
      </w:r>
    </w:p>
    <w:p>
      <w:pPr>
        <w:pStyle w:val="Heading2"/>
        <w:spacing w:before="240" w:after="120"/>
      </w:pPr>
      <w:r>
        <w:rPr>
          <w:b/>
          <w:bCs/>
          <w:color w:val="4F81BD"/>
          <w:sz w:val="20"/>
          <w:szCs w:val="20"/>
          <w:rFonts w:ascii="Segoe UI" w:cs="Segoe UI" w:eastAsia="Segoe UI" w:hAnsi="Segoe UI"/>
        </w:rPr>
        <w:t xml:space="preserve">4.1 Operational Risks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1. Customer concentration: Top 5 clients represent 35% of revenue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2. Key person dependency on founding team for major client relationships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3. Talent retention challenges in competitive Singapore market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4. Technology obsolescence requiring continuous R&amp;D investment</w:t>
      </w:r>
    </w:p>
    <w:p>
      <w:pPr>
        <w:pStyle w:val="Heading2"/>
        <w:spacing w:before="240" w:after="120"/>
      </w:pPr>
      <w:r>
        <w:rPr>
          <w:b/>
          <w:bCs/>
          <w:color w:val="4F81BD"/>
          <w:sz w:val="20"/>
          <w:szCs w:val="20"/>
          <w:rFonts w:ascii="Segoe UI" w:cs="Segoe UI" w:eastAsia="Segoe UI" w:hAnsi="Segoe UI"/>
        </w:rPr>
        <w:t xml:space="preserve">4.2 Market Risks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1. Increasing competition from global cloud providers (AWS, Azure, GCP)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2. Regulatory changes in data sovereignty requirements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3. Economic slowdown impact on enterprise IT budgets</w:t>
      </w:r>
    </w:p>
    <w:p>
      <w:p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4. Currency fluctuation exposure across ASEAN markets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5.0 Management Assessment</w:t>
      </w:r>
    </w:p>
    <w:p>
      <w:pPr>
        <w:spacing w:before="240" w:after="240"/>
        <w:ind w:left="720" w:right="720"/>
      </w:pPr>
      <w:r>
        <w:rPr>
          <w:i/>
          <w:iCs/>
          <w:color w:val="666666"/>
          <w:sz w:val="20"/>
          <w:szCs w:val="20"/>
          <w:rFonts w:ascii="Segoe UI" w:cs="Segoe UI" w:eastAsia="Segoe UI" w:hAnsi="Segoe UI"/>
        </w:rPr>
        <w:t xml:space="preserve">"The management team has demonstrated strong execution capabilities and deep industry knowledge. Their track record of successful enterprise deployments positions the company well for continued growth."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The leadership team comprises experienced professionals with an average tenure of 8 years in the technology sector.</w:t>
      </w:r>
    </w:p>
    <w:p>
      <w:pPr>
        <w:pStyle w:val="Heading3"/>
        <w:spacing w:before="240" w:after="120"/>
      </w:pPr>
      <w:r>
        <w:rPr>
          <w:b/>
          <w:bCs/>
          <w:color w:val="4F81BD"/>
          <w:sz w:val="20"/>
          <w:szCs w:val="20"/>
          <w:rFonts w:ascii="Segoe UI" w:cs="Segoe UI" w:eastAsia="Segoe UI" w:hAnsi="Segoe UI"/>
        </w:rPr>
        <w:t xml:space="preserve">5.1 Key Personnel</w:t>
      </w: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Name</w:t>
            </w:r>
          </w:p>
        </w:tc>
        <w:tc>
          <w:tcPr>
            <w:tcW w:type="pct" w:w="2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Position</w:t>
            </w:r>
          </w:p>
        </w:tc>
        <w:tc>
          <w:tcPr>
            <w:tcW w:type="pct" w:w="5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Background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John Chen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CEO &amp; Co-founder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15 years at Microsoft, Stanford MBA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Sarah Lim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CTO &amp; Co-founder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Former Google Cloud architect, MIT PhD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Michael Tan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CFO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Ex-Goldman Sachs, CPA Singapore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Lisa Wong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COO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6D9F1" w:color="C6D9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  <w:rFonts w:ascii="Segoe UI" w:cs="Segoe UI" w:eastAsia="Segoe UI" w:hAnsi="Segoe UI"/>
              </w:rPr>
              <w:t xml:space="preserve">12 years at Accenture, INSEAD MBA</w:t>
            </w:r>
          </w:p>
        </w:tc>
      </w:tr>
    </w:tbl>
    <w:p>
      <w:pPr>
        <w:spacing w:before="0" w:after="120"/>
      </w:pP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240" w:after="120"/>
      </w:pPr>
      <w:r>
        <w:rPr>
          <w:b/>
          <w:bCs/>
          <w:color w:val="365F91"/>
          <w:sz w:val="20"/>
          <w:szCs w:val="20"/>
          <w:rFonts w:ascii="Segoe UI" w:cs="Segoe UI" w:eastAsia="Segoe UI" w:hAnsi="Segoe UI"/>
        </w:rPr>
        <w:t xml:space="preserve">6.0 Investment Recommendation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Based on our comprehensive due diligence review, we recommend proceeding with the investment subject to the following conditions: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Completion of detailed technical due diligence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Negotiation of key employee retention agreements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Review and approval of final valuation terms</w:t>
      </w:r>
    </w:p>
    <w:p>
      <w:pPr>
        <w:pStyle w:val="ListParagraph"/>
        <w:numPr>
          <w:ilvl w:val="0"/>
          <w:numId w:val="1"/>
        </w:numPr>
        <w:spacing w:before="60" w:after="60"/>
        <w:ind w:left="720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Satisfactory legal review of customer contracts</w:t>
      </w:r>
    </w:p>
    <w:p>
      <w:pPr>
        <w:spacing w:before="240" w:after="240"/>
        <w:ind w:left="720" w:right="720"/>
      </w:pPr>
      <w:r>
        <w:rPr>
          <w:i/>
          <w:iCs/>
          <w:color w:val="666666"/>
          <w:sz w:val="20"/>
          <w:szCs w:val="20"/>
          <w:rFonts w:ascii="Segoe UI" w:cs="Segoe UI" w:eastAsia="Segoe UI" w:hAnsi="Segoe UI"/>
        </w:rPr>
        <w:t xml:space="preserve">Investment Thesis: TechCorp represents a compelling opportunity to invest in a high-growth enterprise software platform with strong regional positioning and experienced management.</w:t>
      </w:r>
    </w:p>
    <w:p>
      <w:pPr>
        <w:spacing w:before="120" w:after="120" w:line="276"/>
      </w:pPr>
      <w:r>
        <w:rPr>
          <w:color w:val="000000"/>
          <w:sz w:val="20"/>
          <w:szCs w:val="20"/>
          <w:rFonts w:ascii="Segoe UI" w:cs="Segoe UI" w:eastAsia="Segoe UI" w:hAnsi="Segoe UI"/>
        </w:rPr>
        <w:t xml:space="preserve">For more information, visit the company website at </w:t>
      </w:r>
      <w:hyperlink w:history="1" r:id="rIdc_zvply48pjywnlnc0n0_">
        <w:r>
          <w:rPr>
            <w:rStyle w:val="Hyperlink"/>
          </w:rPr>
          <w:t xml:space="preserve">TechCorp Industries</w:t>
        </w:r>
      </w:hyperlink>
      <w:r>
        <w:rPr>
          <w:color w:val="000000"/>
          <w:sz w:val="20"/>
          <w:szCs w:val="20"/>
          <w:rFonts w:ascii="Segoe UI" w:cs="Segoe UI" w:eastAsia="Segoe UI" w:hAnsi="Segoe UI"/>
        </w:rPr>
        <w:t xml:space="preserve"> or contact the investor relations team.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20"/>
        <w:szCs w:val="20"/>
        <w:rFonts w:ascii="Segoe UI" w:cs="Segoe UI" w:eastAsia="Segoe UI" w:hAnsi="Segoe UI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defaultTabStop w:val="720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Segoe UI" w:cs="Segoe UI" w:eastAsia="Segoe UI" w:hAnsi="Segoe UI"/>
      </w:rPr>
    </w:rPrDefault>
    <w:pPrDefault>
      <w:pPr>
        <w:spacing w:before="120"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365F91"/>
      <w:sz w:val="20"/>
      <w:szCs w:val="20"/>
      <w:rFonts w:ascii="Segoe UI" w:cs="Segoe UI" w:eastAsia="Segoe UI" w:hAnsi="Segoe UI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b/>
      <w:bCs/>
      <w:color w:val="4F81BD"/>
      <w:sz w:val="20"/>
      <w:szCs w:val="20"/>
      <w:rFonts w:ascii="Segoe UI" w:cs="Segoe UI" w:eastAsia="Segoe UI" w:hAnsi="Segoe UI"/>
    </w:rPr>
  </w:style>
  <w:style w:type="paragraph" w:styleId="Heading3">
    <w:name w:val="Heading 3"/>
    <w:basedOn w:val="Normal"/>
    <w:next w:val="Normal"/>
    <w:qFormat/>
    <w:rPr>
      <w:b/>
      <w:bCs/>
      <w:color w:val="4F81BD"/>
      <w:sz w:val="20"/>
      <w:szCs w:val="20"/>
      <w:rFonts w:ascii="Segoe UI" w:cs="Segoe UI" w:eastAsia="Segoe UI" w:hAnsi="Segoe UI"/>
    </w:rPr>
  </w:style>
  <w:style w:type="character" w:styleId="Hyperlink">
    <w:name w:val="Hyperlink"/>
    <w:basedOn w:val="DefaultParagraphFont"/>
    <w:uiPriority w:val="99"/>
    <w:unhideWhenUsed/>
    <w:rPr>
      <w:u w:val="single"/>
      <w:color w:val="4F81B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c_zvply48pjywnlnc0n0_" Type="http://schemas.openxmlformats.org/officeDocument/2006/relationships/hyperlink" Target="https://techcorp.example.com" TargetMode="Externa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Report</dc:title>
  <dc:creator>DD Report Generator</dc:creator>
  <cp:lastModifiedBy>Un-named</cp:lastModifiedBy>
  <cp:revision>1</cp:revision>
  <dcterms:created xsi:type="dcterms:W3CDTF">2026-01-18T06:45:10.594Z</dcterms:created>
  <dcterms:modified xsi:type="dcterms:W3CDTF">2026-01-18T06:45:10.594Z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