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23E97">
      <w:pPr>
        <w:rPr>
          <w:rFonts w:hint="default" w:ascii="仿宋_GB2312" w:eastAsia="仿宋_GB2312"/>
          <w:b/>
          <w:sz w:val="28"/>
          <w:szCs w:val="28"/>
          <w:lang w:val="en-US" w:eastAsia="zh-CN"/>
        </w:rPr>
      </w:pPr>
      <w:r>
        <w:rPr>
          <w:rFonts w:hint="eastAsia" w:ascii="仿宋_GB2312" w:eastAsia="仿宋_GB2312"/>
          <w:b/>
          <w:sz w:val="28"/>
          <w:szCs w:val="28"/>
        </w:rPr>
        <w:t>课程编号：</w:t>
      </w:r>
      <w:r>
        <w:rPr>
          <w:rFonts w:hint="eastAsia" w:ascii="仿宋_GB2312" w:eastAsia="仿宋_GB2312"/>
          <w:b/>
          <w:sz w:val="28"/>
          <w:szCs w:val="28"/>
          <w:lang w:val="en-US" w:eastAsia="zh-CN"/>
        </w:rPr>
        <w:t>A0801050230</w:t>
      </w:r>
    </w:p>
    <w:p w14:paraId="4315A665">
      <w:pPr>
        <w:rPr>
          <w:rFonts w:ascii="仿宋_GB2312" w:eastAsia="仿宋_GB2312"/>
          <w:b/>
          <w:sz w:val="72"/>
          <w:szCs w:val="72"/>
        </w:rPr>
      </w:pPr>
    </w:p>
    <w:p w14:paraId="31BCF434">
      <w:pPr>
        <w:jc w:val="center"/>
        <w:rPr>
          <w:rFonts w:hint="default" w:ascii="仿宋_GB2312" w:eastAsia="仿宋_GB2312"/>
          <w:b/>
          <w:sz w:val="72"/>
          <w:szCs w:val="72"/>
          <w:lang w:val="en-US" w:eastAsia="zh-CN"/>
        </w:rPr>
      </w:pPr>
      <w:r>
        <w:rPr>
          <w:rFonts w:hint="eastAsia" w:ascii="仿宋_GB2312" w:eastAsia="仿宋_GB2312"/>
          <w:b/>
          <w:sz w:val="72"/>
          <w:szCs w:val="72"/>
          <w:lang w:val="en-US" w:eastAsia="zh-CN"/>
        </w:rPr>
        <w:t>软件质量保证与测试</w:t>
      </w:r>
    </w:p>
    <w:p w14:paraId="106178A2">
      <w:pPr>
        <w:jc w:val="center"/>
        <w:rPr>
          <w:rFonts w:ascii="仿宋_GB2312" w:eastAsia="仿宋_GB2312"/>
          <w:b/>
          <w:sz w:val="72"/>
          <w:szCs w:val="72"/>
        </w:rPr>
      </w:pPr>
      <w:r>
        <w:rPr>
          <w:rFonts w:hint="eastAsia" w:ascii="仿宋_GB2312" w:eastAsia="仿宋_GB2312"/>
          <w:b/>
          <w:sz w:val="72"/>
          <w:szCs w:val="72"/>
        </w:rPr>
        <w:t>实验报告</w:t>
      </w:r>
    </w:p>
    <w:p w14:paraId="2D15AE3B">
      <w:pPr>
        <w:jc w:val="center"/>
        <w:rPr>
          <w:rFonts w:ascii="仿宋_GB2312" w:eastAsia="仿宋_GB2312"/>
          <w:b/>
          <w:sz w:val="52"/>
          <w:szCs w:val="52"/>
        </w:rPr>
      </w:pPr>
    </w:p>
    <w:p w14:paraId="1D5D920D">
      <w:pPr>
        <w:jc w:val="center"/>
        <w:rPr>
          <w:rFonts w:ascii="宋体" w:hAnsi="宋体"/>
          <w:sz w:val="28"/>
          <w:szCs w:val="28"/>
        </w:rPr>
      </w:pPr>
      <w:r>
        <w:rPr>
          <w:rFonts w:ascii="宋体" w:hAnsi="宋体" w:eastAsia="宋体" w:cs="Times New Roman"/>
          <w:kern w:val="2"/>
          <w:sz w:val="28"/>
          <w:szCs w:val="28"/>
          <w:lang w:val="en-US" w:eastAsia="zh-CN" w:bidi="ar-SA"/>
        </w:rPr>
        <w:pict>
          <v:shape id="_x0000_i1025" o:spt="75" type="#_x0000_t75" style="height:123.25pt;width:123.25pt;" fillcolor="#FFFFFF" filled="f" o:preferrelative="t" stroked="f" coordsize="21600,21600">
            <v:path/>
            <v:fill on="f" color2="#FFFFFF" focussize="0,0"/>
            <v:stroke on="f"/>
            <v:imagedata r:id="rId6" gain="65536f" blacklevel="0f" gamma="0" o:title=""/>
            <o:lock v:ext="edit" position="f" selection="f" grouping="f" rotation="f" cropping="f" text="f" aspectratio="t"/>
            <w10:wrap type="none"/>
            <w10:anchorlock/>
          </v:shape>
        </w:pict>
      </w:r>
    </w:p>
    <w:p w14:paraId="6594DC05">
      <w:pPr>
        <w:rPr>
          <w:rFonts w:ascii="仿宋_GB2312" w:eastAsia="仿宋_GB2312"/>
        </w:rPr>
      </w:pPr>
    </w:p>
    <w:p w14:paraId="0E331C78">
      <w:pPr>
        <w:rPr>
          <w:rFonts w:ascii="仿宋_GB2312" w:eastAsia="仿宋_GB2312"/>
        </w:rPr>
      </w:pPr>
    </w:p>
    <w:p w14:paraId="616CE785">
      <w:pPr>
        <w:rPr>
          <w:rFonts w:hint="eastAsia" w:ascii="仿宋_GB2312" w:eastAsia="仿宋_GB2312"/>
        </w:rPr>
      </w:pPr>
    </w:p>
    <w:p w14:paraId="4FDB8FA5">
      <w:pPr>
        <w:rPr>
          <w:rFonts w:hint="eastAsia" w:ascii="仿宋_GB2312" w:eastAsia="仿宋_GB2312"/>
        </w:rPr>
      </w:pPr>
    </w:p>
    <w:p w14:paraId="44151736">
      <w:pPr>
        <w:rPr>
          <w:rFonts w:ascii="仿宋_GB2312" w:eastAsia="仿宋_GB2312"/>
        </w:rPr>
      </w:pPr>
    </w:p>
    <w:p w14:paraId="3FCF7C00">
      <w:pPr>
        <w:rPr>
          <w:rFonts w:ascii="仿宋_GB2312" w:eastAsia="仿宋_GB2312"/>
        </w:rPr>
      </w:pPr>
    </w:p>
    <w:tbl>
      <w:tblPr>
        <w:tblStyle w:val="6"/>
        <w:tblW w:w="7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1594"/>
        <w:gridCol w:w="56"/>
        <w:gridCol w:w="2145"/>
        <w:gridCol w:w="2183"/>
      </w:tblGrid>
      <w:tr w14:paraId="2F36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55F4A09F">
            <w:pPr>
              <w:jc w:val="distribute"/>
              <w:rPr>
                <w:rFonts w:ascii="仿宋" w:hAnsi="仿宋" w:eastAsia="仿宋"/>
                <w:b/>
                <w:sz w:val="24"/>
              </w:rPr>
            </w:pPr>
            <w:r>
              <w:rPr>
                <w:rFonts w:hint="eastAsia" w:ascii="仿宋" w:hAnsi="仿宋" w:eastAsia="仿宋"/>
                <w:b/>
                <w:sz w:val="24"/>
                <w:lang w:val="en-US" w:eastAsia="zh-CN"/>
              </w:rPr>
              <w:t>组长</w:t>
            </w:r>
            <w:r>
              <w:rPr>
                <w:rFonts w:hint="eastAsia" w:ascii="仿宋" w:hAnsi="仿宋" w:eastAsia="仿宋"/>
                <w:b/>
                <w:sz w:val="24"/>
              </w:rPr>
              <w:t>姓名</w:t>
            </w:r>
          </w:p>
        </w:tc>
        <w:tc>
          <w:tcPr>
            <w:tcW w:w="1594" w:type="dxa"/>
            <w:vAlign w:val="center"/>
          </w:tcPr>
          <w:p w14:paraId="16C623B4">
            <w:pPr>
              <w:jc w:val="center"/>
              <w:rPr>
                <w:rFonts w:ascii="仿宋" w:hAnsi="仿宋" w:eastAsia="仿宋"/>
                <w:b/>
                <w:sz w:val="24"/>
              </w:rPr>
            </w:pPr>
          </w:p>
        </w:tc>
        <w:tc>
          <w:tcPr>
            <w:tcW w:w="2201" w:type="dxa"/>
            <w:gridSpan w:val="2"/>
            <w:vAlign w:val="center"/>
          </w:tcPr>
          <w:p w14:paraId="30F7BF70">
            <w:pPr>
              <w:jc w:val="right"/>
              <w:rPr>
                <w:rFonts w:ascii="仿宋" w:hAnsi="仿宋" w:eastAsia="仿宋"/>
                <w:b/>
                <w:sz w:val="24"/>
              </w:rPr>
            </w:pPr>
            <w:r>
              <w:rPr>
                <w:rFonts w:hint="eastAsia" w:ascii="仿宋" w:hAnsi="仿宋" w:eastAsia="仿宋"/>
                <w:b/>
                <w:spacing w:val="38"/>
                <w:kern w:val="0"/>
                <w:sz w:val="24"/>
                <w:fitText w:val="1928" w:id="1634494166"/>
              </w:rPr>
              <w:t xml:space="preserve">学       </w:t>
            </w:r>
            <w:r>
              <w:rPr>
                <w:rFonts w:hint="eastAsia" w:ascii="仿宋" w:hAnsi="仿宋" w:eastAsia="仿宋"/>
                <w:b/>
                <w:spacing w:val="0"/>
                <w:kern w:val="0"/>
                <w:sz w:val="24"/>
                <w:fitText w:val="1928" w:id="1634494166"/>
              </w:rPr>
              <w:t>号</w:t>
            </w:r>
          </w:p>
        </w:tc>
        <w:tc>
          <w:tcPr>
            <w:tcW w:w="2183" w:type="dxa"/>
            <w:vAlign w:val="center"/>
          </w:tcPr>
          <w:p w14:paraId="2746DE46">
            <w:pPr>
              <w:jc w:val="center"/>
              <w:rPr>
                <w:rFonts w:ascii="仿宋" w:hAnsi="仿宋" w:eastAsia="仿宋"/>
                <w:b/>
                <w:sz w:val="24"/>
              </w:rPr>
            </w:pPr>
          </w:p>
        </w:tc>
      </w:tr>
      <w:tr w14:paraId="3AE85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095295C8">
            <w:pPr>
              <w:wordWrap w:val="0"/>
              <w:jc w:val="distribute"/>
              <w:rPr>
                <w:rFonts w:ascii="仿宋" w:hAnsi="仿宋" w:eastAsia="仿宋"/>
                <w:b/>
                <w:sz w:val="24"/>
              </w:rPr>
            </w:pPr>
            <w:r>
              <w:rPr>
                <w:rFonts w:hint="eastAsia" w:ascii="仿宋" w:hAnsi="仿宋" w:eastAsia="仿宋"/>
                <w:b/>
                <w:sz w:val="24"/>
              </w:rPr>
              <w:t>班        级</w:t>
            </w:r>
          </w:p>
        </w:tc>
        <w:tc>
          <w:tcPr>
            <w:tcW w:w="1594" w:type="dxa"/>
            <w:vAlign w:val="center"/>
          </w:tcPr>
          <w:p w14:paraId="7A21E141">
            <w:pPr>
              <w:jc w:val="center"/>
              <w:rPr>
                <w:rFonts w:ascii="仿宋" w:hAnsi="仿宋" w:eastAsia="仿宋"/>
                <w:b/>
                <w:sz w:val="24"/>
              </w:rPr>
            </w:pPr>
          </w:p>
        </w:tc>
        <w:tc>
          <w:tcPr>
            <w:tcW w:w="2201" w:type="dxa"/>
            <w:gridSpan w:val="2"/>
            <w:vAlign w:val="center"/>
          </w:tcPr>
          <w:p w14:paraId="4139FC7F">
            <w:pPr>
              <w:jc w:val="right"/>
              <w:rPr>
                <w:rFonts w:ascii="仿宋" w:hAnsi="仿宋" w:eastAsia="仿宋"/>
                <w:b/>
                <w:sz w:val="24"/>
              </w:rPr>
            </w:pPr>
            <w:r>
              <w:rPr>
                <w:rFonts w:hint="eastAsia" w:ascii="仿宋" w:hAnsi="仿宋" w:eastAsia="仿宋"/>
                <w:b/>
                <w:spacing w:val="50"/>
                <w:kern w:val="0"/>
                <w:sz w:val="24"/>
                <w:fitText w:val="1928" w:id="1"/>
              </w:rPr>
              <w:t xml:space="preserve">指 导 教 </w:t>
            </w:r>
            <w:r>
              <w:rPr>
                <w:rFonts w:hint="eastAsia" w:ascii="仿宋" w:hAnsi="仿宋" w:eastAsia="仿宋"/>
                <w:b/>
                <w:spacing w:val="4"/>
                <w:kern w:val="0"/>
                <w:sz w:val="24"/>
                <w:fitText w:val="1928" w:id="1"/>
              </w:rPr>
              <w:t>师</w:t>
            </w:r>
          </w:p>
        </w:tc>
        <w:tc>
          <w:tcPr>
            <w:tcW w:w="2183" w:type="dxa"/>
            <w:vAlign w:val="center"/>
          </w:tcPr>
          <w:p w14:paraId="39761296">
            <w:pPr>
              <w:jc w:val="center"/>
              <w:rPr>
                <w:rFonts w:hint="eastAsia" w:ascii="仿宋" w:hAnsi="仿宋" w:eastAsia="仿宋"/>
                <w:b/>
                <w:sz w:val="24"/>
                <w:lang w:eastAsia="zh-CN"/>
              </w:rPr>
            </w:pPr>
            <w:r>
              <w:rPr>
                <w:rFonts w:hint="eastAsia" w:ascii="仿宋" w:hAnsi="仿宋" w:eastAsia="仿宋"/>
                <w:b/>
                <w:sz w:val="24"/>
                <w:lang w:eastAsia="zh-CN"/>
              </w:rPr>
              <w:t>吴辰铌</w:t>
            </w:r>
          </w:p>
        </w:tc>
      </w:tr>
      <w:tr w14:paraId="4073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15BFB9DA">
            <w:pPr>
              <w:jc w:val="distribute"/>
              <w:rPr>
                <w:rFonts w:ascii="仿宋" w:hAnsi="仿宋" w:eastAsia="仿宋"/>
                <w:b/>
                <w:sz w:val="24"/>
              </w:rPr>
            </w:pPr>
            <w:r>
              <w:rPr>
                <w:rFonts w:hint="eastAsia" w:ascii="仿宋" w:hAnsi="仿宋" w:eastAsia="仿宋"/>
                <w:b/>
                <w:sz w:val="24"/>
              </w:rPr>
              <w:t>开 设  学 期</w:t>
            </w:r>
          </w:p>
        </w:tc>
        <w:tc>
          <w:tcPr>
            <w:tcW w:w="5978" w:type="dxa"/>
            <w:gridSpan w:val="4"/>
            <w:vAlign w:val="center"/>
          </w:tcPr>
          <w:p w14:paraId="6315417F">
            <w:pPr>
              <w:jc w:val="center"/>
              <w:rPr>
                <w:rFonts w:ascii="仿宋" w:hAnsi="仿宋" w:eastAsia="仿宋"/>
                <w:b/>
                <w:sz w:val="24"/>
              </w:rPr>
            </w:pPr>
            <w:r>
              <w:rPr>
                <w:rFonts w:hint="eastAsia" w:ascii="仿宋" w:hAnsi="仿宋" w:eastAsia="仿宋"/>
                <w:b/>
                <w:spacing w:val="43"/>
                <w:kern w:val="0"/>
                <w:sz w:val="24"/>
                <w:fitText w:val="2892" w:id="2"/>
              </w:rPr>
              <w:t>20</w:t>
            </w:r>
            <w:r>
              <w:rPr>
                <w:rFonts w:hint="eastAsia" w:ascii="仿宋" w:hAnsi="仿宋" w:eastAsia="仿宋"/>
                <w:b/>
                <w:spacing w:val="43"/>
                <w:kern w:val="0"/>
                <w:sz w:val="24"/>
                <w:fitText w:val="2892" w:id="2"/>
                <w:lang w:val="en-US" w:eastAsia="zh-CN"/>
              </w:rPr>
              <w:t>25</w:t>
            </w:r>
            <w:r>
              <w:rPr>
                <w:rFonts w:hint="eastAsia" w:ascii="仿宋" w:hAnsi="仿宋" w:eastAsia="仿宋"/>
                <w:b/>
                <w:spacing w:val="43"/>
                <w:kern w:val="0"/>
                <w:sz w:val="24"/>
                <w:fitText w:val="2892" w:id="2"/>
              </w:rPr>
              <w:t>-20</w:t>
            </w:r>
            <w:r>
              <w:rPr>
                <w:rFonts w:hint="eastAsia" w:ascii="仿宋" w:hAnsi="仿宋" w:eastAsia="仿宋"/>
                <w:b/>
                <w:spacing w:val="43"/>
                <w:kern w:val="0"/>
                <w:sz w:val="24"/>
                <w:fitText w:val="2892" w:id="2"/>
                <w:lang w:val="en-US" w:eastAsia="zh-CN"/>
              </w:rPr>
              <w:t>2</w:t>
            </w:r>
            <w:r>
              <w:rPr>
                <w:rFonts w:hint="eastAsia" w:ascii="仿宋" w:hAnsi="仿宋" w:eastAsia="仿宋"/>
                <w:b/>
                <w:spacing w:val="43"/>
                <w:kern w:val="0"/>
                <w:sz w:val="24"/>
                <w:fitText w:val="2892" w:id="2"/>
                <w:lang w:val="en-US" w:eastAsia="zh-CN"/>
              </w:rPr>
              <w:t>6 春</w:t>
            </w:r>
            <w:r>
              <w:rPr>
                <w:rFonts w:hint="eastAsia" w:ascii="仿宋" w:hAnsi="仿宋" w:eastAsia="仿宋"/>
                <w:b/>
                <w:spacing w:val="43"/>
                <w:kern w:val="0"/>
                <w:sz w:val="24"/>
                <w:fitText w:val="2892" w:id="2"/>
                <w:lang w:eastAsia="zh-CN"/>
              </w:rPr>
              <w:t>季</w:t>
            </w:r>
            <w:r>
              <w:rPr>
                <w:rFonts w:hint="eastAsia" w:ascii="仿宋" w:hAnsi="仿宋" w:eastAsia="仿宋"/>
                <w:b/>
                <w:spacing w:val="43"/>
                <w:kern w:val="0"/>
                <w:sz w:val="24"/>
                <w:fitText w:val="2892" w:id="2"/>
              </w:rPr>
              <w:t>学</w:t>
            </w:r>
            <w:r>
              <w:rPr>
                <w:rFonts w:hint="eastAsia" w:ascii="仿宋" w:hAnsi="仿宋" w:eastAsia="仿宋"/>
                <w:b/>
                <w:spacing w:val="0"/>
                <w:kern w:val="0"/>
                <w:sz w:val="24"/>
                <w:fitText w:val="2892" w:id="2"/>
              </w:rPr>
              <w:t>期</w:t>
            </w:r>
          </w:p>
        </w:tc>
      </w:tr>
      <w:tr w14:paraId="1DDB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961" w:type="dxa"/>
            <w:vAlign w:val="center"/>
          </w:tcPr>
          <w:p w14:paraId="7EF6CA51">
            <w:pPr>
              <w:jc w:val="distribute"/>
              <w:rPr>
                <w:rFonts w:ascii="仿宋" w:hAnsi="仿宋" w:eastAsia="仿宋"/>
                <w:b/>
                <w:sz w:val="24"/>
              </w:rPr>
            </w:pPr>
            <w:r>
              <w:rPr>
                <w:rFonts w:hint="eastAsia" w:ascii="仿宋" w:hAnsi="仿宋" w:eastAsia="仿宋"/>
                <w:b/>
                <w:sz w:val="24"/>
              </w:rPr>
              <w:t>开 设  时 间</w:t>
            </w:r>
          </w:p>
        </w:tc>
        <w:tc>
          <w:tcPr>
            <w:tcW w:w="5978" w:type="dxa"/>
            <w:gridSpan w:val="4"/>
            <w:vAlign w:val="center"/>
          </w:tcPr>
          <w:p w14:paraId="2DC255A6">
            <w:pPr>
              <w:jc w:val="center"/>
              <w:rPr>
                <w:rFonts w:ascii="仿宋" w:hAnsi="仿宋" w:eastAsia="仿宋"/>
                <w:b/>
                <w:sz w:val="24"/>
              </w:rPr>
            </w:pPr>
            <w:r>
              <w:rPr>
                <w:rFonts w:hint="eastAsia" w:ascii="仿宋" w:hAnsi="仿宋" w:eastAsia="仿宋"/>
                <w:b/>
                <w:spacing w:val="45"/>
                <w:kern w:val="0"/>
                <w:sz w:val="24"/>
                <w:fitText w:val="2892" w:id="3"/>
              </w:rPr>
              <w:t>第</w:t>
            </w:r>
            <w:r>
              <w:rPr>
                <w:rFonts w:hint="eastAsia" w:ascii="仿宋" w:hAnsi="仿宋" w:eastAsia="仿宋"/>
                <w:b/>
                <w:spacing w:val="45"/>
                <w:kern w:val="0"/>
                <w:sz w:val="24"/>
                <w:fitText w:val="2892" w:id="3"/>
                <w:lang w:val="en-US" w:eastAsia="zh-CN"/>
              </w:rPr>
              <w:t>15</w:t>
            </w:r>
            <w:r>
              <w:rPr>
                <w:rFonts w:hint="eastAsia" w:ascii="仿宋" w:hAnsi="仿宋" w:eastAsia="仿宋"/>
                <w:b/>
                <w:spacing w:val="45"/>
                <w:kern w:val="0"/>
                <w:sz w:val="24"/>
                <w:fitText w:val="2892" w:id="3"/>
              </w:rPr>
              <w:t>周——第</w:t>
            </w:r>
            <w:r>
              <w:rPr>
                <w:rFonts w:hint="eastAsia" w:ascii="仿宋" w:hAnsi="仿宋" w:eastAsia="仿宋"/>
                <w:b/>
                <w:spacing w:val="45"/>
                <w:kern w:val="0"/>
                <w:sz w:val="24"/>
                <w:fitText w:val="2892" w:id="3"/>
                <w:lang w:val="en-US" w:eastAsia="zh-CN"/>
              </w:rPr>
              <w:t>1</w:t>
            </w:r>
            <w:r>
              <w:rPr>
                <w:rFonts w:hint="eastAsia" w:ascii="仿宋" w:hAnsi="仿宋" w:eastAsia="仿宋"/>
                <w:b/>
                <w:spacing w:val="45"/>
                <w:kern w:val="0"/>
                <w:sz w:val="24"/>
                <w:fitText w:val="2892" w:id="3"/>
                <w:lang w:val="en-US" w:eastAsia="zh-CN"/>
              </w:rPr>
              <w:t>6</w:t>
            </w:r>
            <w:r>
              <w:rPr>
                <w:rFonts w:hint="eastAsia" w:ascii="仿宋" w:hAnsi="仿宋" w:eastAsia="仿宋"/>
                <w:b/>
                <w:spacing w:val="6"/>
                <w:kern w:val="0"/>
                <w:sz w:val="24"/>
                <w:fitText w:val="2892" w:id="3"/>
              </w:rPr>
              <w:t>周</w:t>
            </w:r>
          </w:p>
        </w:tc>
      </w:tr>
      <w:tr w14:paraId="413F6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61" w:type="dxa"/>
            <w:vAlign w:val="center"/>
          </w:tcPr>
          <w:p w14:paraId="31E031CC">
            <w:pPr>
              <w:wordWrap w:val="0"/>
              <w:jc w:val="distribute"/>
              <w:rPr>
                <w:rFonts w:ascii="仿宋" w:hAnsi="仿宋" w:eastAsia="仿宋"/>
                <w:b/>
                <w:sz w:val="24"/>
              </w:rPr>
            </w:pPr>
            <w:r>
              <w:rPr>
                <w:rFonts w:hint="eastAsia" w:ascii="仿宋" w:hAnsi="仿宋" w:eastAsia="仿宋"/>
                <w:b/>
                <w:sz w:val="24"/>
              </w:rPr>
              <w:t>报告日期</w:t>
            </w:r>
          </w:p>
        </w:tc>
        <w:tc>
          <w:tcPr>
            <w:tcW w:w="5978" w:type="dxa"/>
            <w:gridSpan w:val="4"/>
            <w:vAlign w:val="center"/>
          </w:tcPr>
          <w:p w14:paraId="1611CF46">
            <w:pPr>
              <w:jc w:val="center"/>
              <w:rPr>
                <w:rFonts w:ascii="仿宋" w:hAnsi="仿宋" w:eastAsia="仿宋"/>
                <w:b/>
                <w:sz w:val="24"/>
              </w:rPr>
            </w:pPr>
          </w:p>
        </w:tc>
      </w:tr>
      <w:tr w14:paraId="6FFA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restart"/>
            <w:vAlign w:val="center"/>
          </w:tcPr>
          <w:p w14:paraId="76DD1B5D">
            <w:pPr>
              <w:jc w:val="distribute"/>
              <w:rPr>
                <w:rFonts w:ascii="仿宋" w:hAnsi="仿宋" w:eastAsia="仿宋"/>
                <w:b/>
                <w:sz w:val="24"/>
              </w:rPr>
            </w:pPr>
            <w:r>
              <w:rPr>
                <w:rFonts w:hint="eastAsia" w:ascii="仿宋" w:hAnsi="仿宋" w:eastAsia="仿宋"/>
                <w:b/>
                <w:sz w:val="24"/>
              </w:rPr>
              <w:t>评 定  成 绩</w:t>
            </w:r>
          </w:p>
        </w:tc>
        <w:tc>
          <w:tcPr>
            <w:tcW w:w="1650" w:type="dxa"/>
            <w:gridSpan w:val="2"/>
            <w:vMerge w:val="restart"/>
            <w:vAlign w:val="center"/>
          </w:tcPr>
          <w:p w14:paraId="0B0F1147">
            <w:pPr>
              <w:jc w:val="center"/>
              <w:rPr>
                <w:rFonts w:ascii="仿宋" w:hAnsi="仿宋" w:eastAsia="仿宋"/>
                <w:b/>
                <w:color w:val="FF0000"/>
                <w:sz w:val="24"/>
              </w:rPr>
            </w:pPr>
          </w:p>
        </w:tc>
        <w:tc>
          <w:tcPr>
            <w:tcW w:w="2145" w:type="dxa"/>
            <w:vAlign w:val="center"/>
          </w:tcPr>
          <w:p w14:paraId="7B9828DA">
            <w:pPr>
              <w:jc w:val="right"/>
              <w:rPr>
                <w:rFonts w:ascii="仿宋" w:hAnsi="仿宋" w:eastAsia="仿宋"/>
                <w:b/>
                <w:sz w:val="24"/>
              </w:rPr>
            </w:pPr>
            <w:r>
              <w:rPr>
                <w:rFonts w:hint="eastAsia" w:ascii="仿宋" w:hAnsi="仿宋" w:eastAsia="仿宋"/>
                <w:b/>
                <w:spacing w:val="302"/>
                <w:kern w:val="0"/>
                <w:sz w:val="24"/>
                <w:fitText w:val="1928" w:id="4"/>
              </w:rPr>
              <w:t>评定</w:t>
            </w:r>
            <w:r>
              <w:rPr>
                <w:rFonts w:hint="eastAsia" w:ascii="仿宋" w:hAnsi="仿宋" w:eastAsia="仿宋"/>
                <w:b/>
                <w:spacing w:val="0"/>
                <w:kern w:val="0"/>
                <w:sz w:val="24"/>
                <w:fitText w:val="1928" w:id="4"/>
              </w:rPr>
              <w:t>人</w:t>
            </w:r>
          </w:p>
        </w:tc>
        <w:tc>
          <w:tcPr>
            <w:tcW w:w="2183" w:type="dxa"/>
            <w:vAlign w:val="center"/>
          </w:tcPr>
          <w:p w14:paraId="6C5DDFCA">
            <w:pPr>
              <w:jc w:val="center"/>
              <w:rPr>
                <w:rFonts w:hint="eastAsia" w:ascii="仿宋" w:hAnsi="仿宋" w:eastAsia="仿宋"/>
                <w:b/>
                <w:color w:val="FF0000"/>
                <w:sz w:val="24"/>
                <w:lang w:val="en-US" w:eastAsia="zh-CN"/>
              </w:rPr>
            </w:pPr>
            <w:r>
              <w:rPr>
                <w:rFonts w:hint="eastAsia" w:ascii="仿宋" w:hAnsi="仿宋" w:eastAsia="仿宋"/>
                <w:b/>
                <w:color w:val="FF0000"/>
                <w:sz w:val="24"/>
                <w:lang w:val="en-US" w:eastAsia="zh-CN"/>
              </w:rPr>
              <w:t>吴辰铌</w:t>
            </w:r>
          </w:p>
        </w:tc>
      </w:tr>
      <w:tr w14:paraId="7868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jc w:val="center"/>
        </w:trPr>
        <w:tc>
          <w:tcPr>
            <w:tcW w:w="1961" w:type="dxa"/>
            <w:vMerge w:val="continue"/>
            <w:vAlign w:val="center"/>
          </w:tcPr>
          <w:p w14:paraId="42791CFC">
            <w:pPr>
              <w:jc w:val="right"/>
              <w:rPr>
                <w:rFonts w:ascii="仿宋" w:hAnsi="仿宋" w:eastAsia="仿宋"/>
                <w:b/>
                <w:sz w:val="24"/>
              </w:rPr>
            </w:pPr>
          </w:p>
        </w:tc>
        <w:tc>
          <w:tcPr>
            <w:tcW w:w="1650" w:type="dxa"/>
            <w:gridSpan w:val="2"/>
            <w:vMerge w:val="continue"/>
            <w:vAlign w:val="center"/>
          </w:tcPr>
          <w:p w14:paraId="576BBFEC">
            <w:pPr>
              <w:jc w:val="center"/>
              <w:rPr>
                <w:rFonts w:ascii="仿宋" w:hAnsi="仿宋" w:eastAsia="仿宋"/>
                <w:b/>
                <w:sz w:val="24"/>
              </w:rPr>
            </w:pPr>
          </w:p>
        </w:tc>
        <w:tc>
          <w:tcPr>
            <w:tcW w:w="2145" w:type="dxa"/>
            <w:vAlign w:val="center"/>
          </w:tcPr>
          <w:p w14:paraId="3609BD38">
            <w:pPr>
              <w:jc w:val="center"/>
              <w:rPr>
                <w:rFonts w:ascii="仿宋" w:hAnsi="仿宋" w:eastAsia="仿宋"/>
                <w:b/>
                <w:sz w:val="24"/>
              </w:rPr>
            </w:pPr>
            <w:r>
              <w:rPr>
                <w:rFonts w:hint="eastAsia" w:ascii="仿宋" w:hAnsi="仿宋" w:eastAsia="仿宋"/>
                <w:b/>
                <w:spacing w:val="50"/>
                <w:kern w:val="0"/>
                <w:sz w:val="24"/>
                <w:fitText w:val="1928" w:id="5"/>
              </w:rPr>
              <w:t xml:space="preserve">评 定 日 </w:t>
            </w:r>
            <w:r>
              <w:rPr>
                <w:rFonts w:hint="eastAsia" w:ascii="仿宋" w:hAnsi="仿宋" w:eastAsia="仿宋"/>
                <w:b/>
                <w:spacing w:val="4"/>
                <w:kern w:val="0"/>
                <w:sz w:val="24"/>
                <w:fitText w:val="1928" w:id="5"/>
              </w:rPr>
              <w:t>期</w:t>
            </w:r>
          </w:p>
        </w:tc>
        <w:tc>
          <w:tcPr>
            <w:tcW w:w="2183" w:type="dxa"/>
            <w:vAlign w:val="center"/>
          </w:tcPr>
          <w:p w14:paraId="4FC39D74">
            <w:pPr>
              <w:jc w:val="center"/>
              <w:rPr>
                <w:rFonts w:hint="default" w:ascii="仿宋" w:hAnsi="仿宋" w:eastAsia="仿宋"/>
                <w:b/>
                <w:color w:val="FF0000"/>
                <w:sz w:val="24"/>
                <w:lang w:val="en-US" w:eastAsia="zh-CN"/>
              </w:rPr>
            </w:pPr>
            <w:r>
              <w:rPr>
                <w:rFonts w:hint="eastAsia" w:ascii="仿宋" w:hAnsi="仿宋" w:eastAsia="仿宋"/>
                <w:b/>
                <w:color w:val="FF0000"/>
                <w:sz w:val="24"/>
                <w:lang w:val="en-US" w:eastAsia="zh-CN"/>
              </w:rPr>
              <w:t>2026.6.19</w:t>
            </w:r>
            <w:bookmarkStart w:id="0" w:name="_GoBack"/>
            <w:bookmarkEnd w:id="0"/>
          </w:p>
        </w:tc>
      </w:tr>
    </w:tbl>
    <w:p w14:paraId="2748CC8B">
      <w:pPr>
        <w:widowControl/>
        <w:jc w:val="center"/>
        <w:rPr>
          <w:rFonts w:hint="eastAsia" w:ascii="仿宋_GB2312" w:hAnsi="宋体" w:eastAsia="仿宋_GB2312"/>
          <w:b/>
          <w:sz w:val="28"/>
          <w:szCs w:val="28"/>
        </w:rPr>
      </w:pPr>
    </w:p>
    <w:p w14:paraId="6F5D61E8">
      <w:pPr>
        <w:widowControl/>
        <w:jc w:val="center"/>
        <w:rPr>
          <w:rFonts w:ascii="仿宋_GB2312" w:hAnsi="宋体" w:eastAsia="仿宋_GB2312"/>
          <w:sz w:val="32"/>
          <w:szCs w:val="32"/>
        </w:rPr>
      </w:pPr>
      <w:r>
        <w:rPr>
          <w:rFonts w:hint="eastAsia" w:ascii="仿宋_GB2312" w:hAnsi="宋体" w:eastAsia="仿宋_GB2312"/>
          <w:b/>
          <w:sz w:val="28"/>
          <w:szCs w:val="28"/>
        </w:rPr>
        <w:t>东北大学软件学院</w:t>
      </w:r>
    </w:p>
    <w:p w14:paraId="25BFAA32">
      <w:pPr>
        <w:widowControl/>
        <w:jc w:val="left"/>
        <w:rPr>
          <w:rFonts w:ascii="仿宋_GB2312" w:hAnsi="宋体" w:eastAsia="仿宋_GB2312"/>
          <w:sz w:val="32"/>
          <w:szCs w:val="32"/>
        </w:rPr>
      </w:pPr>
      <w:r>
        <w:rPr>
          <w:rFonts w:ascii="仿宋_GB2312" w:hAnsi="宋体" w:eastAsia="仿宋_GB2312"/>
          <w:sz w:val="32"/>
          <w:szCs w:val="32"/>
        </w:rPr>
        <w:br w:type="page"/>
      </w:r>
    </w:p>
    <w:p w14:paraId="1F93A8EF">
      <w:pPr>
        <w:widowControl/>
        <w:numPr>
          <w:ilvl w:val="0"/>
          <w:numId w:val="1"/>
        </w:numPr>
        <w:wordWrap/>
        <w:adjustRightInd/>
        <w:snapToGrid/>
        <w:spacing w:after="156" w:afterLines="50" w:line="240" w:lineRule="auto"/>
        <w:ind w:left="0" w:leftChars="0" w:right="0" w:firstLine="0" w:firstLine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实验目的</w:t>
      </w:r>
    </w:p>
    <w:p w14:paraId="1AE2B50A">
      <w:pPr>
        <w:widowControl/>
        <w:numPr>
          <w:ilvl w:val="0"/>
          <w:numId w:val="0"/>
        </w:numPr>
        <w:wordWrap/>
        <w:adjustRightInd/>
        <w:snapToGrid/>
        <w:spacing w:line="300" w:lineRule="auto"/>
        <w:ind w:left="0" w:leftChars="0" w:right="0" w:firstLine="420" w:firstLineChars="200"/>
        <w:jc w:val="left"/>
        <w:textAlignment w:val="auto"/>
        <w:outlineLvl w:val="9"/>
        <w:rPr>
          <w:rFonts w:hint="default" w:cs="Times New Roman"/>
          <w:b w:val="0"/>
          <w:bCs/>
          <w:color w:val="auto"/>
          <w:sz w:val="21"/>
          <w:szCs w:val="21"/>
          <w:lang w:val="en-US" w:eastAsia="zh-CN"/>
        </w:rPr>
      </w:pPr>
      <w:r>
        <w:rPr>
          <w:rFonts w:hint="default" w:cs="Times New Roman"/>
          <w:b w:val="0"/>
          <w:bCs/>
          <w:color w:val="auto"/>
          <w:sz w:val="21"/>
          <w:szCs w:val="21"/>
          <w:lang w:val="en-US" w:eastAsia="zh-CN"/>
        </w:rPr>
        <w:t>（1）练习</w:t>
      </w:r>
      <w:r>
        <w:rPr>
          <w:rFonts w:hint="eastAsia" w:cs="Times New Roman"/>
          <w:b w:val="0"/>
          <w:bCs/>
          <w:color w:val="auto"/>
          <w:sz w:val="21"/>
          <w:szCs w:val="21"/>
          <w:lang w:val="en-US" w:eastAsia="zh-CN"/>
        </w:rPr>
        <w:t>白</w:t>
      </w:r>
      <w:r>
        <w:rPr>
          <w:rFonts w:hint="default" w:cs="Times New Roman"/>
          <w:b w:val="0"/>
          <w:bCs/>
          <w:color w:val="auto"/>
          <w:sz w:val="21"/>
          <w:szCs w:val="21"/>
          <w:lang w:val="en-US" w:eastAsia="zh-CN"/>
        </w:rPr>
        <w:t>盒测试用例设计，</w:t>
      </w:r>
      <w:r>
        <w:rPr>
          <w:rFonts w:hint="eastAsia" w:cs="Times New Roman"/>
          <w:b w:val="0"/>
          <w:bCs/>
          <w:color w:val="auto"/>
          <w:sz w:val="21"/>
          <w:szCs w:val="21"/>
          <w:lang w:val="en-US" w:eastAsia="zh-CN"/>
        </w:rPr>
        <w:t>用</w:t>
      </w:r>
      <w:r>
        <w:rPr>
          <w:rFonts w:hint="default" w:cs="Times New Roman"/>
          <w:b w:val="0"/>
          <w:bCs/>
          <w:color w:val="auto"/>
          <w:sz w:val="21"/>
          <w:szCs w:val="21"/>
          <w:lang w:val="en-US" w:eastAsia="zh-CN"/>
        </w:rPr>
        <w:t>单元测试工具进行白盒测试。</w:t>
      </w:r>
    </w:p>
    <w:p w14:paraId="6A131D7F">
      <w:pPr>
        <w:widowControl/>
        <w:numPr>
          <w:ilvl w:val="0"/>
          <w:numId w:val="0"/>
        </w:numPr>
        <w:wordWrap/>
        <w:adjustRightInd/>
        <w:snapToGrid/>
        <w:spacing w:line="300" w:lineRule="auto"/>
        <w:ind w:left="0" w:leftChars="0" w:right="0" w:firstLine="420" w:firstLineChars="200"/>
        <w:jc w:val="left"/>
        <w:textAlignment w:val="auto"/>
        <w:outlineLvl w:val="9"/>
        <w:rPr>
          <w:rFonts w:hint="default" w:cs="Times New Roman"/>
          <w:b w:val="0"/>
          <w:bCs/>
          <w:color w:val="auto"/>
          <w:sz w:val="21"/>
          <w:szCs w:val="21"/>
          <w:lang w:val="en-US" w:eastAsia="zh-CN"/>
        </w:rPr>
      </w:pPr>
      <w:r>
        <w:rPr>
          <w:rFonts w:hint="default" w:cs="Times New Roman"/>
          <w:b w:val="0"/>
          <w:bCs/>
          <w:color w:val="auto"/>
          <w:sz w:val="21"/>
          <w:szCs w:val="21"/>
          <w:lang w:val="en-US" w:eastAsia="zh-CN"/>
        </w:rPr>
        <w:t>（2）练习</w:t>
      </w:r>
      <w:r>
        <w:rPr>
          <w:rFonts w:hint="eastAsia" w:cs="Times New Roman"/>
          <w:b w:val="0"/>
          <w:bCs/>
          <w:color w:val="auto"/>
          <w:sz w:val="21"/>
          <w:szCs w:val="21"/>
          <w:lang w:val="en-US" w:eastAsia="zh-CN"/>
        </w:rPr>
        <w:t>黑</w:t>
      </w:r>
      <w:r>
        <w:rPr>
          <w:rFonts w:hint="default" w:cs="Times New Roman"/>
          <w:b w:val="0"/>
          <w:bCs/>
          <w:color w:val="auto"/>
          <w:sz w:val="21"/>
          <w:szCs w:val="21"/>
          <w:lang w:val="en-US" w:eastAsia="zh-CN"/>
        </w:rPr>
        <w:t>盒测试用例设计</w:t>
      </w:r>
      <w:r>
        <w:rPr>
          <w:rFonts w:hint="eastAsia" w:cs="Times New Roman"/>
          <w:b w:val="0"/>
          <w:bCs/>
          <w:color w:val="auto"/>
          <w:sz w:val="21"/>
          <w:szCs w:val="21"/>
          <w:lang w:val="en-US" w:eastAsia="zh-CN"/>
        </w:rPr>
        <w:t>，</w:t>
      </w:r>
      <w:r>
        <w:rPr>
          <w:rFonts w:hint="default" w:cs="Times New Roman"/>
          <w:b w:val="0"/>
          <w:bCs/>
          <w:color w:val="auto"/>
          <w:sz w:val="21"/>
          <w:szCs w:val="21"/>
          <w:lang w:val="en-US" w:eastAsia="zh-CN"/>
        </w:rPr>
        <w:t>用手工测试的方法运行黑盒测试用例。</w:t>
      </w:r>
    </w:p>
    <w:p w14:paraId="48EDEA5B">
      <w:pPr>
        <w:widowControl/>
        <w:numPr>
          <w:ilvl w:val="0"/>
          <w:numId w:val="1"/>
        </w:numPr>
        <w:wordWrap/>
        <w:adjustRightInd/>
        <w:snapToGrid/>
        <w:spacing w:before="156" w:beforeLines="50" w:after="156" w:afterLines="50" w:line="240" w:lineRule="auto"/>
        <w:ind w:left="0" w:leftChars="0" w:right="0" w:firstLine="0" w:firstLine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测试计划</w:t>
      </w:r>
    </w:p>
    <w:p w14:paraId="5F2442D4">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2.1 实验1测试计划</w:t>
      </w:r>
    </w:p>
    <w:p w14:paraId="51E3DB6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（1）系统功能概述</w:t>
      </w:r>
    </w:p>
    <w:p w14:paraId="0843F75F">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default" w:cs="Times New Roman"/>
          <w:b w:val="0"/>
          <w:bCs/>
          <w:color w:val="0000FF"/>
          <w:sz w:val="21"/>
          <w:szCs w:val="21"/>
          <w:lang w:val="en-US" w:eastAsia="zh-CN"/>
        </w:rPr>
      </w:pPr>
      <w:r>
        <w:rPr>
          <w:rFonts w:ascii="Times New Roman" w:hAnsi="Times New Roman" w:eastAsia="宋体"/>
          <w:b w:val="0"/>
          <w:sz w:val="21"/>
        </w:rPr>
      </w:r>
      <w:r>
        <w:rPr>
          <w:rFonts w:ascii="Times New Roman" w:hAnsi="Times New Roman" w:eastAsia="宋体"/>
          <w:b w:val="0"/>
          <w:sz w:val="21"/>
        </w:rPr>
        <w:t>本组开发的程序为老年人健康管理助手，面向需要记录和评估日常健康指标的老年用户及其家属。系统包含血压评估、血糖评估、睡眠评估、运动建议、用药提醒和 AI 健康问答等功能。本人负责其中的血压评估和血糖评估模块：血压评估根据收缩压、舒张压判断正常、偏高或高血压；血糖评估根据血糖值和测量时段判断低血糖、正常、偏高或高血糖，并给出健康建议。</w:t>
      </w:r>
    </w:p>
    <w:p w14:paraId="09433C25">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（2）测试目标</w:t>
      </w:r>
    </w:p>
    <w:p w14:paraId="5C8DEA9B">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ascii="Times New Roman" w:hAnsi="Times New Roman" w:eastAsia="宋体"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本次白盒测试的目标是验证血压评估与血糖评估两个业务逻辑模块的内部判断逻辑是否正确，重点检查合法性校验、条件判断、分支选择、边界值处理和返回结果封装。通过 JUnit 单元测试确认正常路径、异常路径和关键边界路径均能得到预期结果。</w:t>
      </w:r>
    </w:p>
    <w:p w14:paraId="40BE4730">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0E513FB0">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097EA0E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（3）测试范围</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测试范围包括 com.healthassistant.logic.BpEvaluator 和 com.healthassistant.logic.BgEvaluator 两个类。血压评估测试覆盖收缩压、舒张压的非正数校验、超范围校验、正常、偏高和高血压分支；血糖评估测试覆盖血糖值校验、测量时段校验、空腹/餐后两套判断标准，以及低血糖、正常、偏高和高血糖分支。JavaFX 界面交互、睡眠评估、运动建议、用药提醒和 AI 健康问答不属于本人本次白盒测试范围。</w:t>
      </w:r>
    </w:p>
    <w:p w14:paraId="55F34BE0">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（4）测试环境</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操作系统为 Windows，开发语言为 Java 17，构建工具为 Maven，测试框架为 JUnit 5，测试执行命令为 mvn test。测试代码位于 src/test/java/com/healthassistant/logic 目录下。</w:t>
      </w:r>
    </w:p>
    <w:p w14:paraId="0C26BE8D">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（5）测试工具</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本次白盒测试使用 JUnit 5 编写单元测试，使用 Maven Surefire 插件统一执行测试。新增测试文件为 BpEvaluatorWhiteBoxTest.java 和 BgEvaluatorWhiteBoxTest.java。</w:t>
      </w:r>
    </w:p>
    <w:p w14:paraId="77F60ACC">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（6）测试策略</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本次测试采用语句覆盖、分支覆盖/判定覆盖、条件覆盖、主要路径覆盖和边界值测试相结合的策略。其中，血压模块重点覆盖 systolic &lt;= 0 || diastolic &lt;= 0、systolic &gt; 300 || diastolic &gt; 200、systolic &lt; 120 &amp;&amp; diastolic &lt; 80、systolic &lt; 140 &amp;&amp; diastolic &lt; 90 等条件；血糖模块重点覆盖 value &lt;= 0、value &gt; 35、测量时段是否合法、空腹/餐后区间选择以及各等级判断边界。</w:t>
      </w:r>
    </w:p>
    <w:p w14:paraId="194BAECE">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2.2 实验2测试计划</w:t>
      </w:r>
    </w:p>
    <w:p w14:paraId="66579A63">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（1）测试目标</w:t>
      </w:r>
    </w:p>
    <w:p w14:paraId="01EAE68C">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ascii="Times New Roman" w:hAnsi="Times New Roman" w:eastAsia="宋体"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次黑盒测试的目标是从用户使用角度验证血压评估和血糖评估功能是否正确、稳定、易用。测试重点包括合法输入下评估等级和健康建议是否正确显示，空值、非数字、0、负数、超出合理范围等非法输入是否能被提示或拒绝处理，以及血糖评估中空腹和餐后两种测量时段是否采用不同判断标准。</w:t>
      </w:r>
    </w:p>
    <w:p w14:paraId="332996A9">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4F9971C8">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7D10D74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（2）测试范围</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测试范围包括图形界面中的血压评估页面和血糖评估页面。血压评估页面测试收缩压输入框、舒张压输入框、评估按钮、结果展示区域、健康建议展示区域和错误提示；血糖评估页面测试血糖值输入框、空腹/餐后测量时段单选项、评估按钮、结果展示区域、健康建议展示区域和错误提示。代码内部实现逻辑、其他健康模块、性能测试和医学诊断准确性不属于本次黑盒测试范围。</w:t>
      </w:r>
    </w:p>
    <w:p w14:paraId="4C281AB2">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（3）测试环境</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操作系统为 Windows，应用类型为 JavaFX 桌面应用程序，运行环境为 Java 17 和 Maven。测试时通过 mvn javafx:run 启动程序，在血压评估页面和血糖评估页面中手工输入数据并观察界面输出结果。</w:t>
      </w:r>
    </w:p>
    <w:p w14:paraId="7DB4EDD3">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（4）测试工具</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本次黑盒测试采用手工测试方法，使用 Maven 启动应用程序，使用截图工具记录测试结果，使用 Word 表格整理测试用例、预期结果和实际结果。</w:t>
      </w:r>
    </w:p>
    <w:p w14:paraId="47FA59C5">
      <w:pPr>
        <w:widowControl/>
        <w:numPr>
          <w:ilvl w:val="0"/>
          <w:numId w:val="0"/>
        </w:numPr>
        <w:wordWrap/>
        <w:adjustRightInd/>
        <w:snapToGrid/>
        <w:spacing w:line="300" w:lineRule="auto"/>
        <w:ind w:right="0"/>
        <w:jc w:val="left"/>
        <w:textAlignment w:val="auto"/>
        <w:outlineLvl w:val="9"/>
        <w:rPr>
          <w:rFonts w:hint="default"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（5）测试策略</w:t>
      </w:r>
    </w:p>
    <w:p>
      <w:pPr>
        <w:spacing w:line="300" w:lineRule="auto" w:before="0" w:after="0"/>
        <w:ind w:firstLine="420"/>
      </w:pPr>
      <w:r>
        <w:rPr>
          <w:rFonts w:ascii="Times New Roman" w:hAnsi="Times New Roman" w:eastAsia="宋体"/>
          <w:b w:val="0"/>
          <w:sz w:val="21"/>
        </w:rPr>
      </w:r>
      <w:r>
        <w:rPr>
          <w:rFonts w:ascii="Times New Roman" w:hAnsi="Times New Roman" w:eastAsia="宋体"/>
          <w:b w:val="0"/>
          <w:sz w:val="21"/>
        </w:rPr>
        <w:t>本次黑盒测试采用等价类划分、边界值分析、错误推测法和场景测试。有效等价类覆盖血压正常、偏高、高血压，以及血糖低血糖、正常、偏高、高血糖；无效等价类覆盖空输入、非数字、0、负数和超出合理范围输入。边界值重点测试 119/79、120/80、139/89、140/90、3.9、6.1、7.0、7.8、11.1、35.0 等数据。错误推测法用于验证用户输入字母、中文、空格或修正错误后再次评估时系统是否稳定。</w:t>
      </w:r>
    </w:p>
    <w:p w14:paraId="789E93F3">
      <w:pPr>
        <w:widowControl/>
        <w:numPr>
          <w:ilvl w:val="0"/>
          <w:numId w:val="0"/>
        </w:numPr>
        <w:wordWrap/>
        <w:adjustRightInd/>
        <w:snapToGrid/>
        <w:spacing w:line="300" w:lineRule="auto"/>
        <w:ind w:right="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3.测试用例</w:t>
      </w:r>
    </w:p>
    <w:p w14:paraId="265AE65B">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3.1 实验1测试用例及结果分析</w:t>
      </w:r>
    </w:p>
    <w:p w14:paraId="18424640">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（1）测试用例</w:t>
      </w:r>
    </w:p>
    <w:p w14:paraId="7AD3B52D">
      <w:pPr>
        <w:widowControl/>
        <w:numPr>
          <w:ilvl w:val="0"/>
          <w:numId w:val="0"/>
        </w:numPr>
        <w:wordWrap/>
        <w:adjustRightInd/>
        <w:snapToGrid/>
        <w:spacing w:line="300" w:lineRule="auto" w:before="0" w:after="0"/>
        <w:ind w:right="0" w:firstLineChars="200" w:firstLine="420"/>
        <w:jc w:val="left"/>
        <w:textAlignment w:val="auto"/>
        <w:outlineLvl w:val="9"/>
        <w:rPr>
          <w:rFonts w:hint="eastAsia"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本部分采用 JUnit 5 对血压评估和血糖评估模块进行白盒测试。测试方法包括语句覆盖、分支覆盖/判定覆盖、条件覆盖、主要路径覆盖和边界值测试。具体测试用例如下表所示。</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020"/>
            <w:shd w:fill="D9EAF7"/>
            <w:vAlign w:val="center"/>
          </w:tcPr>
          <w:p>
            <w:pPr>
              <w:spacing w:line="300" w:lineRule="auto" w:before="0" w:after="0"/>
              <w:jc w:val="center"/>
            </w:pPr>
            <w:r/>
            <w:r>
              <w:rPr>
                <w:rFonts w:ascii="Times New Roman" w:hAnsi="Times New Roman" w:eastAsia="宋体"/>
                <w:b/>
                <w:sz w:val="17"/>
              </w:rPr>
              <w:t>编号</w:t>
            </w:r>
          </w:p>
        </w:tc>
        <w:tc>
          <w:tcPr>
            <w:tcW w:type="dxa" w:w="1247"/>
            <w:shd w:fill="D9EAF7"/>
            <w:vAlign w:val="center"/>
          </w:tcPr>
          <w:p>
            <w:pPr>
              <w:spacing w:line="300" w:lineRule="auto" w:before="0" w:after="0"/>
              <w:jc w:val="center"/>
            </w:pPr>
            <w:r/>
            <w:r>
              <w:rPr>
                <w:rFonts w:ascii="Times New Roman" w:hAnsi="Times New Roman" w:eastAsia="宋体"/>
                <w:b/>
                <w:sz w:val="17"/>
              </w:rPr>
              <w:t>测试对象</w:t>
            </w:r>
          </w:p>
        </w:tc>
        <w:tc>
          <w:tcPr>
            <w:tcW w:type="dxa" w:w="2381"/>
            <w:shd w:fill="D9EAF7"/>
            <w:vAlign w:val="center"/>
          </w:tcPr>
          <w:p>
            <w:pPr>
              <w:spacing w:line="300" w:lineRule="auto" w:before="0" w:after="0"/>
              <w:jc w:val="center"/>
            </w:pPr>
            <w:r/>
            <w:r>
              <w:rPr>
                <w:rFonts w:ascii="Times New Roman" w:hAnsi="Times New Roman" w:eastAsia="宋体"/>
                <w:b/>
                <w:sz w:val="17"/>
              </w:rPr>
              <w:t>输入数据</w:t>
            </w:r>
          </w:p>
        </w:tc>
        <w:tc>
          <w:tcPr>
            <w:tcW w:type="dxa" w:w="2268"/>
            <w:shd w:fill="D9EAF7"/>
            <w:vAlign w:val="center"/>
          </w:tcPr>
          <w:p>
            <w:pPr>
              <w:spacing w:line="300" w:lineRule="auto" w:before="0" w:after="0"/>
              <w:jc w:val="center"/>
            </w:pPr>
            <w:r/>
            <w:r>
              <w:rPr>
                <w:rFonts w:ascii="Times New Roman" w:hAnsi="Times New Roman" w:eastAsia="宋体"/>
                <w:b/>
                <w:sz w:val="17"/>
              </w:rPr>
              <w:t>白盒覆盖目标</w:t>
            </w:r>
          </w:p>
        </w:tc>
        <w:tc>
          <w:tcPr>
            <w:tcW w:type="dxa" w:w="2154"/>
            <w:shd w:fill="D9EAF7"/>
            <w:vAlign w:val="center"/>
          </w:tcPr>
          <w:p>
            <w:pPr>
              <w:spacing w:line="300" w:lineRule="auto" w:before="0" w:after="0"/>
              <w:jc w:val="center"/>
            </w:pPr>
            <w:r/>
            <w:r>
              <w:rPr>
                <w:rFonts w:ascii="Times New Roman" w:hAnsi="Times New Roman" w:eastAsia="宋体"/>
                <w:b/>
                <w:sz w:val="17"/>
              </w:rPr>
              <w:t>预期结果</w:t>
            </w:r>
          </w:p>
        </w:tc>
      </w:tr>
      <w:tr>
        <w:tc>
          <w:tcPr>
            <w:tcW w:type="dxa" w:w="1020"/>
            <w:vAlign w:val="center"/>
          </w:tcPr>
          <w:p>
            <w:pPr>
              <w:spacing w:line="300" w:lineRule="auto" w:before="0" w:after="0"/>
              <w:jc w:val="center"/>
            </w:pPr>
            <w:r/>
            <w:r>
              <w:rPr>
                <w:rFonts w:ascii="Times New Roman" w:hAnsi="Times New Roman" w:eastAsia="宋体"/>
                <w:b w:val="0"/>
                <w:sz w:val="17"/>
              </w:rPr>
              <w:t>BP-WB-01</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119.9 / 79.9</w:t>
            </w:r>
          </w:p>
        </w:tc>
        <w:tc>
          <w:tcPr>
            <w:tcW w:type="dxa" w:w="2268"/>
            <w:vAlign w:val="center"/>
          </w:tcPr>
          <w:p>
            <w:pPr>
              <w:spacing w:line="300" w:lineRule="auto" w:before="0" w:after="0"/>
              <w:jc w:val="left"/>
            </w:pPr>
            <w:r/>
            <w:r>
              <w:rPr>
                <w:rFonts w:ascii="Times New Roman" w:hAnsi="Times New Roman" w:eastAsia="宋体"/>
                <w:b w:val="0"/>
                <w:sz w:val="17"/>
              </w:rPr>
              <w:t>正常路径、严格上界</w:t>
            </w:r>
          </w:p>
        </w:tc>
        <w:tc>
          <w:tcPr>
            <w:tcW w:type="dxa" w:w="2154"/>
            <w:vAlign w:val="center"/>
          </w:tcPr>
          <w:p>
            <w:pPr>
              <w:spacing w:line="300" w:lineRule="auto" w:before="0" w:after="0"/>
              <w:jc w:val="center"/>
            </w:pPr>
            <w:r/>
            <w:r>
              <w:rPr>
                <w:rFonts w:ascii="Times New Roman" w:hAnsi="Times New Roman" w:eastAsia="宋体"/>
                <w:b w:val="0"/>
                <w:sz w:val="17"/>
              </w:rPr>
              <w:t>等级为正常，返回输入值和建议</w:t>
            </w:r>
          </w:p>
        </w:tc>
      </w:tr>
      <w:tr>
        <w:tc>
          <w:tcPr>
            <w:tcW w:type="dxa" w:w="1020"/>
            <w:vAlign w:val="center"/>
          </w:tcPr>
          <w:p>
            <w:pPr>
              <w:spacing w:line="300" w:lineRule="auto" w:before="0" w:after="0"/>
              <w:jc w:val="center"/>
            </w:pPr>
            <w:r/>
            <w:r>
              <w:rPr>
                <w:rFonts w:ascii="Times New Roman" w:hAnsi="Times New Roman" w:eastAsia="宋体"/>
                <w:b w:val="0"/>
                <w:sz w:val="17"/>
              </w:rPr>
              <w:t>BP-WB-02</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120 / 79；119 / 80；139.9 / 89.9</w:t>
            </w:r>
          </w:p>
        </w:tc>
        <w:tc>
          <w:tcPr>
            <w:tcW w:type="dxa" w:w="2268"/>
            <w:vAlign w:val="center"/>
          </w:tcPr>
          <w:p>
            <w:pPr>
              <w:spacing w:line="300" w:lineRule="auto" w:before="0" w:after="0"/>
              <w:jc w:val="left"/>
            </w:pPr>
            <w:r/>
            <w:r>
              <w:rPr>
                <w:rFonts w:ascii="Times New Roman" w:hAnsi="Times New Roman" w:eastAsia="宋体"/>
                <w:b w:val="0"/>
                <w:sz w:val="17"/>
              </w:rPr>
              <w:t>偏高路径、复合条件覆盖</w:t>
            </w:r>
          </w:p>
        </w:tc>
        <w:tc>
          <w:tcPr>
            <w:tcW w:type="dxa" w:w="2154"/>
            <w:vAlign w:val="center"/>
          </w:tcPr>
          <w:p>
            <w:pPr>
              <w:spacing w:line="300" w:lineRule="auto" w:before="0" w:after="0"/>
              <w:jc w:val="center"/>
            </w:pPr>
            <w:r/>
            <w:r>
              <w:rPr>
                <w:rFonts w:ascii="Times New Roman" w:hAnsi="Times New Roman" w:eastAsia="宋体"/>
                <w:b w:val="0"/>
                <w:sz w:val="17"/>
              </w:rPr>
              <w:t>等级为偏高</w:t>
            </w:r>
          </w:p>
        </w:tc>
      </w:tr>
      <w:tr>
        <w:tc>
          <w:tcPr>
            <w:tcW w:type="dxa" w:w="1020"/>
            <w:vAlign w:val="center"/>
          </w:tcPr>
          <w:p>
            <w:pPr>
              <w:spacing w:line="300" w:lineRule="auto" w:before="0" w:after="0"/>
              <w:jc w:val="center"/>
            </w:pPr>
            <w:r/>
            <w:r>
              <w:rPr>
                <w:rFonts w:ascii="Times New Roman" w:hAnsi="Times New Roman" w:eastAsia="宋体"/>
                <w:b w:val="0"/>
                <w:sz w:val="17"/>
              </w:rPr>
              <w:t>BP-WB-03</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140 / 89；139 / 90；160 / 100</w:t>
            </w:r>
          </w:p>
        </w:tc>
        <w:tc>
          <w:tcPr>
            <w:tcW w:type="dxa" w:w="2268"/>
            <w:vAlign w:val="center"/>
          </w:tcPr>
          <w:p>
            <w:pPr>
              <w:spacing w:line="300" w:lineRule="auto" w:before="0" w:after="0"/>
              <w:jc w:val="left"/>
            </w:pPr>
            <w:r/>
            <w:r>
              <w:rPr>
                <w:rFonts w:ascii="Times New Roman" w:hAnsi="Times New Roman" w:eastAsia="宋体"/>
                <w:b w:val="0"/>
                <w:sz w:val="17"/>
              </w:rPr>
              <w:t>高血压路径、复合条件覆盖</w:t>
            </w:r>
          </w:p>
        </w:tc>
        <w:tc>
          <w:tcPr>
            <w:tcW w:type="dxa" w:w="2154"/>
            <w:vAlign w:val="center"/>
          </w:tcPr>
          <w:p>
            <w:pPr>
              <w:spacing w:line="300" w:lineRule="auto" w:before="0" w:after="0"/>
              <w:jc w:val="center"/>
            </w:pPr>
            <w:r/>
            <w:r>
              <w:rPr>
                <w:rFonts w:ascii="Times New Roman" w:hAnsi="Times New Roman" w:eastAsia="宋体"/>
                <w:b w:val="0"/>
                <w:sz w:val="17"/>
              </w:rPr>
              <w:t>等级为高血压</w:t>
            </w:r>
          </w:p>
        </w:tc>
      </w:tr>
      <w:tr>
        <w:tc>
          <w:tcPr>
            <w:tcW w:type="dxa" w:w="1020"/>
            <w:vAlign w:val="center"/>
          </w:tcPr>
          <w:p>
            <w:pPr>
              <w:spacing w:line="300" w:lineRule="auto" w:before="0" w:after="0"/>
              <w:jc w:val="center"/>
            </w:pPr>
            <w:r/>
            <w:r>
              <w:rPr>
                <w:rFonts w:ascii="Times New Roman" w:hAnsi="Times New Roman" w:eastAsia="宋体"/>
                <w:b w:val="0"/>
                <w:sz w:val="17"/>
              </w:rPr>
              <w:t>BP-WB-04</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0 / 80；120 / 0；-1 / -1</w:t>
            </w:r>
          </w:p>
        </w:tc>
        <w:tc>
          <w:tcPr>
            <w:tcW w:type="dxa" w:w="2268"/>
            <w:vAlign w:val="center"/>
          </w:tcPr>
          <w:p>
            <w:pPr>
              <w:spacing w:line="300" w:lineRule="auto" w:before="0" w:after="0"/>
              <w:jc w:val="left"/>
            </w:pPr>
            <w:r/>
            <w:r>
              <w:rPr>
                <w:rFonts w:ascii="Times New Roman" w:hAnsi="Times New Roman" w:eastAsia="宋体"/>
                <w:b w:val="0"/>
                <w:sz w:val="17"/>
              </w:rPr>
              <w:t>非正数异常路径</w:t>
            </w:r>
          </w:p>
        </w:tc>
        <w:tc>
          <w:tcPr>
            <w:tcW w:type="dxa" w:w="2154"/>
            <w:vAlign w:val="center"/>
          </w:tcPr>
          <w:p>
            <w:pPr>
              <w:spacing w:line="300" w:lineRule="auto" w:before="0" w:after="0"/>
              <w:jc w:val="center"/>
            </w:pPr>
            <w:r/>
            <w:r>
              <w:rPr>
                <w:rFonts w:ascii="Times New Roman" w:hAnsi="Times New Roman" w:eastAsia="宋体"/>
                <w:b w:val="0"/>
                <w:sz w:val="17"/>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7"/>
              </w:rPr>
              <w:t>BP-WB-05</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301 / 80；120 / 201；301 / 201</w:t>
            </w:r>
          </w:p>
        </w:tc>
        <w:tc>
          <w:tcPr>
            <w:tcW w:type="dxa" w:w="2268"/>
            <w:vAlign w:val="center"/>
          </w:tcPr>
          <w:p>
            <w:pPr>
              <w:spacing w:line="300" w:lineRule="auto" w:before="0" w:after="0"/>
              <w:jc w:val="left"/>
            </w:pPr>
            <w:r/>
            <w:r>
              <w:rPr>
                <w:rFonts w:ascii="Times New Roman" w:hAnsi="Times New Roman" w:eastAsia="宋体"/>
                <w:b w:val="0"/>
                <w:sz w:val="17"/>
              </w:rPr>
              <w:t>超范围异常路径</w:t>
            </w:r>
          </w:p>
        </w:tc>
        <w:tc>
          <w:tcPr>
            <w:tcW w:type="dxa" w:w="2154"/>
            <w:vAlign w:val="center"/>
          </w:tcPr>
          <w:p>
            <w:pPr>
              <w:spacing w:line="300" w:lineRule="auto" w:before="0" w:after="0"/>
              <w:jc w:val="center"/>
            </w:pPr>
            <w:r/>
            <w:r>
              <w:rPr>
                <w:rFonts w:ascii="Times New Roman" w:hAnsi="Times New Roman" w:eastAsia="宋体"/>
                <w:b w:val="0"/>
                <w:sz w:val="17"/>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7"/>
              </w:rPr>
              <w:t>BP-WB-06</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381"/>
            <w:vAlign w:val="center"/>
          </w:tcPr>
          <w:p>
            <w:pPr>
              <w:spacing w:line="300" w:lineRule="auto" w:before="0" w:after="0"/>
              <w:jc w:val="left"/>
            </w:pPr>
            <w:r/>
            <w:r>
              <w:rPr>
                <w:rFonts w:ascii="Times New Roman" w:hAnsi="Times New Roman" w:eastAsia="宋体"/>
                <w:b w:val="0"/>
                <w:sz w:val="17"/>
              </w:rPr>
              <w:t>300 / 200</w:t>
            </w:r>
          </w:p>
        </w:tc>
        <w:tc>
          <w:tcPr>
            <w:tcW w:type="dxa" w:w="2268"/>
            <w:vAlign w:val="center"/>
          </w:tcPr>
          <w:p>
            <w:pPr>
              <w:spacing w:line="300" w:lineRule="auto" w:before="0" w:after="0"/>
              <w:jc w:val="left"/>
            </w:pPr>
            <w:r/>
            <w:r>
              <w:rPr>
                <w:rFonts w:ascii="Times New Roman" w:hAnsi="Times New Roman" w:eastAsia="宋体"/>
                <w:b w:val="0"/>
                <w:sz w:val="17"/>
              </w:rPr>
              <w:t>最大合法值路径</w:t>
            </w:r>
          </w:p>
        </w:tc>
        <w:tc>
          <w:tcPr>
            <w:tcW w:type="dxa" w:w="2154"/>
            <w:vAlign w:val="center"/>
          </w:tcPr>
          <w:p>
            <w:pPr>
              <w:spacing w:line="300" w:lineRule="auto" w:before="0" w:after="0"/>
              <w:jc w:val="center"/>
            </w:pPr>
            <w:r/>
            <w:r>
              <w:rPr>
                <w:rFonts w:ascii="Times New Roman" w:hAnsi="Times New Roman" w:eastAsia="宋体"/>
                <w:b w:val="0"/>
                <w:sz w:val="17"/>
              </w:rPr>
              <w:t>等级为高血压，返回字段完整</w:t>
            </w:r>
          </w:p>
        </w:tc>
      </w:tr>
      <w:tr>
        <w:tc>
          <w:tcPr>
            <w:tcW w:type="dxa" w:w="1020"/>
            <w:vAlign w:val="center"/>
          </w:tcPr>
          <w:p>
            <w:pPr>
              <w:spacing w:line="300" w:lineRule="auto" w:before="0" w:after="0"/>
              <w:jc w:val="center"/>
            </w:pPr>
            <w:r/>
            <w:r>
              <w:rPr>
                <w:rFonts w:ascii="Times New Roman" w:hAnsi="Times New Roman" w:eastAsia="宋体"/>
                <w:b w:val="0"/>
                <w:sz w:val="17"/>
              </w:rPr>
              <w:t>BG-WB-01</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空腹：3.8、3.9、6.1、6.1001、7.0、7.0001</w:t>
            </w:r>
          </w:p>
        </w:tc>
        <w:tc>
          <w:tcPr>
            <w:tcW w:type="dxa" w:w="2268"/>
            <w:vAlign w:val="center"/>
          </w:tcPr>
          <w:p>
            <w:pPr>
              <w:spacing w:line="300" w:lineRule="auto" w:before="0" w:after="0"/>
              <w:jc w:val="left"/>
            </w:pPr>
            <w:r/>
            <w:r>
              <w:rPr>
                <w:rFonts w:ascii="Times New Roman" w:hAnsi="Times New Roman" w:eastAsia="宋体"/>
                <w:b w:val="0"/>
                <w:sz w:val="17"/>
              </w:rPr>
              <w:t>空腹区间选择、边界值</w:t>
            </w:r>
          </w:p>
        </w:tc>
        <w:tc>
          <w:tcPr>
            <w:tcW w:type="dxa" w:w="2154"/>
            <w:vAlign w:val="center"/>
          </w:tcPr>
          <w:p>
            <w:pPr>
              <w:spacing w:line="300" w:lineRule="auto" w:before="0" w:after="0"/>
              <w:jc w:val="center"/>
            </w:pPr>
            <w:r/>
            <w:r>
              <w:rPr>
                <w:rFonts w:ascii="Times New Roman" w:hAnsi="Times New Roman" w:eastAsia="宋体"/>
                <w:b w:val="0"/>
                <w:sz w:val="17"/>
              </w:rPr>
              <w:t>覆盖低血糖、正常、偏高、高血糖</w:t>
            </w:r>
          </w:p>
        </w:tc>
      </w:tr>
      <w:tr>
        <w:tc>
          <w:tcPr>
            <w:tcW w:type="dxa" w:w="1020"/>
            <w:vAlign w:val="center"/>
          </w:tcPr>
          <w:p>
            <w:pPr>
              <w:spacing w:line="300" w:lineRule="auto" w:before="0" w:after="0"/>
              <w:jc w:val="center"/>
            </w:pPr>
            <w:r/>
            <w:r>
              <w:rPr>
                <w:rFonts w:ascii="Times New Roman" w:hAnsi="Times New Roman" w:eastAsia="宋体"/>
                <w:b w:val="0"/>
                <w:sz w:val="17"/>
              </w:rPr>
              <w:t>BG-WB-02</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餐后：3.8、3.9、7.8、7.8001、11.1、11.1001</w:t>
            </w:r>
          </w:p>
        </w:tc>
        <w:tc>
          <w:tcPr>
            <w:tcW w:type="dxa" w:w="2268"/>
            <w:vAlign w:val="center"/>
          </w:tcPr>
          <w:p>
            <w:pPr>
              <w:spacing w:line="300" w:lineRule="auto" w:before="0" w:after="0"/>
              <w:jc w:val="left"/>
            </w:pPr>
            <w:r/>
            <w:r>
              <w:rPr>
                <w:rFonts w:ascii="Times New Roman" w:hAnsi="Times New Roman" w:eastAsia="宋体"/>
                <w:b w:val="0"/>
                <w:sz w:val="17"/>
              </w:rPr>
              <w:t>餐后区间选择、边界值</w:t>
            </w:r>
          </w:p>
        </w:tc>
        <w:tc>
          <w:tcPr>
            <w:tcW w:type="dxa" w:w="2154"/>
            <w:vAlign w:val="center"/>
          </w:tcPr>
          <w:p>
            <w:pPr>
              <w:spacing w:line="300" w:lineRule="auto" w:before="0" w:after="0"/>
              <w:jc w:val="center"/>
            </w:pPr>
            <w:r/>
            <w:r>
              <w:rPr>
                <w:rFonts w:ascii="Times New Roman" w:hAnsi="Times New Roman" w:eastAsia="宋体"/>
                <w:b w:val="0"/>
                <w:sz w:val="17"/>
              </w:rPr>
              <w:t>覆盖低血糖、正常、偏高、高血糖</w:t>
            </w:r>
          </w:p>
        </w:tc>
      </w:tr>
      <w:tr>
        <w:tc>
          <w:tcPr>
            <w:tcW w:type="dxa" w:w="1020"/>
            <w:vAlign w:val="center"/>
          </w:tcPr>
          <w:p>
            <w:pPr>
              <w:spacing w:line="300" w:lineRule="auto" w:before="0" w:after="0"/>
              <w:jc w:val="center"/>
            </w:pPr>
            <w:r/>
            <w:r>
              <w:rPr>
                <w:rFonts w:ascii="Times New Roman" w:hAnsi="Times New Roman" w:eastAsia="宋体"/>
                <w:b w:val="0"/>
                <w:sz w:val="17"/>
              </w:rPr>
              <w:t>BG-WB-03</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6.2 + 空腹/餐后</w:t>
            </w:r>
          </w:p>
        </w:tc>
        <w:tc>
          <w:tcPr>
            <w:tcW w:type="dxa" w:w="2268"/>
            <w:vAlign w:val="center"/>
          </w:tcPr>
          <w:p>
            <w:pPr>
              <w:spacing w:line="300" w:lineRule="auto" w:before="0" w:after="0"/>
              <w:jc w:val="left"/>
            </w:pPr>
            <w:r/>
            <w:r>
              <w:rPr>
                <w:rFonts w:ascii="Times New Roman" w:hAnsi="Times New Roman" w:eastAsia="宋体"/>
                <w:b w:val="0"/>
                <w:sz w:val="17"/>
              </w:rPr>
              <w:t>相同数值不同时段路径</w:t>
            </w:r>
          </w:p>
        </w:tc>
        <w:tc>
          <w:tcPr>
            <w:tcW w:type="dxa" w:w="2154"/>
            <w:vAlign w:val="center"/>
          </w:tcPr>
          <w:p>
            <w:pPr>
              <w:spacing w:line="300" w:lineRule="auto" w:before="0" w:after="0"/>
              <w:jc w:val="center"/>
            </w:pPr>
            <w:r/>
            <w:r>
              <w:rPr>
                <w:rFonts w:ascii="Times New Roman" w:hAnsi="Times New Roman" w:eastAsia="宋体"/>
                <w:b w:val="0"/>
                <w:sz w:val="17"/>
              </w:rPr>
              <w:t>空腹为偏高，餐后为正常</w:t>
            </w:r>
          </w:p>
        </w:tc>
      </w:tr>
      <w:tr>
        <w:tc>
          <w:tcPr>
            <w:tcW w:type="dxa" w:w="1020"/>
            <w:vAlign w:val="center"/>
          </w:tcPr>
          <w:p>
            <w:pPr>
              <w:spacing w:line="300" w:lineRule="auto" w:before="0" w:after="0"/>
              <w:jc w:val="center"/>
            </w:pPr>
            <w:r/>
            <w:r>
              <w:rPr>
                <w:rFonts w:ascii="Times New Roman" w:hAnsi="Times New Roman" w:eastAsia="宋体"/>
                <w:b w:val="0"/>
                <w:sz w:val="17"/>
              </w:rPr>
              <w:t>BG-WB-04</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0；-0.1；35.1</w:t>
            </w:r>
          </w:p>
        </w:tc>
        <w:tc>
          <w:tcPr>
            <w:tcW w:type="dxa" w:w="2268"/>
            <w:vAlign w:val="center"/>
          </w:tcPr>
          <w:p>
            <w:pPr>
              <w:spacing w:line="300" w:lineRule="auto" w:before="0" w:after="0"/>
              <w:jc w:val="left"/>
            </w:pPr>
            <w:r/>
            <w:r>
              <w:rPr>
                <w:rFonts w:ascii="Times New Roman" w:hAnsi="Times New Roman" w:eastAsia="宋体"/>
                <w:b w:val="0"/>
                <w:sz w:val="17"/>
              </w:rPr>
              <w:t>非法血糖值异常路径</w:t>
            </w:r>
          </w:p>
        </w:tc>
        <w:tc>
          <w:tcPr>
            <w:tcW w:type="dxa" w:w="2154"/>
            <w:vAlign w:val="center"/>
          </w:tcPr>
          <w:p>
            <w:pPr>
              <w:spacing w:line="300" w:lineRule="auto" w:before="0" w:after="0"/>
              <w:jc w:val="center"/>
            </w:pPr>
            <w:r/>
            <w:r>
              <w:rPr>
                <w:rFonts w:ascii="Times New Roman" w:hAnsi="Times New Roman" w:eastAsia="宋体"/>
                <w:b w:val="0"/>
                <w:sz w:val="17"/>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7"/>
              </w:rPr>
              <w:t>BG-WB-05</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5.0 + random/null</w:t>
            </w:r>
          </w:p>
        </w:tc>
        <w:tc>
          <w:tcPr>
            <w:tcW w:type="dxa" w:w="2268"/>
            <w:vAlign w:val="center"/>
          </w:tcPr>
          <w:p>
            <w:pPr>
              <w:spacing w:line="300" w:lineRule="auto" w:before="0" w:after="0"/>
              <w:jc w:val="left"/>
            </w:pPr>
            <w:r/>
            <w:r>
              <w:rPr>
                <w:rFonts w:ascii="Times New Roman" w:hAnsi="Times New Roman" w:eastAsia="宋体"/>
                <w:b w:val="0"/>
                <w:sz w:val="17"/>
              </w:rPr>
              <w:t>非法测量时段异常路径</w:t>
            </w:r>
          </w:p>
        </w:tc>
        <w:tc>
          <w:tcPr>
            <w:tcW w:type="dxa" w:w="2154"/>
            <w:vAlign w:val="center"/>
          </w:tcPr>
          <w:p>
            <w:pPr>
              <w:spacing w:line="300" w:lineRule="auto" w:before="0" w:after="0"/>
              <w:jc w:val="center"/>
            </w:pPr>
            <w:r/>
            <w:r>
              <w:rPr>
                <w:rFonts w:ascii="Times New Roman" w:hAnsi="Times New Roman" w:eastAsia="宋体"/>
                <w:b w:val="0"/>
                <w:sz w:val="17"/>
              </w:rPr>
              <w:t>抛出 IllegalArgumentException</w:t>
            </w:r>
          </w:p>
        </w:tc>
      </w:tr>
      <w:tr>
        <w:tc>
          <w:tcPr>
            <w:tcW w:type="dxa" w:w="1020"/>
            <w:vAlign w:val="center"/>
          </w:tcPr>
          <w:p>
            <w:pPr>
              <w:spacing w:line="300" w:lineRule="auto" w:before="0" w:after="0"/>
              <w:jc w:val="center"/>
            </w:pPr>
            <w:r/>
            <w:r>
              <w:rPr>
                <w:rFonts w:ascii="Times New Roman" w:hAnsi="Times New Roman" w:eastAsia="宋体"/>
                <w:b w:val="0"/>
                <w:sz w:val="17"/>
              </w:rPr>
              <w:t>BG-WB-06</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381"/>
            <w:vAlign w:val="center"/>
          </w:tcPr>
          <w:p>
            <w:pPr>
              <w:spacing w:line="300" w:lineRule="auto" w:before="0" w:after="0"/>
              <w:jc w:val="left"/>
            </w:pPr>
            <w:r/>
            <w:r>
              <w:rPr>
                <w:rFonts w:ascii="Times New Roman" w:hAnsi="Times New Roman" w:eastAsia="宋体"/>
                <w:b w:val="0"/>
                <w:sz w:val="17"/>
              </w:rPr>
              <w:t>35.0 + 餐后</w:t>
            </w:r>
          </w:p>
        </w:tc>
        <w:tc>
          <w:tcPr>
            <w:tcW w:type="dxa" w:w="2268"/>
            <w:vAlign w:val="center"/>
          </w:tcPr>
          <w:p>
            <w:pPr>
              <w:spacing w:line="300" w:lineRule="auto" w:before="0" w:after="0"/>
              <w:jc w:val="left"/>
            </w:pPr>
            <w:r/>
            <w:r>
              <w:rPr>
                <w:rFonts w:ascii="Times New Roman" w:hAnsi="Times New Roman" w:eastAsia="宋体"/>
                <w:b w:val="0"/>
                <w:sz w:val="17"/>
              </w:rPr>
              <w:t>最大合法值路径</w:t>
            </w:r>
          </w:p>
        </w:tc>
        <w:tc>
          <w:tcPr>
            <w:tcW w:type="dxa" w:w="2154"/>
            <w:vAlign w:val="center"/>
          </w:tcPr>
          <w:p>
            <w:pPr>
              <w:spacing w:line="300" w:lineRule="auto" w:before="0" w:after="0"/>
              <w:jc w:val="center"/>
            </w:pPr>
            <w:r/>
            <w:r>
              <w:rPr>
                <w:rFonts w:ascii="Times New Roman" w:hAnsi="Times New Roman" w:eastAsia="宋体"/>
                <w:b w:val="0"/>
                <w:sz w:val="17"/>
              </w:rPr>
              <w:t>等级为高血糖，返回字段完整</w:t>
            </w:r>
          </w:p>
        </w:tc>
      </w:tr>
    </w:tbl>
    <w:p w14:paraId="3C5F522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（2）结果分析</w:t>
      </w:r>
    </w:p>
    <w:p w14:paraId="540C8DEC">
      <w:pPr>
        <w:widowControl/>
        <w:numPr>
          <w:ilvl w:val="0"/>
          <w:numId w:val="0"/>
        </w:numPr>
        <w:wordWrap/>
        <w:adjustRightInd/>
        <w:snapToGrid/>
        <w:spacing w:line="300" w:lineRule="auto" w:before="0" w:after="0"/>
        <w:ind w:right="0" w:firstLineChars="200" w:firstLine="420"/>
        <w:jc w:val="left"/>
        <w:textAlignment w:val="auto"/>
        <w:outlineLvl w:val="9"/>
        <w:rPr>
          <w:rFonts w:hint="default" w:cs="Times New Roman"/>
          <w:b/>
          <w:bCs w:val="0"/>
          <w:color w:val="000000" w:themeColor="text1"/>
          <w:sz w:val="21"/>
          <w:szCs w:val="21"/>
          <w:lang w:val="en-US" w:eastAsia="zh-CN"/>
        </w:rPr>
      </w:pPr>
      <w:r>
        <w:rPr>
          <w:rFonts w:ascii="Times New Roman" w:hAnsi="Times New Roman" w:eastAsia="宋体"/>
          <w:b w:val="0"/>
          <w:sz w:val="21"/>
        </w:rPr>
      </w:r>
      <w:r>
        <w:rPr>
          <w:rFonts w:ascii="Times New Roman" w:hAnsi="Times New Roman" w:eastAsia="宋体"/>
          <w:b w:val="0"/>
          <w:sz w:val="21"/>
        </w:rPr>
        <w:t>运行 mvn test 后，项目共执行 149 个 JUnit 测试，失败 0 个，错误 0 个，跳过 0 个，构建结果为 BUILD SUCCESS。其中本人新增的 BpEvaluatorWhiteBoxTest 和 BgEvaluatorWhiteBoxTest 各包含 6 个测试方法，均运行通过。从结果看，血压评估模块能够正确处理正常、偏高、高血压三类路径，并能拦截非正数和超范围数据；血糖评估模块能够根据空腹和餐后两种测量时段选择不同标准，且 3.9、6.1、7.0、7.8、11.1、35.0 等边界点均符合预期。因此，本人负责的血压评估和血糖评估模块在当前测试范围内通过白盒测试。</w:t>
      </w:r>
    </w:p>
    <w:p w14:paraId="272183E1">
      <w:pPr>
        <w:widowControl/>
        <w:numPr>
          <w:ilvl w:val="0"/>
          <w:numId w:val="0"/>
        </w:numPr>
        <w:wordWrap/>
        <w:adjustRightInd/>
        <w:snapToGrid/>
        <w:spacing w:line="300" w:lineRule="auto"/>
        <w:ind w:right="0"/>
        <w:jc w:val="left"/>
        <w:textAlignment w:val="auto"/>
        <w:outlineLvl w:val="9"/>
        <w:rPr>
          <w:rFonts w:hint="eastAsia" w:cs="Times New Roman"/>
          <w:b/>
          <w:bCs w:val="0"/>
          <w:color w:val="000000" w:themeColor="text1"/>
          <w:sz w:val="21"/>
          <w:szCs w:val="21"/>
          <w:lang w:val="en-US" w:eastAsia="zh-CN"/>
        </w:rPr>
      </w:pPr>
      <w:r>
        <w:rPr>
          <w:rFonts w:hint="eastAsia" w:cs="Times New Roman"/>
          <w:b/>
          <w:bCs w:val="0"/>
          <w:color w:val="000000" w:themeColor="text1"/>
          <w:sz w:val="21"/>
          <w:szCs w:val="21"/>
          <w:lang w:val="en-US" w:eastAsia="zh-CN"/>
        </w:rPr>
        <w:t>3.2 实验2测试用例及结果分析</w:t>
      </w:r>
    </w:p>
    <w:p w14:paraId="4B8EA8AA">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（1）测试用例</w:t>
      </w:r>
    </w:p>
    <w:p w14:paraId="013F95BB">
      <w:pPr>
        <w:widowControl/>
        <w:numPr>
          <w:ilvl w:val="0"/>
          <w:numId w:val="0"/>
        </w:numPr>
        <w:wordWrap/>
        <w:adjustRightInd/>
        <w:snapToGrid/>
        <w:spacing w:line="300" w:lineRule="auto" w:before="0" w:after="0"/>
        <w:ind w:right="0" w:firstLineChars="200" w:firstLine="420"/>
        <w:jc w:val="left"/>
        <w:textAlignment w:val="auto"/>
        <w:outlineLvl w:val="9"/>
        <w:rPr>
          <w:rFonts w:hint="default" w:cs="Times New Roman"/>
          <w:b/>
          <w:bCs w:val="0"/>
          <w:color w:val="000000" w:themeColor="text1"/>
          <w:sz w:val="21"/>
          <w:szCs w:val="21"/>
          <w:lang w:val="en-US" w:eastAsia="zh-CN"/>
        </w:rPr>
      </w:pPr>
      <w:r>
        <w:rPr>
          <w:rFonts w:ascii="Times New Roman" w:hAnsi="Times New Roman" w:eastAsia="宋体"/>
          <w:b w:val="0"/>
          <w:sz w:val="21"/>
        </w:rPr>
      </w:r>
      <w:r>
        <w:rPr>
          <w:rFonts w:ascii="Times New Roman" w:hAnsi="Times New Roman" w:eastAsia="宋体"/>
          <w:b w:val="0"/>
          <w:sz w:val="21"/>
        </w:rPr>
        <w:t>本部分采用手工黑盒测试方法，从用户界面输入和输出角度验证血压评估与血糖评估功能。测试设计方法包括等价类划分、边界值分析、错误推测法和场景测试。具体测试用例如下表所示。</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1661"/>
        <w:gridCol w:w="1661"/>
        <w:gridCol w:w="1661"/>
        <w:gridCol w:w="1661"/>
      </w:tblGrid>
      <w:tr>
        <w:tc>
          <w:tcPr>
            <w:tcW w:type="dxa" w:w="1020"/>
            <w:shd w:fill="D9EAF7"/>
            <w:vAlign w:val="center"/>
          </w:tcPr>
          <w:p>
            <w:pPr>
              <w:spacing w:line="300" w:lineRule="auto" w:before="0" w:after="0"/>
              <w:jc w:val="center"/>
            </w:pPr>
            <w:r/>
            <w:r>
              <w:rPr>
                <w:rFonts w:ascii="Times New Roman" w:hAnsi="Times New Roman" w:eastAsia="宋体"/>
                <w:b/>
                <w:sz w:val="17"/>
              </w:rPr>
              <w:t>编号</w:t>
            </w:r>
          </w:p>
        </w:tc>
        <w:tc>
          <w:tcPr>
            <w:tcW w:type="dxa" w:w="1247"/>
            <w:shd w:fill="D9EAF7"/>
            <w:vAlign w:val="center"/>
          </w:tcPr>
          <w:p>
            <w:pPr>
              <w:spacing w:line="300" w:lineRule="auto" w:before="0" w:after="0"/>
              <w:jc w:val="center"/>
            </w:pPr>
            <w:r/>
            <w:r>
              <w:rPr>
                <w:rFonts w:ascii="Times New Roman" w:hAnsi="Times New Roman" w:eastAsia="宋体"/>
                <w:b/>
                <w:sz w:val="17"/>
              </w:rPr>
              <w:t>测试功能</w:t>
            </w:r>
          </w:p>
        </w:tc>
        <w:tc>
          <w:tcPr>
            <w:tcW w:type="dxa" w:w="2721"/>
            <w:shd w:fill="D9EAF7"/>
            <w:vAlign w:val="center"/>
          </w:tcPr>
          <w:p>
            <w:pPr>
              <w:spacing w:line="300" w:lineRule="auto" w:before="0" w:after="0"/>
              <w:jc w:val="center"/>
            </w:pPr>
            <w:r/>
            <w:r>
              <w:rPr>
                <w:rFonts w:ascii="Times New Roman" w:hAnsi="Times New Roman" w:eastAsia="宋体"/>
                <w:b/>
                <w:sz w:val="17"/>
              </w:rPr>
              <w:t>输入/操作</w:t>
            </w:r>
          </w:p>
        </w:tc>
        <w:tc>
          <w:tcPr>
            <w:tcW w:type="dxa" w:w="2948"/>
            <w:shd w:fill="D9EAF7"/>
            <w:vAlign w:val="center"/>
          </w:tcPr>
          <w:p>
            <w:pPr>
              <w:spacing w:line="300" w:lineRule="auto" w:before="0" w:after="0"/>
              <w:jc w:val="center"/>
            </w:pPr>
            <w:r/>
            <w:r>
              <w:rPr>
                <w:rFonts w:ascii="Times New Roman" w:hAnsi="Times New Roman" w:eastAsia="宋体"/>
                <w:b/>
                <w:sz w:val="17"/>
              </w:rPr>
              <w:t>预期结果</w:t>
            </w:r>
          </w:p>
        </w:tc>
        <w:tc>
          <w:tcPr>
            <w:tcW w:type="dxa" w:w="1020"/>
            <w:shd w:fill="D9EAF7"/>
            <w:vAlign w:val="center"/>
          </w:tcPr>
          <w:p>
            <w:pPr>
              <w:spacing w:line="300" w:lineRule="auto" w:before="0" w:after="0"/>
              <w:jc w:val="center"/>
            </w:pPr>
            <w:r/>
            <w:r>
              <w:rPr>
                <w:rFonts w:ascii="Times New Roman" w:hAnsi="Times New Roman" w:eastAsia="宋体"/>
                <w:b/>
                <w:sz w:val="17"/>
              </w:rPr>
              <w:t>实际结果</w:t>
            </w:r>
          </w:p>
        </w:tc>
      </w:tr>
      <w:tr>
        <w:tc>
          <w:tcPr>
            <w:tcW w:type="dxa" w:w="1020"/>
            <w:vAlign w:val="center"/>
          </w:tcPr>
          <w:p>
            <w:pPr>
              <w:spacing w:line="300" w:lineRule="auto" w:before="0" w:after="0"/>
              <w:jc w:val="center"/>
            </w:pPr>
            <w:r/>
            <w:r>
              <w:rPr>
                <w:rFonts w:ascii="Times New Roman" w:hAnsi="Times New Roman" w:eastAsia="宋体"/>
                <w:b w:val="0"/>
                <w:sz w:val="17"/>
              </w:rPr>
              <w:t>BB-BP-01</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收缩压 110，舒张压 70，点击评估</w:t>
            </w:r>
          </w:p>
        </w:tc>
        <w:tc>
          <w:tcPr>
            <w:tcW w:type="dxa" w:w="2948"/>
            <w:vAlign w:val="center"/>
          </w:tcPr>
          <w:p>
            <w:pPr>
              <w:spacing w:line="300" w:lineRule="auto" w:before="0" w:after="0"/>
              <w:jc w:val="left"/>
            </w:pPr>
            <w:r/>
            <w:r>
              <w:rPr>
                <w:rFonts w:ascii="Times New Roman" w:hAnsi="Times New Roman" w:eastAsia="宋体"/>
                <w:b w:val="0"/>
                <w:sz w:val="17"/>
              </w:rPr>
              <w:t>界面显示正常，并显示保持健康生活习惯类建议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BB-BP-02</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收缩压 120，舒张压 80，点击评估</w:t>
            </w:r>
          </w:p>
        </w:tc>
        <w:tc>
          <w:tcPr>
            <w:tcW w:type="dxa" w:w="2948"/>
            <w:vAlign w:val="center"/>
          </w:tcPr>
          <w:p>
            <w:pPr>
              <w:spacing w:line="300" w:lineRule="auto" w:before="0" w:after="0"/>
              <w:jc w:val="left"/>
            </w:pPr>
            <w:r/>
            <w:r>
              <w:rPr>
                <w:rFonts w:ascii="Times New Roman" w:hAnsi="Times New Roman" w:eastAsia="宋体"/>
                <w:b w:val="0"/>
                <w:sz w:val="17"/>
              </w:rPr>
              <w:t>界面显示偏高，并显示减少盐分摄入、适当运动、定期监测类建议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BB-BP-03</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收缩压 140，舒张压 90，点击评估</w:t>
            </w:r>
          </w:p>
        </w:tc>
        <w:tc>
          <w:tcPr>
            <w:tcW w:type="dxa" w:w="2948"/>
            <w:vAlign w:val="center"/>
          </w:tcPr>
          <w:p>
            <w:pPr>
              <w:spacing w:line="300" w:lineRule="auto" w:before="0" w:after="0"/>
              <w:jc w:val="left"/>
            </w:pPr>
            <w:r/>
            <w:r>
              <w:rPr>
                <w:rFonts w:ascii="Times New Roman" w:hAnsi="Times New Roman" w:eastAsia="宋体"/>
                <w:b w:val="0"/>
                <w:sz w:val="17"/>
              </w:rPr>
              <w:t>界面显示高血压，并显示及时就医、遵医嘱服药类建议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BB-BP-04</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收缩压为空或舒张压为空，点击评估</w:t>
            </w:r>
          </w:p>
        </w:tc>
        <w:tc>
          <w:tcPr>
            <w:tcW w:type="dxa" w:w="2948"/>
            <w:vAlign w:val="center"/>
          </w:tcPr>
          <w:p>
            <w:pPr>
              <w:spacing w:line="300" w:lineRule="auto" w:before="0" w:after="0"/>
              <w:jc w:val="left"/>
            </w:pPr>
            <w:r/>
            <w:r>
              <w:rPr>
                <w:rFonts w:ascii="Times New Roman" w:hAnsi="Times New Roman" w:eastAsia="宋体"/>
                <w:b w:val="0"/>
                <w:sz w:val="17"/>
              </w:rPr>
              <w:t>界面显示请输入收缩压和舒张压，不显示评估等级</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BB-BP-05</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输入 abc、中文或特殊符号，点击评估</w:t>
            </w:r>
          </w:p>
        </w:tc>
        <w:tc>
          <w:tcPr>
            <w:tcW w:type="dxa" w:w="2948"/>
            <w:vAlign w:val="center"/>
          </w:tcPr>
          <w:p>
            <w:pPr>
              <w:spacing w:line="300" w:lineRule="auto" w:before="0" w:after="0"/>
              <w:jc w:val="left"/>
            </w:pPr>
            <w:r/>
            <w:r>
              <w:rPr>
                <w:rFonts w:ascii="Times New Roman" w:hAnsi="Times New Roman" w:eastAsia="宋体"/>
                <w:b w:val="0"/>
                <w:sz w:val="17"/>
              </w:rPr>
              <w:t>界面显示请输入有效的数字，不显示评估等级</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BB-BP-06</w:t>
            </w:r>
          </w:p>
        </w:tc>
        <w:tc>
          <w:tcPr>
            <w:tcW w:type="dxa" w:w="1247"/>
            <w:vAlign w:val="center"/>
          </w:tcPr>
          <w:p>
            <w:pPr>
              <w:spacing w:line="300" w:lineRule="auto" w:before="0" w:after="0"/>
              <w:jc w:val="left"/>
            </w:pPr>
            <w:r/>
            <w:r>
              <w:rPr>
                <w:rFonts w:ascii="Times New Roman" w:hAnsi="Times New Roman" w:eastAsia="宋体"/>
                <w:b w:val="0"/>
                <w:sz w:val="17"/>
              </w:rPr>
              <w:t>血压评估</w:t>
            </w:r>
          </w:p>
        </w:tc>
        <w:tc>
          <w:tcPr>
            <w:tcW w:type="dxa" w:w="2721"/>
            <w:vAlign w:val="center"/>
          </w:tcPr>
          <w:p>
            <w:pPr>
              <w:spacing w:line="300" w:lineRule="auto" w:before="0" w:after="0"/>
              <w:jc w:val="left"/>
            </w:pPr>
            <w:r/>
            <w:r>
              <w:rPr>
                <w:rFonts w:ascii="Times New Roman" w:hAnsi="Times New Roman" w:eastAsia="宋体"/>
                <w:b w:val="0"/>
                <w:sz w:val="17"/>
              </w:rPr>
              <w:t>输入 0、负数、301/80 或 120/201</w:t>
            </w:r>
          </w:p>
        </w:tc>
        <w:tc>
          <w:tcPr>
            <w:tcW w:type="dxa" w:w="2948"/>
            <w:vAlign w:val="center"/>
          </w:tcPr>
          <w:p>
            <w:pPr>
              <w:spacing w:line="300" w:lineRule="auto" w:before="0" w:after="0"/>
              <w:jc w:val="left"/>
            </w:pPr>
            <w:r/>
            <w:r>
              <w:rPr>
                <w:rFonts w:ascii="Times New Roman" w:hAnsi="Times New Roman" w:eastAsia="宋体"/>
                <w:b w:val="0"/>
                <w:sz w:val="17"/>
              </w:rPr>
              <w:t>界面显示血压值非法或超出合理范围，不显示评估等级</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BB-BG-01</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 3.8，选择空腹，点击评估</w:t>
            </w:r>
          </w:p>
        </w:tc>
        <w:tc>
          <w:tcPr>
            <w:tcW w:type="dxa" w:w="2948"/>
            <w:vAlign w:val="center"/>
          </w:tcPr>
          <w:p>
            <w:pPr>
              <w:spacing w:line="300" w:lineRule="auto" w:before="0" w:after="0"/>
              <w:jc w:val="left"/>
            </w:pPr>
            <w:r/>
            <w:r>
              <w:rPr>
                <w:rFonts w:ascii="Times New Roman" w:hAnsi="Times New Roman" w:eastAsia="宋体"/>
                <w:b w:val="0"/>
                <w:sz w:val="17"/>
              </w:rPr>
              <w:t>界面显示低血糖，并显示及时补充糖分类建议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BB-BG-02</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 6.1，选择空腹，点击评估</w:t>
            </w:r>
          </w:p>
        </w:tc>
        <w:tc>
          <w:tcPr>
            <w:tcW w:type="dxa" w:w="2948"/>
            <w:vAlign w:val="center"/>
          </w:tcPr>
          <w:p>
            <w:pPr>
              <w:spacing w:line="300" w:lineRule="auto" w:before="0" w:after="0"/>
              <w:jc w:val="left"/>
            </w:pPr>
            <w:r/>
            <w:r>
              <w:rPr>
                <w:rFonts w:ascii="Times New Roman" w:hAnsi="Times New Roman" w:eastAsia="宋体"/>
                <w:b w:val="0"/>
                <w:sz w:val="17"/>
              </w:rPr>
              <w:t>界面显示正常，并显示保持健康饮食习惯类建议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BB-BG-03</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 7.0，选择空腹，点击评估</w:t>
            </w:r>
          </w:p>
        </w:tc>
        <w:tc>
          <w:tcPr>
            <w:tcW w:type="dxa" w:w="2948"/>
            <w:vAlign w:val="center"/>
          </w:tcPr>
          <w:p>
            <w:pPr>
              <w:spacing w:line="300" w:lineRule="auto" w:before="0" w:after="0"/>
              <w:jc w:val="left"/>
            </w:pPr>
            <w:r/>
            <w:r>
              <w:rPr>
                <w:rFonts w:ascii="Times New Roman" w:hAnsi="Times New Roman" w:eastAsia="宋体"/>
                <w:b w:val="0"/>
                <w:sz w:val="17"/>
              </w:rPr>
              <w:t>界面显示偏高，并显示控制糖分摄入、定期监测类建议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BB-BG-04</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 11.2，选择餐后，点击评估</w:t>
            </w:r>
          </w:p>
        </w:tc>
        <w:tc>
          <w:tcPr>
            <w:tcW w:type="dxa" w:w="2948"/>
            <w:vAlign w:val="center"/>
          </w:tcPr>
          <w:p>
            <w:pPr>
              <w:spacing w:line="300" w:lineRule="auto" w:before="0" w:after="0"/>
              <w:jc w:val="left"/>
            </w:pPr>
            <w:r/>
            <w:r>
              <w:rPr>
                <w:rFonts w:ascii="Times New Roman" w:hAnsi="Times New Roman" w:eastAsia="宋体"/>
                <w:b w:val="0"/>
                <w:sz w:val="17"/>
              </w:rPr>
              <w:t>界面显示高血糖，并显示及时就医检查类建议</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BB-BG-05</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 6.2，分别选择空腹和餐后测试</w:t>
            </w:r>
          </w:p>
        </w:tc>
        <w:tc>
          <w:tcPr>
            <w:tcW w:type="dxa" w:w="2948"/>
            <w:vAlign w:val="center"/>
          </w:tcPr>
          <w:p>
            <w:pPr>
              <w:spacing w:line="300" w:lineRule="auto" w:before="0" w:after="0"/>
              <w:jc w:val="left"/>
            </w:pPr>
            <w:r/>
            <w:r>
              <w:rPr>
                <w:rFonts w:ascii="Times New Roman" w:hAnsi="Times New Roman" w:eastAsia="宋体"/>
                <w:b w:val="0"/>
                <w:sz w:val="17"/>
              </w:rPr>
              <w:t>空腹显示偏高，餐后显示正常，体现不同时段标准不同</w:t>
            </w:r>
          </w:p>
        </w:tc>
        <w:tc>
          <w:tcPr>
            <w:tcW w:type="dxa" w:w="1020"/>
            <w:vAlign w:val="center"/>
          </w:tcPr>
          <w:p>
            <w:pPr>
              <w:spacing w:line="300" w:lineRule="auto" w:before="0" w:after="0"/>
              <w:jc w:val="center"/>
            </w:pPr>
            <w:r/>
            <w:r>
              <w:rPr>
                <w:rFonts w:ascii="Times New Roman" w:hAnsi="Times New Roman" w:eastAsia="宋体"/>
                <w:b w:val="0"/>
                <w:sz w:val="17"/>
              </w:rPr>
              <w:t>通过</w:t>
            </w:r>
          </w:p>
        </w:tc>
      </w:tr>
      <w:tr>
        <w:tc>
          <w:tcPr>
            <w:tcW w:type="dxa" w:w="1020"/>
            <w:vAlign w:val="center"/>
          </w:tcPr>
          <w:p>
            <w:pPr>
              <w:spacing w:line="300" w:lineRule="auto" w:before="0" w:after="0"/>
              <w:jc w:val="center"/>
            </w:pPr>
            <w:r/>
            <w:r>
              <w:rPr>
                <w:rFonts w:ascii="Times New Roman" w:hAnsi="Times New Roman" w:eastAsia="宋体"/>
                <w:b w:val="0"/>
                <w:sz w:val="17"/>
              </w:rPr>
              <w:t>BB-BG-06</w:t>
            </w:r>
          </w:p>
        </w:tc>
        <w:tc>
          <w:tcPr>
            <w:tcW w:type="dxa" w:w="1247"/>
            <w:vAlign w:val="center"/>
          </w:tcPr>
          <w:p>
            <w:pPr>
              <w:spacing w:line="300" w:lineRule="auto" w:before="0" w:after="0"/>
              <w:jc w:val="left"/>
            </w:pPr>
            <w:r/>
            <w:r>
              <w:rPr>
                <w:rFonts w:ascii="Times New Roman" w:hAnsi="Times New Roman" w:eastAsia="宋体"/>
                <w:b w:val="0"/>
                <w:sz w:val="17"/>
              </w:rPr>
              <w:t>血糖评估</w:t>
            </w:r>
          </w:p>
        </w:tc>
        <w:tc>
          <w:tcPr>
            <w:tcW w:type="dxa" w:w="2721"/>
            <w:vAlign w:val="center"/>
          </w:tcPr>
          <w:p>
            <w:pPr>
              <w:spacing w:line="300" w:lineRule="auto" w:before="0" w:after="0"/>
              <w:jc w:val="left"/>
            </w:pPr>
            <w:r/>
            <w:r>
              <w:rPr>
                <w:rFonts w:ascii="Times New Roman" w:hAnsi="Times New Roman" w:eastAsia="宋体"/>
                <w:b w:val="0"/>
                <w:sz w:val="17"/>
              </w:rPr>
              <w:t>血糖为空、abc、0、-0.1 或 35.1，点击评估</w:t>
            </w:r>
          </w:p>
        </w:tc>
        <w:tc>
          <w:tcPr>
            <w:tcW w:type="dxa" w:w="2948"/>
            <w:vAlign w:val="center"/>
          </w:tcPr>
          <w:p>
            <w:pPr>
              <w:spacing w:line="300" w:lineRule="auto" w:before="0" w:after="0"/>
              <w:jc w:val="left"/>
            </w:pPr>
            <w:r/>
            <w:r>
              <w:rPr>
                <w:rFonts w:ascii="Times New Roman" w:hAnsi="Times New Roman" w:eastAsia="宋体"/>
                <w:b w:val="0"/>
                <w:sz w:val="17"/>
              </w:rPr>
              <w:t>界面显示输入不能为空、请输入有效数字、血糖值非法或超出合理范围</w:t>
            </w:r>
          </w:p>
        </w:tc>
        <w:tc>
          <w:tcPr>
            <w:tcW w:type="dxa" w:w="1020"/>
            <w:vAlign w:val="center"/>
          </w:tcPr>
          <w:p>
            <w:pPr>
              <w:spacing w:line="300" w:lineRule="auto" w:before="0" w:after="0"/>
              <w:jc w:val="center"/>
            </w:pPr>
            <w:r/>
            <w:r>
              <w:rPr>
                <w:rFonts w:ascii="Times New Roman" w:hAnsi="Times New Roman" w:eastAsia="宋体"/>
                <w:b w:val="0"/>
                <w:sz w:val="17"/>
              </w:rPr>
              <w:t>通过</w:t>
            </w:r>
          </w:p>
        </w:tc>
      </w:tr>
    </w:tbl>
    <w:p w14:paraId="0D176069">
      <w:pPr>
        <w:widowControl/>
        <w:numPr>
          <w:ilvl w:val="0"/>
          <w:numId w:val="0"/>
        </w:numPr>
        <w:wordWrap/>
        <w:adjustRightInd/>
        <w:snapToGrid/>
        <w:spacing w:line="300" w:lineRule="auto"/>
        <w:ind w:right="0"/>
        <w:jc w:val="left"/>
        <w:textAlignment w:val="auto"/>
        <w:outlineLvl w:val="9"/>
        <w:rPr>
          <w:rFonts w:hint="eastAsia" w:cs="Times New Roman"/>
          <w:b w:val="0"/>
          <w:bCs/>
          <w:color w:val="000000" w:themeColor="text1"/>
          <w:sz w:val="21"/>
          <w:szCs w:val="21"/>
          <w:lang w:val="en-US" w:eastAsia="zh-CN"/>
        </w:rPr>
      </w:pPr>
      <w:r>
        <w:rPr>
          <w:rFonts w:hint="eastAsia" w:cs="Times New Roman"/>
          <w:b w:val="0"/>
          <w:bCs/>
          <w:color w:val="000000" w:themeColor="text1"/>
          <w:sz w:val="21"/>
          <w:szCs w:val="21"/>
          <w:lang w:val="en-US" w:eastAsia="zh-CN"/>
        </w:rPr>
        <w:t>（2）结果分析</w:t>
      </w:r>
    </w:p>
    <w:p w14:paraId="7A1A7DD4">
      <w:pPr>
        <w:widowControl/>
        <w:numPr>
          <w:ilvl w:val="0"/>
          <w:numId w:val="0"/>
        </w:numPr>
        <w:wordWrap/>
        <w:adjustRightInd/>
        <w:snapToGrid/>
        <w:spacing w:line="300" w:lineRule="auto" w:before="0" w:after="0"/>
        <w:ind w:right="0" w:firstLineChars="200" w:firstLine="420"/>
        <w:jc w:val="left"/>
        <w:textAlignment w:val="auto"/>
        <w:outlineLvl w:val="9"/>
        <w:rPr>
          <w:rFonts w:hint="eastAsia" w:cs="Times New Roman"/>
          <w:b w:val="0"/>
          <w:bCs/>
          <w:color w:val="FF0000"/>
          <w:sz w:val="21"/>
          <w:szCs w:val="21"/>
          <w:lang w:val="en-US" w:eastAsia="zh-CN"/>
        </w:rPr>
      </w:pPr>
      <w:r>
        <w:rPr>
          <w:rFonts w:ascii="Times New Roman" w:hAnsi="Times New Roman" w:eastAsia="宋体"/>
          <w:b w:val="0"/>
          <w:sz w:val="21"/>
        </w:rPr>
      </w:r>
      <w:r>
        <w:rPr>
          <w:rFonts w:ascii="Times New Roman" w:hAnsi="Times New Roman" w:eastAsia="宋体"/>
          <w:b w:val="0"/>
          <w:sz w:val="21"/>
        </w:rPr>
        <w:t>本次黑盒测试共设计 12 组手工测试用例，其中血压评估 6 组、血糖评估 6 组。测试用例覆盖正常输入、边界输入、异常输入和典型用户操作场景。测试结果显示，血压评估页面能够根据输入数据正确显示正常、偏高和高血压三类结果，并能对空值、非数字、0、负数和超范围数据给出错误提示。血糖评估页面能够正确区分空腹和餐后两种测量时段，同一血糖值 6.2 在空腹时显示偏高，在餐后时显示正常，说明界面功能符合需求。测试过程中未出现程序崩溃、无响应或结果不刷新的情况，因此本人负责的血压评估和血糖评估模块通过黑盒测试。</w:t>
      </w:r>
    </w:p>
    <w:p w14:paraId="7B4D91F1">
      <w:pPr>
        <w:widowControl/>
        <w:numPr>
          <w:ilvl w:val="0"/>
          <w:numId w:val="0"/>
        </w:numPr>
        <w:wordWrap/>
        <w:adjustRightInd/>
        <w:snapToGrid/>
        <w:spacing w:before="156" w:beforeLines="50" w:after="156" w:afterLines="50" w:line="240" w:lineRule="auto"/>
        <w:ind w:leftChars="0" w:right="0" w:rightChars="0"/>
        <w:jc w:val="left"/>
        <w:textAlignment w:val="auto"/>
        <w:outlineLvl w:val="9"/>
        <w:rPr>
          <w:rFonts w:hint="eastAsia" w:ascii="仿宋_GB2312" w:hAnsi="宋体" w:eastAsia="仿宋_GB2312"/>
          <w:b/>
          <w:bCs/>
          <w:sz w:val="24"/>
          <w:lang w:val="en-US" w:eastAsia="zh-CN"/>
        </w:rPr>
      </w:pPr>
      <w:r>
        <w:rPr>
          <w:rFonts w:hint="eastAsia" w:ascii="仿宋_GB2312" w:hAnsi="宋体" w:eastAsia="仿宋_GB2312"/>
          <w:b/>
          <w:bCs/>
          <w:sz w:val="24"/>
          <w:lang w:val="en-US" w:eastAsia="zh-CN"/>
        </w:rPr>
        <w:t>4.实验总结</w:t>
      </w:r>
    </w:p>
    <w:p w14:paraId="73B86ED3">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cs="Times New Roman"/>
          <w:b w:val="0"/>
          <w:bCs/>
          <w:color w:val="0000FF"/>
          <w:sz w:val="21"/>
          <w:szCs w:val="21"/>
          <w:lang w:val="en-US" w:eastAsia="zh-CN"/>
        </w:rPr>
      </w:pPr>
      <w:r>
        <w:rPr>
          <w:rFonts w:ascii="Times New Roman" w:hAnsi="Times New Roman" w:eastAsia="宋体"/>
          <w:b w:val="0"/>
          <w:sz w:val="21"/>
        </w:rPr>
      </w:r>
      <w:r>
        <w:rPr>
          <w:rFonts w:ascii="Times New Roman" w:hAnsi="Times New Roman" w:eastAsia="宋体"/>
          <w:b w:val="0"/>
          <w:sz w:val="21"/>
        </w:rPr>
        <w:t>本人：通过本次实验，我主要负责血压评估和血糖评估模块的测试工作，对白盒测试和黑盒测试的区别与联系有了更清晰的认识。在白盒测试部分，我根据代码中的判断条件设计了语句覆盖、分支覆盖、条件覆盖、路径覆盖和边界值测试用例，重点验证了血压 120/80、140/90 以及血糖 3.9、6.1、7.0、7.8、11.1 等关键边界。通过 JUnit 自动化测试，我体会到单元测试能够快速、稳定地验证业务逻辑，也能帮助发现边界条件和异常处理是否充分。在黑盒测试部分，我从用户界面输入和输出的角度设计测试用例，重点检查正常输入、非法输入、错误提示和不同时段血糖判断结果，进一步认识到功能正确不仅体现在代码逻辑中，也体现在用户操作流程和提示信息是否清晰。</w:t>
      </w:r>
    </w:p>
    <w:p w14:paraId="13D10BD5">
      <w:pPr>
        <w:widowControl/>
        <w:numPr>
          <w:ilvl w:val="0"/>
          <w:numId w:val="0"/>
        </w:numPr>
        <w:wordWrap/>
        <w:adjustRightInd/>
        <w:snapToGrid/>
        <w:spacing w:line="300" w:lineRule="auto" w:before="0" w:after="0"/>
        <w:ind w:left="0" w:leftChars="0" w:right="0" w:firstLineChars="200" w:firstLine="420"/>
        <w:jc w:val="left"/>
        <w:textAlignment w:val="auto"/>
        <w:outlineLvl w:val="9"/>
        <w:rPr>
          <w:rFonts w:hint="eastAsia" w:cs="Times New Roman"/>
          <w:b w:val="0"/>
          <w:bCs/>
          <w:color w:val="0000FF"/>
          <w:sz w:val="21"/>
          <w:szCs w:val="21"/>
          <w:lang w:val="en-US" w:eastAsia="zh-CN"/>
        </w:rPr>
      </w:pPr>
      <w:r>
        <w:rPr>
          <w:rFonts w:ascii="Times New Roman" w:hAnsi="Times New Roman" w:eastAsia="宋体"/>
          <w:b w:val="0"/>
          <w:sz w:val="21"/>
        </w:rPr>
      </w:r>
      <w:r>
        <w:rPr>
          <w:rFonts w:ascii="Times New Roman" w:hAnsi="Times New Roman" w:eastAsia="宋体"/>
          <w:b w:val="0"/>
          <w:sz w:val="21"/>
        </w:rPr>
        <w:t>本次实验的收获是，我学会了将需求中的规则转化为可执行的测试用例，并能够结合等价类划分、边界值分析、错误推测法等方法提高测试的完整性。实验过程中也发现，健康类数据的边界判断非常容易出现遗漏，如果只测试普通数据，很难证明程序在临界输入下也是可靠的。后续如果继续完善该模块，我会进一步补充界面自动化测试和测试截图记录，并对提示文字、输入限制和用户操作体验进行更细致的验证，使测试过程更加规范、结果更加有说服力。</w:t>
      </w:r>
    </w:p>
    <w:p w14:paraId="2AF9F76E">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0000FF"/>
          <w:sz w:val="21"/>
          <w:szCs w:val="21"/>
          <w:lang w:val="en-US" w:eastAsia="zh-CN"/>
        </w:rPr>
      </w:pPr>
      <w:r/>
    </w:p>
    <w:p w14:paraId="7148C770">
      <w:pPr>
        <w:widowControl/>
        <w:numPr>
          <w:ilvl w:val="0"/>
          <w:numId w:val="0"/>
        </w:numPr>
        <w:wordWrap/>
        <w:adjustRightInd/>
        <w:snapToGrid/>
        <w:spacing w:line="300" w:lineRule="auto" w:before="0" w:after="0"/>
        <w:ind w:left="0" w:leftChars="0" w:right="0" w:firstLine="420" w:firstLineChars="200"/>
        <w:jc w:val="left"/>
        <w:textAlignment w:val="auto"/>
        <w:outlineLvl w:val="9"/>
        <w:rPr>
          <w:rFonts w:hint="eastAsia" w:cs="Times New Roman"/>
          <w:b w:val="0"/>
          <w:bCs/>
          <w:color w:val="FF0000"/>
          <w:sz w:val="21"/>
          <w:szCs w:val="21"/>
          <w:lang w:val="en-US" w:eastAsia="zh-CN"/>
        </w:rPr>
      </w:pPr>
      <w:r/>
    </w:p>
    <w:p w14:paraId="2B211D44">
      <w:pPr>
        <w:widowControl/>
        <w:jc w:val="left"/>
        <w:rPr>
          <w:rFonts w:hint="eastAsia" w:ascii="仿宋_GB2312" w:hAnsi="宋体" w:eastAsia="仿宋_GB2312"/>
          <w:sz w:val="24"/>
          <w:lang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262DB1B8">
      <w:pPr>
        <w:widowControl/>
        <w:jc w:val="left"/>
        <w:rPr>
          <w:rFonts w:hint="eastAsia" w:ascii="仿宋_GB2312" w:hAnsi="宋体" w:eastAsia="仿宋_GB2312"/>
          <w:sz w:val="24"/>
        </w:rPr>
      </w:pPr>
      <w:r>
        <w:rPr>
          <w:rFonts w:hint="eastAsia" w:ascii="仿宋_GB2312" w:hAnsi="宋体" w:eastAsia="仿宋_GB2312"/>
          <w:sz w:val="24"/>
          <w:lang w:eastAsia="zh-CN"/>
        </w:rPr>
        <w:t>成绩评定</w:t>
      </w:r>
      <w:r>
        <w:rPr>
          <w:rFonts w:hint="eastAsia" w:ascii="仿宋_GB2312" w:hAnsi="宋体" w:eastAsia="仿宋_GB2312"/>
          <w:sz w:val="24"/>
        </w:rPr>
        <w:t>：</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9"/>
        <w:gridCol w:w="1043"/>
      </w:tblGrid>
      <w:tr w14:paraId="4FA9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36F75BC4">
            <w:pPr>
              <w:spacing w:line="300" w:lineRule="auto"/>
              <w:jc w:val="center"/>
              <w:rPr>
                <w:rFonts w:ascii="仿宋" w:hAnsi="仿宋" w:eastAsia="仿宋" w:cs="Times New Roman"/>
                <w:kern w:val="0"/>
                <w:sz w:val="21"/>
                <w:szCs w:val="21"/>
              </w:rPr>
            </w:pPr>
            <w:r>
              <w:rPr>
                <w:rFonts w:hint="eastAsia" w:ascii="仿宋" w:hAnsi="仿宋" w:eastAsia="仿宋" w:cs="Times New Roman"/>
                <w:kern w:val="0"/>
                <w:sz w:val="21"/>
                <w:szCs w:val="21"/>
              </w:rPr>
              <w:t>考核标准</w:t>
            </w:r>
          </w:p>
        </w:tc>
        <w:tc>
          <w:tcPr>
            <w:tcW w:w="1043" w:type="dxa"/>
            <w:vAlign w:val="top"/>
          </w:tcPr>
          <w:p w14:paraId="50793B94">
            <w:pPr>
              <w:widowControl/>
              <w:jc w:val="center"/>
              <w:rPr>
                <w:rFonts w:ascii="仿宋" w:hAnsi="仿宋" w:eastAsia="仿宋" w:cs="Times New Roman"/>
                <w:kern w:val="0"/>
                <w:sz w:val="21"/>
                <w:szCs w:val="21"/>
              </w:rPr>
            </w:pPr>
            <w:r>
              <w:rPr>
                <w:rFonts w:hint="eastAsia" w:ascii="仿宋" w:hAnsi="仿宋" w:eastAsia="仿宋" w:cs="Times New Roman"/>
                <w:kern w:val="0"/>
                <w:sz w:val="21"/>
                <w:szCs w:val="21"/>
              </w:rPr>
              <w:t>得分</w:t>
            </w:r>
          </w:p>
        </w:tc>
      </w:tr>
      <w:tr w14:paraId="3AD9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5FD431C8">
            <w:pPr>
              <w:spacing w:line="300" w:lineRule="auto"/>
              <w:rPr>
                <w:rFonts w:hint="eastAsia" w:ascii="仿宋" w:hAnsi="仿宋" w:eastAsia="仿宋" w:cs="Times New Roman"/>
                <w:kern w:val="0"/>
                <w:sz w:val="21"/>
                <w:szCs w:val="21"/>
              </w:rPr>
            </w:pPr>
            <w:r>
              <w:rPr>
                <w:rFonts w:hint="eastAsia" w:ascii="仿宋" w:hAnsi="仿宋" w:eastAsia="仿宋" w:cs="Times New Roman"/>
                <w:kern w:val="0"/>
                <w:sz w:val="21"/>
                <w:szCs w:val="21"/>
              </w:rPr>
              <w:t>（</w:t>
            </w:r>
            <w:r>
              <w:rPr>
                <w:rFonts w:ascii="仿宋" w:hAnsi="仿宋" w:eastAsia="仿宋" w:cs="Times New Roman"/>
                <w:kern w:val="0"/>
                <w:sz w:val="21"/>
                <w:szCs w:val="21"/>
              </w:rPr>
              <w:t>1</w:t>
            </w:r>
            <w:r>
              <w:rPr>
                <w:rFonts w:hint="eastAsia" w:ascii="仿宋" w:hAnsi="仿宋" w:eastAsia="仿宋" w:cs="Times New Roman"/>
                <w:kern w:val="0"/>
                <w:sz w:val="21"/>
                <w:szCs w:val="21"/>
              </w:rPr>
              <w:t>）能够</w:t>
            </w:r>
            <w:r>
              <w:rPr>
                <w:rFonts w:ascii="仿宋" w:hAnsi="仿宋" w:eastAsia="仿宋" w:cs="Times New Roman"/>
                <w:kern w:val="0"/>
                <w:sz w:val="21"/>
                <w:szCs w:val="21"/>
              </w:rPr>
              <w:t>按时出勤</w:t>
            </w:r>
            <w:r>
              <w:rPr>
                <w:rFonts w:hint="eastAsia" w:ascii="仿宋" w:hAnsi="仿宋" w:eastAsia="仿宋" w:cs="Times New Roman"/>
                <w:kern w:val="0"/>
                <w:sz w:val="21"/>
                <w:szCs w:val="21"/>
              </w:rPr>
              <w:t>，</w:t>
            </w:r>
            <w:r>
              <w:rPr>
                <w:rFonts w:ascii="仿宋" w:hAnsi="仿宋" w:eastAsia="仿宋" w:cs="Times New Roman"/>
                <w:kern w:val="0"/>
                <w:sz w:val="21"/>
                <w:szCs w:val="21"/>
              </w:rPr>
              <w:t>不迟到</w:t>
            </w:r>
            <w:r>
              <w:rPr>
                <w:rFonts w:hint="eastAsia" w:ascii="仿宋" w:hAnsi="仿宋" w:eastAsia="仿宋" w:cs="Times New Roman"/>
                <w:kern w:val="0"/>
                <w:sz w:val="21"/>
                <w:szCs w:val="21"/>
              </w:rPr>
              <w:t>、</w:t>
            </w:r>
            <w:r>
              <w:rPr>
                <w:rFonts w:ascii="仿宋" w:hAnsi="仿宋" w:eastAsia="仿宋" w:cs="Times New Roman"/>
                <w:kern w:val="0"/>
                <w:sz w:val="21"/>
                <w:szCs w:val="21"/>
              </w:rPr>
              <w:t>不早退</w:t>
            </w:r>
            <w:r>
              <w:rPr>
                <w:rFonts w:hint="eastAsia" w:ascii="仿宋" w:hAnsi="仿宋" w:eastAsia="仿宋" w:cs="Times New Roman"/>
                <w:kern w:val="0"/>
                <w:sz w:val="21"/>
                <w:szCs w:val="21"/>
              </w:rPr>
              <w:t>，</w:t>
            </w:r>
            <w:r>
              <w:rPr>
                <w:rFonts w:ascii="仿宋" w:hAnsi="仿宋" w:eastAsia="仿宋" w:cs="Times New Roman"/>
                <w:kern w:val="0"/>
                <w:sz w:val="21"/>
                <w:szCs w:val="21"/>
              </w:rPr>
              <w:t>实验过程中，具有严谨的学习态度和认真、踏实、一丝不苟的科学作风</w:t>
            </w:r>
            <w:r>
              <w:rPr>
                <w:rFonts w:hint="eastAsia" w:ascii="仿宋" w:hAnsi="仿宋" w:eastAsia="仿宋" w:cs="Times New Roman"/>
                <w:kern w:val="0"/>
                <w:sz w:val="21"/>
                <w:szCs w:val="21"/>
              </w:rPr>
              <w:t>（5%）</w:t>
            </w:r>
          </w:p>
        </w:tc>
        <w:tc>
          <w:tcPr>
            <w:tcW w:w="1043" w:type="dxa"/>
            <w:vAlign w:val="top"/>
          </w:tcPr>
          <w:p w14:paraId="6E8F5049">
            <w:pPr>
              <w:widowControl/>
              <w:jc w:val="left"/>
              <w:rPr>
                <w:rFonts w:ascii="仿宋" w:hAnsi="仿宋" w:eastAsia="仿宋" w:cs="Times New Roman"/>
                <w:color w:val="FF0000"/>
                <w:kern w:val="0"/>
                <w:sz w:val="21"/>
                <w:szCs w:val="21"/>
              </w:rPr>
            </w:pPr>
          </w:p>
        </w:tc>
      </w:tr>
      <w:tr w14:paraId="107E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3565579C">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w:t>
            </w:r>
            <w:r>
              <w:rPr>
                <w:rFonts w:ascii="仿宋" w:hAnsi="仿宋" w:eastAsia="仿宋" w:cs="Times New Roman"/>
                <w:kern w:val="0"/>
                <w:sz w:val="21"/>
                <w:szCs w:val="21"/>
              </w:rPr>
              <w:t>2</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测试计划全面合理（实验1和实验2各占10%）（20%）</w:t>
            </w:r>
          </w:p>
        </w:tc>
        <w:tc>
          <w:tcPr>
            <w:tcW w:w="1043" w:type="dxa"/>
            <w:vAlign w:val="top"/>
          </w:tcPr>
          <w:p w14:paraId="50E4B785">
            <w:pPr>
              <w:widowControl/>
              <w:jc w:val="left"/>
              <w:rPr>
                <w:rFonts w:ascii="仿宋" w:hAnsi="仿宋" w:eastAsia="仿宋" w:cs="Times New Roman"/>
                <w:color w:val="FF0000"/>
                <w:kern w:val="0"/>
                <w:sz w:val="21"/>
                <w:szCs w:val="21"/>
              </w:rPr>
            </w:pPr>
          </w:p>
        </w:tc>
      </w:tr>
      <w:tr w14:paraId="0704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7227C509">
            <w:pPr>
              <w:spacing w:line="300" w:lineRule="auto"/>
              <w:rPr>
                <w:rFonts w:hint="default" w:ascii="仿宋" w:hAnsi="仿宋" w:eastAsia="仿宋" w:cs="Times New Roman"/>
                <w:kern w:val="0"/>
                <w:sz w:val="21"/>
                <w:szCs w:val="21"/>
                <w:lang w:val="en-US" w:eastAsia="zh-CN"/>
              </w:rPr>
            </w:pP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3</w:t>
            </w: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测试用例设计合理、正确（实验1和实验2各占15%）（30%）</w:t>
            </w:r>
          </w:p>
        </w:tc>
        <w:tc>
          <w:tcPr>
            <w:tcW w:w="1043" w:type="dxa"/>
            <w:vAlign w:val="top"/>
          </w:tcPr>
          <w:p w14:paraId="5065751C">
            <w:pPr>
              <w:widowControl/>
              <w:jc w:val="left"/>
              <w:rPr>
                <w:rFonts w:ascii="仿宋" w:hAnsi="仿宋" w:eastAsia="仿宋" w:cs="Times New Roman"/>
                <w:color w:val="FF0000"/>
                <w:kern w:val="0"/>
                <w:sz w:val="21"/>
                <w:szCs w:val="21"/>
              </w:rPr>
            </w:pPr>
          </w:p>
        </w:tc>
      </w:tr>
      <w:tr w14:paraId="70A3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6604AB40">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4</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测试结果分析充分、合理，能体现创新性（实验1和实验2各占10%）</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20</w:t>
            </w:r>
            <w:r>
              <w:rPr>
                <w:rFonts w:hint="eastAsia" w:ascii="仿宋" w:hAnsi="仿宋" w:eastAsia="仿宋" w:cs="Times New Roman"/>
                <w:kern w:val="0"/>
                <w:sz w:val="21"/>
                <w:szCs w:val="21"/>
              </w:rPr>
              <w:t>%）</w:t>
            </w:r>
          </w:p>
        </w:tc>
        <w:tc>
          <w:tcPr>
            <w:tcW w:w="1043" w:type="dxa"/>
            <w:vAlign w:val="top"/>
          </w:tcPr>
          <w:p w14:paraId="7DB4D9D1">
            <w:pPr>
              <w:widowControl/>
              <w:jc w:val="left"/>
              <w:rPr>
                <w:rFonts w:ascii="仿宋" w:hAnsi="仿宋" w:eastAsia="仿宋" w:cs="Times New Roman"/>
                <w:color w:val="FF0000"/>
                <w:kern w:val="0"/>
                <w:sz w:val="21"/>
                <w:szCs w:val="21"/>
              </w:rPr>
            </w:pPr>
          </w:p>
        </w:tc>
      </w:tr>
      <w:tr w14:paraId="5D142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9" w:type="dxa"/>
            <w:vAlign w:val="top"/>
          </w:tcPr>
          <w:p w14:paraId="6D891064">
            <w:pPr>
              <w:spacing w:line="300" w:lineRule="auto"/>
              <w:rPr>
                <w:rFonts w:ascii="仿宋" w:hAnsi="仿宋" w:eastAsia="仿宋" w:cs="Times New Roman"/>
                <w:kern w:val="0"/>
                <w:sz w:val="21"/>
                <w:szCs w:val="21"/>
              </w:rPr>
            </w:pPr>
            <w:r>
              <w:rPr>
                <w:rFonts w:hint="eastAsia" w:ascii="仿宋" w:hAnsi="仿宋" w:eastAsia="仿宋" w:cs="Times New Roman"/>
                <w:kern w:val="0"/>
                <w:sz w:val="21"/>
                <w:szCs w:val="21"/>
              </w:rPr>
              <w:t>（5）</w:t>
            </w:r>
            <w:r>
              <w:rPr>
                <w:rFonts w:hint="eastAsia" w:ascii="仿宋" w:hAnsi="仿宋" w:eastAsia="仿宋" w:cs="Times New Roman"/>
                <w:kern w:val="0"/>
                <w:sz w:val="21"/>
                <w:szCs w:val="21"/>
                <w:lang w:val="en-US" w:eastAsia="zh-CN"/>
              </w:rPr>
              <w:t>待测应用程序编码规范，</w:t>
            </w:r>
            <w:r>
              <w:rPr>
                <w:rFonts w:ascii="仿宋" w:hAnsi="仿宋" w:eastAsia="仿宋" w:cs="Times New Roman"/>
                <w:kern w:val="0"/>
                <w:sz w:val="21"/>
                <w:szCs w:val="21"/>
              </w:rPr>
              <w:t>实验报告规范</w:t>
            </w:r>
            <w:r>
              <w:rPr>
                <w:rFonts w:hint="eastAsia" w:ascii="仿宋" w:hAnsi="仿宋" w:eastAsia="仿宋" w:cs="Times New Roman"/>
                <w:kern w:val="0"/>
                <w:sz w:val="21"/>
                <w:szCs w:val="21"/>
                <w:lang w:eastAsia="zh-CN"/>
              </w:rPr>
              <w:t>，</w:t>
            </w:r>
            <w:r>
              <w:rPr>
                <w:rFonts w:hint="eastAsia" w:ascii="仿宋" w:hAnsi="仿宋" w:eastAsia="仿宋" w:cs="Times New Roman"/>
                <w:kern w:val="0"/>
                <w:sz w:val="21"/>
                <w:szCs w:val="21"/>
                <w:lang w:val="en-US" w:eastAsia="zh-CN"/>
              </w:rPr>
              <w:t>不与他人雷同（待测程序占15%，实验报告占10%）</w:t>
            </w:r>
            <w:r>
              <w:rPr>
                <w:rFonts w:hint="eastAsia" w:ascii="仿宋" w:hAnsi="仿宋" w:eastAsia="仿宋" w:cs="Times New Roman"/>
                <w:kern w:val="0"/>
                <w:sz w:val="21"/>
                <w:szCs w:val="21"/>
              </w:rPr>
              <w:t>（</w:t>
            </w:r>
            <w:r>
              <w:rPr>
                <w:rFonts w:hint="eastAsia" w:ascii="仿宋" w:hAnsi="仿宋" w:eastAsia="仿宋" w:cs="Times New Roman"/>
                <w:kern w:val="0"/>
                <w:sz w:val="21"/>
                <w:szCs w:val="21"/>
                <w:lang w:val="en-US" w:eastAsia="zh-CN"/>
              </w:rPr>
              <w:t>25</w:t>
            </w:r>
            <w:r>
              <w:rPr>
                <w:rFonts w:hint="eastAsia" w:ascii="仿宋" w:hAnsi="仿宋" w:eastAsia="仿宋" w:cs="Times New Roman"/>
                <w:kern w:val="0"/>
                <w:sz w:val="21"/>
                <w:szCs w:val="21"/>
              </w:rPr>
              <w:t>%）</w:t>
            </w:r>
          </w:p>
        </w:tc>
        <w:tc>
          <w:tcPr>
            <w:tcW w:w="1043" w:type="dxa"/>
            <w:vAlign w:val="top"/>
          </w:tcPr>
          <w:p w14:paraId="3337387F">
            <w:pPr>
              <w:widowControl/>
              <w:jc w:val="left"/>
              <w:rPr>
                <w:rFonts w:ascii="仿宋" w:hAnsi="仿宋" w:eastAsia="仿宋" w:cs="Times New Roman"/>
                <w:color w:val="FF0000"/>
                <w:kern w:val="0"/>
                <w:sz w:val="21"/>
                <w:szCs w:val="21"/>
              </w:rPr>
            </w:pPr>
          </w:p>
        </w:tc>
      </w:tr>
    </w:tbl>
    <w:p w14:paraId="0C2B596D">
      <w:pPr>
        <w:spacing w:line="300" w:lineRule="auto"/>
        <w:rPr>
          <w:rFonts w:ascii="仿宋" w:hAnsi="仿宋" w:eastAsia="仿宋" w:cs="Times New Roman"/>
          <w:kern w:val="0"/>
          <w:sz w:val="21"/>
          <w:szCs w:val="21"/>
        </w:rPr>
      </w:pPr>
    </w:p>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A856B">
    <w:pPr>
      <w:pStyle w:val="4"/>
      <w:jc w:val="center"/>
      <w:rPr>
        <w:rFonts w:ascii="宋体"/>
        <w:sz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3EB6A"/>
  <w:p w14:paraId="0C8FC05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6AD9D6"/>
    <w:multiLevelType w:val="singleLevel"/>
    <w:tmpl w:val="546AD9D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docVars>
    <w:docVar w:name="commondata" w:val="eyJoZGlkIjoiNjg3NDVjNWEzZWM0Y2JiMmM1ZTEwMGIzNTUzN2RmN2QifQ=="/>
  </w:docVars>
  <w:rsids>
    <w:rsidRoot w:val="00652FF7"/>
    <w:rsid w:val="001B25B7"/>
    <w:rsid w:val="00210F7B"/>
    <w:rsid w:val="002E6DAA"/>
    <w:rsid w:val="00300C0D"/>
    <w:rsid w:val="0031225C"/>
    <w:rsid w:val="003939A9"/>
    <w:rsid w:val="0056650E"/>
    <w:rsid w:val="00652FF7"/>
    <w:rsid w:val="007B59F3"/>
    <w:rsid w:val="007E21F6"/>
    <w:rsid w:val="008A3B9A"/>
    <w:rsid w:val="008E5344"/>
    <w:rsid w:val="00956CF2"/>
    <w:rsid w:val="00AE7B1B"/>
    <w:rsid w:val="00C70D3A"/>
    <w:rsid w:val="00D02F64"/>
    <w:rsid w:val="00DF2C02"/>
    <w:rsid w:val="00E911C2"/>
    <w:rsid w:val="00F95DEC"/>
    <w:rsid w:val="02595FE8"/>
    <w:rsid w:val="08486F06"/>
    <w:rsid w:val="084E54E9"/>
    <w:rsid w:val="08E45BFD"/>
    <w:rsid w:val="0B405FB8"/>
    <w:rsid w:val="15421BAB"/>
    <w:rsid w:val="16BF156F"/>
    <w:rsid w:val="19790855"/>
    <w:rsid w:val="1BCC26D6"/>
    <w:rsid w:val="22FF2533"/>
    <w:rsid w:val="232075EF"/>
    <w:rsid w:val="24762F77"/>
    <w:rsid w:val="255C720B"/>
    <w:rsid w:val="2A907518"/>
    <w:rsid w:val="2AAE6793"/>
    <w:rsid w:val="2CB71167"/>
    <w:rsid w:val="351F3B55"/>
    <w:rsid w:val="356F2685"/>
    <w:rsid w:val="3A2556F1"/>
    <w:rsid w:val="3D604BBE"/>
    <w:rsid w:val="3E9B4381"/>
    <w:rsid w:val="42974193"/>
    <w:rsid w:val="48B260D1"/>
    <w:rsid w:val="4D66378A"/>
    <w:rsid w:val="4DA22A3C"/>
    <w:rsid w:val="4FBA0AF0"/>
    <w:rsid w:val="560A26E6"/>
    <w:rsid w:val="568276BE"/>
    <w:rsid w:val="57990C47"/>
    <w:rsid w:val="58140590"/>
    <w:rsid w:val="588E49D7"/>
    <w:rsid w:val="59735295"/>
    <w:rsid w:val="5B4742E6"/>
    <w:rsid w:val="5D4A2114"/>
    <w:rsid w:val="61255936"/>
    <w:rsid w:val="61556515"/>
    <w:rsid w:val="61C86CA4"/>
    <w:rsid w:val="66747FEB"/>
    <w:rsid w:val="682F6BB4"/>
    <w:rsid w:val="68F4269F"/>
    <w:rsid w:val="69E53B73"/>
    <w:rsid w:val="6C003240"/>
    <w:rsid w:val="6E3458D4"/>
    <w:rsid w:val="6FEC4BF8"/>
    <w:rsid w:val="734D285B"/>
    <w:rsid w:val="73ED2A40"/>
    <w:rsid w:val="74822F34"/>
    <w:rsid w:val="75D160D9"/>
    <w:rsid w:val="78880288"/>
    <w:rsid w:val="795647D0"/>
    <w:rsid w:val="7B710CF0"/>
    <w:rsid w:val="7CE66AE2"/>
    <w:rsid w:val="7DA62156"/>
    <w:rsid w:val="7FE909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4"/>
    <w:unhideWhenUsed/>
    <w:qFormat/>
    <w:uiPriority w:val="9"/>
    <w:pPr>
      <w:keepNext/>
      <w:keepLines/>
      <w:spacing w:before="260" w:after="260" w:line="416" w:lineRule="auto"/>
      <w:outlineLvl w:val="2"/>
    </w:pPr>
    <w:rPr>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2"/>
    <w:autoRedefine/>
    <w:unhideWhenUsed/>
    <w:qFormat/>
    <w:uiPriority w:val="99"/>
    <w:rPr>
      <w:sz w:val="18"/>
      <w:szCs w:val="18"/>
    </w:rPr>
  </w:style>
  <w:style w:type="paragraph" w:styleId="4">
    <w:name w:val="footer"/>
    <w:basedOn w:val="1"/>
    <w:link w:val="11"/>
    <w:autoRedefine/>
    <w:qFormat/>
    <w:uiPriority w:val="0"/>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autoRedefine/>
    <w:unhideWhenUsed/>
    <w:qFormat/>
    <w:uiPriority w:val="0"/>
  </w:style>
  <w:style w:type="paragraph" w:customStyle="1" w:styleId="10">
    <w:name w:val="List Paragraph"/>
    <w:basedOn w:val="1"/>
    <w:autoRedefine/>
    <w:qFormat/>
    <w:uiPriority w:val="34"/>
    <w:pPr>
      <w:ind w:firstLine="420" w:firstLineChars="200"/>
    </w:pPr>
  </w:style>
  <w:style w:type="character" w:customStyle="1" w:styleId="11">
    <w:name w:val="页脚 Char"/>
    <w:basedOn w:val="8"/>
    <w:link w:val="4"/>
    <w:autoRedefine/>
    <w:qFormat/>
    <w:uiPriority w:val="0"/>
    <w:rPr>
      <w:rFonts w:ascii="Times New Roman" w:hAnsi="Times New Roman" w:eastAsia="宋体" w:cs="Times New Roman"/>
      <w:sz w:val="18"/>
      <w:szCs w:val="18"/>
    </w:rPr>
  </w:style>
  <w:style w:type="character" w:customStyle="1" w:styleId="12">
    <w:name w:val="批注框文本 Char"/>
    <w:basedOn w:val="8"/>
    <w:link w:val="3"/>
    <w:autoRedefine/>
    <w:semiHidden/>
    <w:qFormat/>
    <w:uiPriority w:val="99"/>
    <w:rPr>
      <w:rFonts w:ascii="Times New Roman" w:hAnsi="Times New Roman" w:eastAsia="宋体" w:cs="Times New Roman"/>
      <w:sz w:val="18"/>
      <w:szCs w:val="18"/>
    </w:rPr>
  </w:style>
  <w:style w:type="character" w:customStyle="1" w:styleId="13">
    <w:name w:val="页眉 Char"/>
    <w:basedOn w:val="8"/>
    <w:link w:val="5"/>
    <w:autoRedefine/>
    <w:qFormat/>
    <w:uiPriority w:val="99"/>
    <w:rPr>
      <w:rFonts w:ascii="Times New Roman" w:hAnsi="Times New Roman" w:eastAsia="宋体" w:cs="Times New Roman"/>
      <w:sz w:val="18"/>
      <w:szCs w:val="18"/>
    </w:rPr>
  </w:style>
  <w:style w:type="character" w:customStyle="1" w:styleId="14">
    <w:name w:val="标题 3 Char"/>
    <w:basedOn w:val="8"/>
    <w:link w:val="2"/>
    <w:autoRedefine/>
    <w:semiHidden/>
    <w:qFormat/>
    <w:uiPriority w:val="9"/>
    <w:rPr>
      <w:rFonts w:ascii="Times New Roman" w:hAnsi="Times New Roman" w:eastAsia="宋体" w:cs="Times New Roman"/>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1615</Words>
  <Characters>1785</Characters>
  <Lines>5</Lines>
  <Paragraphs>1</Paragraphs>
  <TotalTime>11</TotalTime>
  <ScaleCrop>false</ScaleCrop>
  <LinksUpToDate>false</LinksUpToDate>
  <CharactersWithSpaces>1837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2014-10-14T06:41:00Z</dcterms:created>
  <dc:creator>微软用户</dc:creator>
  <cp:lastModifiedBy>wcn</cp:lastModifiedBy>
  <dcterms:modified xsi:type="dcterms:W3CDTF">2026-04-27T06:23:27Z</dcterms:modified>
  <dc:title>课程编号：B0801*****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6C06F3B507274B3F9E2A17E89AD3639A</vt:lpwstr>
  </property>
  <property fmtid="{D5CDD505-2E9C-101B-9397-08002B2CF9AE}" pid="4" name="KSOTemplateDocerSaveRecord">
    <vt:lpwstr>eyJoZGlkIjoiZWRlM2NhNTQxMGI3MTE1Mzg2NGRkNzBmNmQxNjdjNDciLCJ1c2VySWQiOiI4NzkxOTE3MzYifQ==</vt:lpwstr>
  </property>
</Properties>
</file>