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23E97">
      <w:pPr>
        <w:rPr>
          <w:rFonts w:hint="default" w:ascii="仿宋_GB2312" w:eastAsia="仿宋_GB2312"/>
          <w:b/>
          <w:sz w:val="28"/>
          <w:szCs w:val="28"/>
          <w:lang w:val="en-US" w:eastAsia="zh-CN"/>
        </w:rPr>
      </w:pPr>
      <w:r>
        <w:rPr>
          <w:rFonts w:hint="eastAsia" w:ascii="仿宋_GB2312" w:eastAsia="仿宋_GB2312"/>
          <w:b/>
          <w:sz w:val="28"/>
          <w:szCs w:val="28"/>
        </w:rPr>
        <w:t>课程编号：</w:t>
      </w:r>
      <w:r>
        <w:rPr>
          <w:rFonts w:hint="eastAsia" w:ascii="仿宋_GB2312" w:eastAsia="仿宋_GB2312"/>
          <w:b/>
          <w:sz w:val="28"/>
          <w:szCs w:val="28"/>
          <w:lang w:val="en-US" w:eastAsia="zh-CN"/>
        </w:rPr>
        <w:t>A0801050230</w:t>
      </w:r>
    </w:p>
    <w:p w14:paraId="4315A665">
      <w:pPr>
        <w:rPr>
          <w:rFonts w:ascii="仿宋_GB2312" w:eastAsia="仿宋_GB2312"/>
          <w:b/>
          <w:sz w:val="72"/>
          <w:szCs w:val="72"/>
        </w:rPr>
      </w:pPr>
    </w:p>
    <w:p w14:paraId="31BCF434">
      <w:pPr>
        <w:jc w:val="center"/>
        <w:rPr>
          <w:rFonts w:hint="default" w:ascii="仿宋_GB2312" w:eastAsia="仿宋_GB2312"/>
          <w:b/>
          <w:sz w:val="72"/>
          <w:szCs w:val="72"/>
          <w:lang w:val="en-US" w:eastAsia="zh-CN"/>
        </w:rPr>
      </w:pPr>
      <w:r>
        <w:rPr>
          <w:rFonts w:hint="eastAsia" w:ascii="仿宋_GB2312" w:eastAsia="仿宋_GB2312"/>
          <w:b/>
          <w:sz w:val="72"/>
          <w:szCs w:val="72"/>
          <w:lang w:val="en-US" w:eastAsia="zh-CN"/>
        </w:rPr>
        <w:t>软件质量保证与测试</w:t>
      </w:r>
    </w:p>
    <w:p w14:paraId="106178A2">
      <w:pPr>
        <w:jc w:val="center"/>
        <w:rPr>
          <w:rFonts w:ascii="仿宋_GB2312" w:eastAsia="仿宋_GB2312"/>
          <w:b/>
          <w:sz w:val="72"/>
          <w:szCs w:val="72"/>
        </w:rPr>
      </w:pPr>
      <w:r>
        <w:rPr>
          <w:rFonts w:hint="eastAsia" w:ascii="仿宋_GB2312" w:eastAsia="仿宋_GB2312"/>
          <w:b/>
          <w:sz w:val="72"/>
          <w:szCs w:val="72"/>
        </w:rPr>
        <w:t>实验报告</w:t>
      </w:r>
    </w:p>
    <w:p w14:paraId="2D15AE3B">
      <w:pPr>
        <w:jc w:val="center"/>
        <w:rPr>
          <w:rFonts w:ascii="仿宋_GB2312" w:eastAsia="仿宋_GB2312"/>
          <w:b/>
          <w:sz w:val="52"/>
          <w:szCs w:val="52"/>
        </w:rPr>
      </w:pPr>
    </w:p>
    <w:p w14:paraId="1D5D920D">
      <w:pPr>
        <w:jc w:val="center"/>
        <w:rPr>
          <w:rFonts w:ascii="宋体" w:hAnsi="宋体"/>
          <w:sz w:val="28"/>
          <w:szCs w:val="28"/>
        </w:rPr>
      </w:pPr>
      <w:r>
        <w:rPr>
          <w:rFonts w:ascii="宋体" w:hAnsi="宋体" w:eastAsia="宋体" w:cs="Times New Roman"/>
          <w:kern w:val="2"/>
          <w:sz w:val="28"/>
          <w:szCs w:val="28"/>
          <w:lang w:val="en-US" w:eastAsia="zh-CN" w:bidi="ar-SA"/>
        </w:rPr>
        <w:pict>
          <v:shape id="_x0000_i1025" o:spt="75" type="#_x0000_t75" style="height:123.25pt;width:123.25pt;" fillcolor="#FFFFFF" filled="f" o:preferrelative="t" stroked="f" coordsize="21600,21600">
            <v:path/>
            <v:fill on="f" color2="#FFFFFF" focussize="0,0"/>
            <v:stroke on="f"/>
            <v:imagedata r:id="rId6" gain="65536f" blacklevel="0f" gamma="0" o:title=""/>
            <o:lock v:ext="edit" position="f" selection="f" grouping="f" rotation="f" cropping="f" text="f" aspectratio="t"/>
            <w10:wrap type="none"/>
            <w10:anchorlock/>
          </v:shape>
        </w:pict>
      </w:r>
    </w:p>
    <w:p w14:paraId="6594DC05">
      <w:pPr>
        <w:rPr>
          <w:rFonts w:ascii="仿宋_GB2312" w:eastAsia="仿宋_GB2312"/>
        </w:rPr>
      </w:pPr>
    </w:p>
    <w:p w14:paraId="0E331C78">
      <w:pPr>
        <w:rPr>
          <w:rFonts w:ascii="仿宋_GB2312" w:eastAsia="仿宋_GB2312"/>
        </w:rPr>
      </w:pPr>
    </w:p>
    <w:p w14:paraId="616CE785">
      <w:pPr>
        <w:rPr>
          <w:rFonts w:hint="eastAsia" w:ascii="仿宋_GB2312" w:eastAsia="仿宋_GB2312"/>
        </w:rPr>
      </w:pPr>
    </w:p>
    <w:p w14:paraId="4FDB8FA5">
      <w:pPr>
        <w:rPr>
          <w:rFonts w:hint="eastAsia" w:ascii="仿宋_GB2312" w:eastAsia="仿宋_GB2312"/>
        </w:rPr>
      </w:pPr>
    </w:p>
    <w:p w14:paraId="44151736">
      <w:pPr>
        <w:rPr>
          <w:rFonts w:ascii="仿宋_GB2312" w:eastAsia="仿宋_GB2312"/>
        </w:rPr>
      </w:pPr>
    </w:p>
    <w:p w14:paraId="3FCF7C00">
      <w:pPr>
        <w:rPr>
          <w:rFonts w:ascii="仿宋_GB2312" w:eastAsia="仿宋_GB2312"/>
        </w:rPr>
      </w:pPr>
    </w:p>
    <w:tbl>
      <w:tblPr>
        <w:tblStyle w:val="6"/>
        <w:tblW w:w="7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1"/>
        <w:gridCol w:w="1594"/>
        <w:gridCol w:w="56"/>
        <w:gridCol w:w="2145"/>
        <w:gridCol w:w="2183"/>
      </w:tblGrid>
      <w:tr w14:paraId="2F36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961" w:type="dxa"/>
            <w:vAlign w:val="center"/>
          </w:tcPr>
          <w:p w14:paraId="55F4A09F">
            <w:pPr>
              <w:jc w:val="distribute"/>
              <w:rPr>
                <w:rFonts w:ascii="仿宋" w:hAnsi="仿宋" w:eastAsia="仿宋"/>
                <w:b/>
                <w:sz w:val="24"/>
              </w:rPr>
            </w:pPr>
            <w:r>
              <w:rPr>
                <w:rFonts w:hint="eastAsia" w:ascii="仿宋" w:hAnsi="仿宋" w:eastAsia="仿宋"/>
                <w:b/>
                <w:sz w:val="24"/>
                <w:lang w:val="en-US" w:eastAsia="zh-CN"/>
              </w:rPr>
              <w:t>组长</w:t>
            </w:r>
            <w:r>
              <w:rPr>
                <w:rFonts w:hint="eastAsia" w:ascii="仿宋" w:hAnsi="仿宋" w:eastAsia="仿宋"/>
                <w:b/>
                <w:sz w:val="24"/>
              </w:rPr>
              <w:t>姓名</w:t>
            </w:r>
          </w:p>
        </w:tc>
        <w:tc>
          <w:tcPr>
            <w:tcW w:w="1594" w:type="dxa"/>
            <w:vAlign w:val="center"/>
          </w:tcPr>
          <w:p w14:paraId="16C623B4">
            <w:pPr>
              <w:jc w:val="center"/>
              <w:rPr>
                <w:rFonts w:ascii="仿宋" w:hAnsi="仿宋" w:eastAsia="仿宋"/>
                <w:b/>
                <w:sz w:val="24"/>
              </w:rPr>
            </w:pPr>
          </w:p>
        </w:tc>
        <w:tc>
          <w:tcPr>
            <w:tcW w:w="2201" w:type="dxa"/>
            <w:gridSpan w:val="2"/>
            <w:vAlign w:val="center"/>
          </w:tcPr>
          <w:p w14:paraId="30F7BF70">
            <w:pPr>
              <w:jc w:val="right"/>
              <w:rPr>
                <w:rFonts w:ascii="仿宋" w:hAnsi="仿宋" w:eastAsia="仿宋"/>
                <w:b/>
                <w:sz w:val="24"/>
              </w:rPr>
            </w:pPr>
            <w:r>
              <w:rPr>
                <w:rFonts w:hint="eastAsia" w:ascii="仿宋" w:hAnsi="仿宋" w:eastAsia="仿宋"/>
                <w:b/>
                <w:spacing w:val="38"/>
                <w:kern w:val="0"/>
                <w:sz w:val="24"/>
                <w:fitText w:val="1928" w:id="1634494166"/>
              </w:rPr>
              <w:t xml:space="preserve">学       </w:t>
            </w:r>
            <w:r>
              <w:rPr>
                <w:rFonts w:hint="eastAsia" w:ascii="仿宋" w:hAnsi="仿宋" w:eastAsia="仿宋"/>
                <w:b/>
                <w:spacing w:val="0"/>
                <w:kern w:val="0"/>
                <w:sz w:val="24"/>
                <w:fitText w:val="1928" w:id="1634494166"/>
              </w:rPr>
              <w:t>号</w:t>
            </w:r>
          </w:p>
        </w:tc>
        <w:tc>
          <w:tcPr>
            <w:tcW w:w="2183" w:type="dxa"/>
            <w:vAlign w:val="center"/>
          </w:tcPr>
          <w:p w14:paraId="2746DE46">
            <w:pPr>
              <w:jc w:val="center"/>
              <w:rPr>
                <w:rFonts w:ascii="仿宋" w:hAnsi="仿宋" w:eastAsia="仿宋"/>
                <w:b/>
                <w:sz w:val="24"/>
              </w:rPr>
            </w:pPr>
          </w:p>
        </w:tc>
      </w:tr>
      <w:tr w14:paraId="3AE85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961" w:type="dxa"/>
            <w:vAlign w:val="center"/>
          </w:tcPr>
          <w:p w14:paraId="095295C8">
            <w:pPr>
              <w:wordWrap w:val="0"/>
              <w:jc w:val="distribute"/>
              <w:rPr>
                <w:rFonts w:ascii="仿宋" w:hAnsi="仿宋" w:eastAsia="仿宋"/>
                <w:b/>
                <w:sz w:val="24"/>
              </w:rPr>
            </w:pPr>
            <w:r>
              <w:rPr>
                <w:rFonts w:hint="eastAsia" w:ascii="仿宋" w:hAnsi="仿宋" w:eastAsia="仿宋"/>
                <w:b/>
                <w:sz w:val="24"/>
              </w:rPr>
              <w:t>班        级</w:t>
            </w:r>
          </w:p>
        </w:tc>
        <w:tc>
          <w:tcPr>
            <w:tcW w:w="1594" w:type="dxa"/>
            <w:vAlign w:val="center"/>
          </w:tcPr>
          <w:p w14:paraId="7A21E141">
            <w:pPr>
              <w:jc w:val="center"/>
              <w:rPr>
                <w:rFonts w:ascii="仿宋" w:hAnsi="仿宋" w:eastAsia="仿宋"/>
                <w:b/>
                <w:sz w:val="24"/>
              </w:rPr>
            </w:pPr>
          </w:p>
        </w:tc>
        <w:tc>
          <w:tcPr>
            <w:tcW w:w="2201" w:type="dxa"/>
            <w:gridSpan w:val="2"/>
            <w:vAlign w:val="center"/>
          </w:tcPr>
          <w:p w14:paraId="4139FC7F">
            <w:pPr>
              <w:jc w:val="right"/>
              <w:rPr>
                <w:rFonts w:ascii="仿宋" w:hAnsi="仿宋" w:eastAsia="仿宋"/>
                <w:b/>
                <w:sz w:val="24"/>
              </w:rPr>
            </w:pPr>
            <w:r>
              <w:rPr>
                <w:rFonts w:hint="eastAsia" w:ascii="仿宋" w:hAnsi="仿宋" w:eastAsia="仿宋"/>
                <w:b/>
                <w:spacing w:val="50"/>
                <w:kern w:val="0"/>
                <w:sz w:val="24"/>
                <w:fitText w:val="1928" w:id="1"/>
              </w:rPr>
              <w:t xml:space="preserve">指 导 教 </w:t>
            </w:r>
            <w:r>
              <w:rPr>
                <w:rFonts w:hint="eastAsia" w:ascii="仿宋" w:hAnsi="仿宋" w:eastAsia="仿宋"/>
                <w:b/>
                <w:spacing w:val="4"/>
                <w:kern w:val="0"/>
                <w:sz w:val="24"/>
                <w:fitText w:val="1928" w:id="1"/>
              </w:rPr>
              <w:t>师</w:t>
            </w:r>
          </w:p>
        </w:tc>
        <w:tc>
          <w:tcPr>
            <w:tcW w:w="2183" w:type="dxa"/>
            <w:vAlign w:val="center"/>
          </w:tcPr>
          <w:p w14:paraId="39761296">
            <w:pPr>
              <w:jc w:val="center"/>
              <w:rPr>
                <w:rFonts w:hint="eastAsia" w:ascii="仿宋" w:hAnsi="仿宋" w:eastAsia="仿宋"/>
                <w:b/>
                <w:sz w:val="24"/>
                <w:lang w:eastAsia="zh-CN"/>
              </w:rPr>
            </w:pPr>
            <w:r>
              <w:rPr>
                <w:rFonts w:hint="eastAsia" w:ascii="仿宋" w:hAnsi="仿宋" w:eastAsia="仿宋"/>
                <w:b/>
                <w:sz w:val="24"/>
                <w:lang w:eastAsia="zh-CN"/>
              </w:rPr>
              <w:t>吴辰铌</w:t>
            </w:r>
          </w:p>
        </w:tc>
      </w:tr>
      <w:tr w14:paraId="4073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61" w:type="dxa"/>
            <w:vAlign w:val="center"/>
          </w:tcPr>
          <w:p w14:paraId="15BFB9DA">
            <w:pPr>
              <w:jc w:val="distribute"/>
              <w:rPr>
                <w:rFonts w:ascii="仿宋" w:hAnsi="仿宋" w:eastAsia="仿宋"/>
                <w:b/>
                <w:sz w:val="24"/>
              </w:rPr>
            </w:pPr>
            <w:r>
              <w:rPr>
                <w:rFonts w:hint="eastAsia" w:ascii="仿宋" w:hAnsi="仿宋" w:eastAsia="仿宋"/>
                <w:b/>
                <w:sz w:val="24"/>
              </w:rPr>
              <w:t>开 设  学 期</w:t>
            </w:r>
          </w:p>
        </w:tc>
        <w:tc>
          <w:tcPr>
            <w:tcW w:w="5978" w:type="dxa"/>
            <w:gridSpan w:val="4"/>
            <w:vAlign w:val="center"/>
          </w:tcPr>
          <w:p w14:paraId="6315417F">
            <w:pPr>
              <w:jc w:val="center"/>
              <w:rPr>
                <w:rFonts w:ascii="仿宋" w:hAnsi="仿宋" w:eastAsia="仿宋"/>
                <w:b/>
                <w:sz w:val="24"/>
              </w:rPr>
            </w:pPr>
            <w:r>
              <w:rPr>
                <w:rFonts w:hint="eastAsia" w:ascii="仿宋" w:hAnsi="仿宋" w:eastAsia="仿宋"/>
                <w:b/>
                <w:spacing w:val="43"/>
                <w:kern w:val="0"/>
                <w:sz w:val="24"/>
                <w:fitText w:val="2892" w:id="2"/>
              </w:rPr>
              <w:t>20</w:t>
            </w:r>
            <w:r>
              <w:rPr>
                <w:rFonts w:hint="eastAsia" w:ascii="仿宋" w:hAnsi="仿宋" w:eastAsia="仿宋"/>
                <w:b/>
                <w:spacing w:val="43"/>
                <w:kern w:val="0"/>
                <w:sz w:val="24"/>
                <w:fitText w:val="2892" w:id="2"/>
                <w:lang w:val="en-US" w:eastAsia="zh-CN"/>
              </w:rPr>
              <w:t>25</w:t>
            </w:r>
            <w:r>
              <w:rPr>
                <w:rFonts w:hint="eastAsia" w:ascii="仿宋" w:hAnsi="仿宋" w:eastAsia="仿宋"/>
                <w:b/>
                <w:spacing w:val="43"/>
                <w:kern w:val="0"/>
                <w:sz w:val="24"/>
                <w:fitText w:val="2892" w:id="2"/>
              </w:rPr>
              <w:t>-20</w:t>
            </w:r>
            <w:r>
              <w:rPr>
                <w:rFonts w:hint="eastAsia" w:ascii="仿宋" w:hAnsi="仿宋" w:eastAsia="仿宋"/>
                <w:b/>
                <w:spacing w:val="43"/>
                <w:kern w:val="0"/>
                <w:sz w:val="24"/>
                <w:fitText w:val="2892" w:id="2"/>
                <w:lang w:val="en-US" w:eastAsia="zh-CN"/>
              </w:rPr>
              <w:t>2</w:t>
            </w:r>
            <w:r>
              <w:rPr>
                <w:rFonts w:hint="eastAsia" w:ascii="仿宋" w:hAnsi="仿宋" w:eastAsia="仿宋"/>
                <w:b/>
                <w:spacing w:val="43"/>
                <w:kern w:val="0"/>
                <w:sz w:val="24"/>
                <w:fitText w:val="2892" w:id="2"/>
                <w:lang w:val="en-US" w:eastAsia="zh-CN"/>
              </w:rPr>
              <w:t>6 春</w:t>
            </w:r>
            <w:r>
              <w:rPr>
                <w:rFonts w:hint="eastAsia" w:ascii="仿宋" w:hAnsi="仿宋" w:eastAsia="仿宋"/>
                <w:b/>
                <w:spacing w:val="43"/>
                <w:kern w:val="0"/>
                <w:sz w:val="24"/>
                <w:fitText w:val="2892" w:id="2"/>
                <w:lang w:eastAsia="zh-CN"/>
              </w:rPr>
              <w:t>季</w:t>
            </w:r>
            <w:r>
              <w:rPr>
                <w:rFonts w:hint="eastAsia" w:ascii="仿宋" w:hAnsi="仿宋" w:eastAsia="仿宋"/>
                <w:b/>
                <w:spacing w:val="43"/>
                <w:kern w:val="0"/>
                <w:sz w:val="24"/>
                <w:fitText w:val="2892" w:id="2"/>
              </w:rPr>
              <w:t>学</w:t>
            </w:r>
            <w:r>
              <w:rPr>
                <w:rFonts w:hint="eastAsia" w:ascii="仿宋" w:hAnsi="仿宋" w:eastAsia="仿宋"/>
                <w:b/>
                <w:spacing w:val="0"/>
                <w:kern w:val="0"/>
                <w:sz w:val="24"/>
                <w:fitText w:val="2892" w:id="2"/>
              </w:rPr>
              <w:t>期</w:t>
            </w:r>
          </w:p>
        </w:tc>
      </w:tr>
      <w:tr w14:paraId="1DDBF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961" w:type="dxa"/>
            <w:vAlign w:val="center"/>
          </w:tcPr>
          <w:p w14:paraId="7EF6CA51">
            <w:pPr>
              <w:jc w:val="distribute"/>
              <w:rPr>
                <w:rFonts w:ascii="仿宋" w:hAnsi="仿宋" w:eastAsia="仿宋"/>
                <w:b/>
                <w:sz w:val="24"/>
              </w:rPr>
            </w:pPr>
            <w:r>
              <w:rPr>
                <w:rFonts w:hint="eastAsia" w:ascii="仿宋" w:hAnsi="仿宋" w:eastAsia="仿宋"/>
                <w:b/>
                <w:sz w:val="24"/>
              </w:rPr>
              <w:t>开 设  时 间</w:t>
            </w:r>
          </w:p>
        </w:tc>
        <w:tc>
          <w:tcPr>
            <w:tcW w:w="5978" w:type="dxa"/>
            <w:gridSpan w:val="4"/>
            <w:vAlign w:val="center"/>
          </w:tcPr>
          <w:p w14:paraId="2DC255A6">
            <w:pPr>
              <w:jc w:val="center"/>
              <w:rPr>
                <w:rFonts w:ascii="仿宋" w:hAnsi="仿宋" w:eastAsia="仿宋"/>
                <w:b/>
                <w:sz w:val="24"/>
              </w:rPr>
            </w:pPr>
            <w:r>
              <w:rPr>
                <w:rFonts w:hint="eastAsia" w:ascii="仿宋" w:hAnsi="仿宋" w:eastAsia="仿宋"/>
                <w:b/>
                <w:spacing w:val="45"/>
                <w:kern w:val="0"/>
                <w:sz w:val="24"/>
                <w:fitText w:val="2892" w:id="3"/>
              </w:rPr>
              <w:t>第</w:t>
            </w:r>
            <w:r>
              <w:rPr>
                <w:rFonts w:hint="eastAsia" w:ascii="仿宋" w:hAnsi="仿宋" w:eastAsia="仿宋"/>
                <w:b/>
                <w:spacing w:val="45"/>
                <w:kern w:val="0"/>
                <w:sz w:val="24"/>
                <w:fitText w:val="2892" w:id="3"/>
                <w:lang w:val="en-US" w:eastAsia="zh-CN"/>
              </w:rPr>
              <w:t>15</w:t>
            </w:r>
            <w:r>
              <w:rPr>
                <w:rFonts w:hint="eastAsia" w:ascii="仿宋" w:hAnsi="仿宋" w:eastAsia="仿宋"/>
                <w:b/>
                <w:spacing w:val="45"/>
                <w:kern w:val="0"/>
                <w:sz w:val="24"/>
                <w:fitText w:val="2892" w:id="3"/>
              </w:rPr>
              <w:t>周——第</w:t>
            </w:r>
            <w:r>
              <w:rPr>
                <w:rFonts w:hint="eastAsia" w:ascii="仿宋" w:hAnsi="仿宋" w:eastAsia="仿宋"/>
                <w:b/>
                <w:spacing w:val="45"/>
                <w:kern w:val="0"/>
                <w:sz w:val="24"/>
                <w:fitText w:val="2892" w:id="3"/>
                <w:lang w:val="en-US" w:eastAsia="zh-CN"/>
              </w:rPr>
              <w:t>1</w:t>
            </w:r>
            <w:r>
              <w:rPr>
                <w:rFonts w:hint="eastAsia" w:ascii="仿宋" w:hAnsi="仿宋" w:eastAsia="仿宋"/>
                <w:b/>
                <w:spacing w:val="45"/>
                <w:kern w:val="0"/>
                <w:sz w:val="24"/>
                <w:fitText w:val="2892" w:id="3"/>
                <w:lang w:val="en-US" w:eastAsia="zh-CN"/>
              </w:rPr>
              <w:t>6</w:t>
            </w:r>
            <w:r>
              <w:rPr>
                <w:rFonts w:hint="eastAsia" w:ascii="仿宋" w:hAnsi="仿宋" w:eastAsia="仿宋"/>
                <w:b/>
                <w:spacing w:val="6"/>
                <w:kern w:val="0"/>
                <w:sz w:val="24"/>
                <w:fitText w:val="2892" w:id="3"/>
              </w:rPr>
              <w:t>周</w:t>
            </w:r>
          </w:p>
        </w:tc>
      </w:tr>
      <w:tr w14:paraId="413F6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61" w:type="dxa"/>
            <w:vAlign w:val="center"/>
          </w:tcPr>
          <w:p w14:paraId="31E031CC">
            <w:pPr>
              <w:wordWrap w:val="0"/>
              <w:jc w:val="distribute"/>
              <w:rPr>
                <w:rFonts w:ascii="仿宋" w:hAnsi="仿宋" w:eastAsia="仿宋"/>
                <w:b/>
                <w:sz w:val="24"/>
              </w:rPr>
            </w:pPr>
            <w:r>
              <w:rPr>
                <w:rFonts w:hint="eastAsia" w:ascii="仿宋" w:hAnsi="仿宋" w:eastAsia="仿宋"/>
                <w:b/>
                <w:sz w:val="24"/>
              </w:rPr>
              <w:t>报告日期</w:t>
            </w:r>
          </w:p>
        </w:tc>
        <w:tc>
          <w:tcPr>
            <w:tcW w:w="5978" w:type="dxa"/>
            <w:gridSpan w:val="4"/>
            <w:vAlign w:val="center"/>
          </w:tcPr>
          <w:p w14:paraId="1611CF46">
            <w:pPr>
              <w:jc w:val="center"/>
              <w:rPr>
                <w:rFonts w:ascii="仿宋" w:hAnsi="仿宋" w:eastAsia="仿宋"/>
                <w:b/>
                <w:sz w:val="24"/>
              </w:rPr>
            </w:pPr>
          </w:p>
        </w:tc>
      </w:tr>
      <w:tr w14:paraId="6FFA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jc w:val="center"/>
        </w:trPr>
        <w:tc>
          <w:tcPr>
            <w:tcW w:w="1961" w:type="dxa"/>
            <w:vMerge w:val="restart"/>
            <w:vAlign w:val="center"/>
          </w:tcPr>
          <w:p w14:paraId="76DD1B5D">
            <w:pPr>
              <w:jc w:val="distribute"/>
              <w:rPr>
                <w:rFonts w:ascii="仿宋" w:hAnsi="仿宋" w:eastAsia="仿宋"/>
                <w:b/>
                <w:sz w:val="24"/>
              </w:rPr>
            </w:pPr>
            <w:r>
              <w:rPr>
                <w:rFonts w:hint="eastAsia" w:ascii="仿宋" w:hAnsi="仿宋" w:eastAsia="仿宋"/>
                <w:b/>
                <w:sz w:val="24"/>
              </w:rPr>
              <w:t>评 定  成 绩</w:t>
            </w:r>
          </w:p>
        </w:tc>
        <w:tc>
          <w:tcPr>
            <w:tcW w:w="1650" w:type="dxa"/>
            <w:gridSpan w:val="2"/>
            <w:vMerge w:val="restart"/>
            <w:vAlign w:val="center"/>
          </w:tcPr>
          <w:p w14:paraId="0B0F1147">
            <w:pPr>
              <w:jc w:val="center"/>
              <w:rPr>
                <w:rFonts w:ascii="仿宋" w:hAnsi="仿宋" w:eastAsia="仿宋"/>
                <w:b/>
                <w:color w:val="FF0000"/>
                <w:sz w:val="24"/>
              </w:rPr>
            </w:pPr>
          </w:p>
        </w:tc>
        <w:tc>
          <w:tcPr>
            <w:tcW w:w="2145" w:type="dxa"/>
            <w:vAlign w:val="center"/>
          </w:tcPr>
          <w:p w14:paraId="7B9828DA">
            <w:pPr>
              <w:jc w:val="right"/>
              <w:rPr>
                <w:rFonts w:ascii="仿宋" w:hAnsi="仿宋" w:eastAsia="仿宋"/>
                <w:b/>
                <w:sz w:val="24"/>
              </w:rPr>
            </w:pPr>
            <w:r>
              <w:rPr>
                <w:rFonts w:hint="eastAsia" w:ascii="仿宋" w:hAnsi="仿宋" w:eastAsia="仿宋"/>
                <w:b/>
                <w:spacing w:val="302"/>
                <w:kern w:val="0"/>
                <w:sz w:val="24"/>
                <w:fitText w:val="1928" w:id="4"/>
              </w:rPr>
              <w:t>评定</w:t>
            </w:r>
            <w:r>
              <w:rPr>
                <w:rFonts w:hint="eastAsia" w:ascii="仿宋" w:hAnsi="仿宋" w:eastAsia="仿宋"/>
                <w:b/>
                <w:spacing w:val="0"/>
                <w:kern w:val="0"/>
                <w:sz w:val="24"/>
                <w:fitText w:val="1928" w:id="4"/>
              </w:rPr>
              <w:t>人</w:t>
            </w:r>
          </w:p>
        </w:tc>
        <w:tc>
          <w:tcPr>
            <w:tcW w:w="2183" w:type="dxa"/>
            <w:vAlign w:val="center"/>
          </w:tcPr>
          <w:p w14:paraId="6C5DDFCA">
            <w:pPr>
              <w:jc w:val="center"/>
              <w:rPr>
                <w:rFonts w:hint="eastAsia" w:ascii="仿宋" w:hAnsi="仿宋" w:eastAsia="仿宋"/>
                <w:b/>
                <w:color w:val="FF0000"/>
                <w:sz w:val="24"/>
                <w:lang w:val="en-US" w:eastAsia="zh-CN"/>
              </w:rPr>
            </w:pPr>
            <w:r>
              <w:rPr>
                <w:rFonts w:hint="eastAsia" w:ascii="仿宋" w:hAnsi="仿宋" w:eastAsia="仿宋"/>
                <w:b/>
                <w:color w:val="FF0000"/>
                <w:sz w:val="24"/>
                <w:lang w:val="en-US" w:eastAsia="zh-CN"/>
              </w:rPr>
              <w:t>吴辰铌</w:t>
            </w:r>
          </w:p>
        </w:tc>
      </w:tr>
      <w:tr w14:paraId="7868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jc w:val="center"/>
        </w:trPr>
        <w:tc>
          <w:tcPr>
            <w:tcW w:w="1961" w:type="dxa"/>
            <w:vMerge w:val="continue"/>
            <w:vAlign w:val="center"/>
          </w:tcPr>
          <w:p w14:paraId="42791CFC">
            <w:pPr>
              <w:jc w:val="right"/>
              <w:rPr>
                <w:rFonts w:ascii="仿宋" w:hAnsi="仿宋" w:eastAsia="仿宋"/>
                <w:b/>
                <w:sz w:val="24"/>
              </w:rPr>
            </w:pPr>
          </w:p>
        </w:tc>
        <w:tc>
          <w:tcPr>
            <w:tcW w:w="1650" w:type="dxa"/>
            <w:gridSpan w:val="2"/>
            <w:vMerge w:val="continue"/>
            <w:vAlign w:val="center"/>
          </w:tcPr>
          <w:p w14:paraId="576BBFEC">
            <w:pPr>
              <w:jc w:val="center"/>
              <w:rPr>
                <w:rFonts w:ascii="仿宋" w:hAnsi="仿宋" w:eastAsia="仿宋"/>
                <w:b/>
                <w:sz w:val="24"/>
              </w:rPr>
            </w:pPr>
          </w:p>
        </w:tc>
        <w:tc>
          <w:tcPr>
            <w:tcW w:w="2145" w:type="dxa"/>
            <w:vAlign w:val="center"/>
          </w:tcPr>
          <w:p w14:paraId="3609BD38">
            <w:pPr>
              <w:jc w:val="center"/>
              <w:rPr>
                <w:rFonts w:ascii="仿宋" w:hAnsi="仿宋" w:eastAsia="仿宋"/>
                <w:b/>
                <w:sz w:val="24"/>
              </w:rPr>
            </w:pPr>
            <w:r>
              <w:rPr>
                <w:rFonts w:hint="eastAsia" w:ascii="仿宋" w:hAnsi="仿宋" w:eastAsia="仿宋"/>
                <w:b/>
                <w:spacing w:val="50"/>
                <w:kern w:val="0"/>
                <w:sz w:val="24"/>
                <w:fitText w:val="1928" w:id="5"/>
              </w:rPr>
              <w:t xml:space="preserve">评 定 日 </w:t>
            </w:r>
            <w:r>
              <w:rPr>
                <w:rFonts w:hint="eastAsia" w:ascii="仿宋" w:hAnsi="仿宋" w:eastAsia="仿宋"/>
                <w:b/>
                <w:spacing w:val="4"/>
                <w:kern w:val="0"/>
                <w:sz w:val="24"/>
                <w:fitText w:val="1928" w:id="5"/>
              </w:rPr>
              <w:t>期</w:t>
            </w:r>
          </w:p>
        </w:tc>
        <w:tc>
          <w:tcPr>
            <w:tcW w:w="2183" w:type="dxa"/>
            <w:vAlign w:val="center"/>
          </w:tcPr>
          <w:p w14:paraId="4FC39D74">
            <w:pPr>
              <w:jc w:val="center"/>
              <w:rPr>
                <w:rFonts w:hint="default" w:ascii="仿宋" w:hAnsi="仿宋" w:eastAsia="仿宋"/>
                <w:b/>
                <w:color w:val="FF0000"/>
                <w:sz w:val="24"/>
                <w:lang w:val="en-US" w:eastAsia="zh-CN"/>
              </w:rPr>
            </w:pPr>
            <w:r>
              <w:rPr>
                <w:rFonts w:hint="eastAsia" w:ascii="仿宋" w:hAnsi="仿宋" w:eastAsia="仿宋"/>
                <w:b/>
                <w:color w:val="FF0000"/>
                <w:sz w:val="24"/>
                <w:lang w:val="en-US" w:eastAsia="zh-CN"/>
              </w:rPr>
              <w:t>2026.6.19</w:t>
            </w:r>
            <w:bookmarkStart w:id="0" w:name="_GoBack"/>
            <w:bookmarkEnd w:id="0"/>
          </w:p>
        </w:tc>
      </w:tr>
    </w:tbl>
    <w:p w14:paraId="2748CC8B">
      <w:pPr>
        <w:widowControl/>
        <w:jc w:val="center"/>
        <w:rPr>
          <w:rFonts w:hint="eastAsia" w:ascii="仿宋_GB2312" w:hAnsi="宋体" w:eastAsia="仿宋_GB2312"/>
          <w:b/>
          <w:sz w:val="28"/>
          <w:szCs w:val="28"/>
        </w:rPr>
      </w:pPr>
    </w:p>
    <w:p w14:paraId="6F5D61E8">
      <w:pPr>
        <w:widowControl/>
        <w:jc w:val="center"/>
        <w:rPr>
          <w:rFonts w:ascii="仿宋_GB2312" w:hAnsi="宋体" w:eastAsia="仿宋_GB2312"/>
          <w:sz w:val="32"/>
          <w:szCs w:val="32"/>
        </w:rPr>
      </w:pPr>
      <w:r>
        <w:rPr>
          <w:rFonts w:hint="eastAsia" w:ascii="仿宋_GB2312" w:hAnsi="宋体" w:eastAsia="仿宋_GB2312"/>
          <w:b/>
          <w:sz w:val="28"/>
          <w:szCs w:val="28"/>
        </w:rPr>
        <w:t>东北大学软件学院</w:t>
      </w:r>
    </w:p>
    <w:p w14:paraId="25BFAA32">
      <w:pPr>
        <w:widowControl/>
        <w:jc w:val="left"/>
        <w:rPr>
          <w:rFonts w:ascii="仿宋_GB2312" w:hAnsi="宋体" w:eastAsia="仿宋_GB2312"/>
          <w:sz w:val="32"/>
          <w:szCs w:val="32"/>
        </w:rPr>
      </w:pPr>
      <w:r>
        <w:rPr>
          <w:rFonts w:ascii="仿宋_GB2312" w:hAnsi="宋体" w:eastAsia="仿宋_GB2312"/>
          <w:sz w:val="32"/>
          <w:szCs w:val="32"/>
        </w:rPr>
        <w:br w:type="page"/>
      </w:r>
    </w:p>
    <w:p w14:paraId="1F93A8EF">
      <w:pPr>
        <w:widowControl/>
        <w:numPr>
          <w:ilvl w:val="0"/>
          <w:numId w:val="1"/>
        </w:numPr>
        <w:wordWrap/>
        <w:adjustRightInd/>
        <w:snapToGrid/>
        <w:spacing w:after="156" w:afterLines="50" w:line="240" w:lineRule="auto"/>
        <w:ind w:left="0" w:leftChars="0" w:right="0" w:firstLine="0" w:firstLineChars="0"/>
        <w:jc w:val="left"/>
        <w:textAlignment w:val="auto"/>
        <w:outlineLvl w:val="9"/>
        <w:rPr>
          <w:rFonts w:hint="eastAsia" w:ascii="仿宋_GB2312" w:hAnsi="宋体" w:eastAsia="仿宋_GB2312"/>
          <w:b/>
          <w:bCs/>
          <w:sz w:val="24"/>
          <w:lang w:val="en-US" w:eastAsia="zh-CN"/>
        </w:rPr>
      </w:pPr>
      <w:r>
        <w:rPr>
          <w:rFonts w:hint="eastAsia" w:ascii="仿宋_GB2312" w:hAnsi="宋体" w:eastAsia="仿宋_GB2312"/>
          <w:b/>
          <w:bCs/>
          <w:sz w:val="24"/>
          <w:lang w:val="en-US" w:eastAsia="zh-CN"/>
        </w:rPr>
        <w:t>实验目的</w:t>
      </w:r>
    </w:p>
    <w:p w14:paraId="1AE2B50A">
      <w:pPr>
        <w:widowControl/>
        <w:numPr>
          <w:ilvl w:val="0"/>
          <w:numId w:val="0"/>
        </w:numPr>
        <w:wordWrap/>
        <w:adjustRightInd/>
        <w:snapToGrid/>
        <w:spacing w:line="300" w:lineRule="auto"/>
        <w:ind w:left="0" w:leftChars="0" w:right="0" w:firstLine="420" w:firstLineChars="200"/>
        <w:jc w:val="left"/>
        <w:textAlignment w:val="auto"/>
        <w:outlineLvl w:val="9"/>
        <w:rPr>
          <w:rFonts w:hint="default" w:cs="Times New Roman"/>
          <w:b w:val="0"/>
          <w:bCs/>
          <w:color w:val="auto"/>
          <w:sz w:val="21"/>
          <w:szCs w:val="21"/>
          <w:lang w:val="en-US" w:eastAsia="zh-CN"/>
        </w:rPr>
      </w:pPr>
      <w:r>
        <w:rPr>
          <w:rFonts w:hint="default" w:cs="Times New Roman"/>
          <w:b w:val="0"/>
          <w:bCs/>
          <w:color w:val="auto"/>
          <w:sz w:val="21"/>
          <w:szCs w:val="21"/>
          <w:lang w:val="en-US" w:eastAsia="zh-CN"/>
        </w:rPr>
        <w:t>（1）练习</w:t>
      </w:r>
      <w:r>
        <w:rPr>
          <w:rFonts w:hint="eastAsia" w:cs="Times New Roman"/>
          <w:b w:val="0"/>
          <w:bCs/>
          <w:color w:val="auto"/>
          <w:sz w:val="21"/>
          <w:szCs w:val="21"/>
          <w:lang w:val="en-US" w:eastAsia="zh-CN"/>
        </w:rPr>
        <w:t>白</w:t>
      </w:r>
      <w:r>
        <w:rPr>
          <w:rFonts w:hint="default" w:cs="Times New Roman"/>
          <w:b w:val="0"/>
          <w:bCs/>
          <w:color w:val="auto"/>
          <w:sz w:val="21"/>
          <w:szCs w:val="21"/>
          <w:lang w:val="en-US" w:eastAsia="zh-CN"/>
        </w:rPr>
        <w:t>盒测试用例设计，</w:t>
      </w:r>
      <w:r>
        <w:rPr>
          <w:rFonts w:hint="eastAsia" w:cs="Times New Roman"/>
          <w:b w:val="0"/>
          <w:bCs/>
          <w:color w:val="auto"/>
          <w:sz w:val="21"/>
          <w:szCs w:val="21"/>
          <w:lang w:val="en-US" w:eastAsia="zh-CN"/>
        </w:rPr>
        <w:t>用</w:t>
      </w:r>
      <w:r>
        <w:rPr>
          <w:rFonts w:hint="default" w:cs="Times New Roman"/>
          <w:b w:val="0"/>
          <w:bCs/>
          <w:color w:val="auto"/>
          <w:sz w:val="21"/>
          <w:szCs w:val="21"/>
          <w:lang w:val="en-US" w:eastAsia="zh-CN"/>
        </w:rPr>
        <w:t>单元测试工具进行白盒测试。</w:t>
      </w:r>
    </w:p>
    <w:p w14:paraId="6A131D7F">
      <w:pPr>
        <w:widowControl/>
        <w:numPr>
          <w:ilvl w:val="0"/>
          <w:numId w:val="0"/>
        </w:numPr>
        <w:wordWrap/>
        <w:adjustRightInd/>
        <w:snapToGrid/>
        <w:spacing w:line="300" w:lineRule="auto"/>
        <w:ind w:left="0" w:leftChars="0" w:right="0" w:firstLine="420" w:firstLineChars="200"/>
        <w:jc w:val="left"/>
        <w:textAlignment w:val="auto"/>
        <w:outlineLvl w:val="9"/>
        <w:rPr>
          <w:rFonts w:hint="default" w:cs="Times New Roman"/>
          <w:b w:val="0"/>
          <w:bCs/>
          <w:color w:val="auto"/>
          <w:sz w:val="21"/>
          <w:szCs w:val="21"/>
          <w:lang w:val="en-US" w:eastAsia="zh-CN"/>
        </w:rPr>
      </w:pPr>
      <w:r>
        <w:rPr>
          <w:rFonts w:hint="default" w:cs="Times New Roman"/>
          <w:b w:val="0"/>
          <w:bCs/>
          <w:color w:val="auto"/>
          <w:sz w:val="21"/>
          <w:szCs w:val="21"/>
          <w:lang w:val="en-US" w:eastAsia="zh-CN"/>
        </w:rPr>
        <w:t>（2）练习</w:t>
      </w:r>
      <w:r>
        <w:rPr>
          <w:rFonts w:hint="eastAsia" w:cs="Times New Roman"/>
          <w:b w:val="0"/>
          <w:bCs/>
          <w:color w:val="auto"/>
          <w:sz w:val="21"/>
          <w:szCs w:val="21"/>
          <w:lang w:val="en-US" w:eastAsia="zh-CN"/>
        </w:rPr>
        <w:t>黑</w:t>
      </w:r>
      <w:r>
        <w:rPr>
          <w:rFonts w:hint="default" w:cs="Times New Roman"/>
          <w:b w:val="0"/>
          <w:bCs/>
          <w:color w:val="auto"/>
          <w:sz w:val="21"/>
          <w:szCs w:val="21"/>
          <w:lang w:val="en-US" w:eastAsia="zh-CN"/>
        </w:rPr>
        <w:t>盒测试用例设计</w:t>
      </w:r>
      <w:r>
        <w:rPr>
          <w:rFonts w:hint="eastAsia" w:cs="Times New Roman"/>
          <w:b w:val="0"/>
          <w:bCs/>
          <w:color w:val="auto"/>
          <w:sz w:val="21"/>
          <w:szCs w:val="21"/>
          <w:lang w:val="en-US" w:eastAsia="zh-CN"/>
        </w:rPr>
        <w:t>，</w:t>
      </w:r>
      <w:r>
        <w:rPr>
          <w:rFonts w:hint="default" w:cs="Times New Roman"/>
          <w:b w:val="0"/>
          <w:bCs/>
          <w:color w:val="auto"/>
          <w:sz w:val="21"/>
          <w:szCs w:val="21"/>
          <w:lang w:val="en-US" w:eastAsia="zh-CN"/>
        </w:rPr>
        <w:t>用手工测试的方法运行黑盒测试用例。</w:t>
      </w:r>
    </w:p>
    <w:p w14:paraId="48EDEA5B">
      <w:pPr>
        <w:widowControl/>
        <w:numPr>
          <w:ilvl w:val="0"/>
          <w:numId w:val="1"/>
        </w:numPr>
        <w:wordWrap/>
        <w:adjustRightInd/>
        <w:snapToGrid/>
        <w:spacing w:before="156" w:beforeLines="50" w:after="156" w:afterLines="50" w:line="240" w:lineRule="auto"/>
        <w:ind w:left="0" w:leftChars="0" w:right="0" w:firstLine="0" w:firstLineChars="0"/>
        <w:jc w:val="left"/>
        <w:textAlignment w:val="auto"/>
        <w:outlineLvl w:val="9"/>
        <w:rPr>
          <w:rFonts w:hint="eastAsia" w:ascii="仿宋_GB2312" w:hAnsi="宋体" w:eastAsia="仿宋_GB2312"/>
          <w:b/>
          <w:bCs/>
          <w:sz w:val="24"/>
          <w:lang w:val="en-US" w:eastAsia="zh-CN"/>
        </w:rPr>
      </w:pPr>
      <w:r>
        <w:rPr>
          <w:rFonts w:hint="eastAsia" w:ascii="仿宋_GB2312" w:hAnsi="宋体" w:eastAsia="仿宋_GB2312"/>
          <w:b/>
          <w:bCs/>
          <w:sz w:val="24"/>
          <w:lang w:val="en-US" w:eastAsia="zh-CN"/>
        </w:rPr>
        <w:t>测试计划</w:t>
      </w:r>
    </w:p>
    <w:p w14:paraId="5F2442D4">
      <w:pPr>
        <w:widowControl/>
        <w:numPr>
          <w:ilvl w:val="0"/>
          <w:numId w:val="0"/>
        </w:numPr>
        <w:wordWrap/>
        <w:adjustRightInd/>
        <w:snapToGrid/>
        <w:spacing w:line="300" w:lineRule="auto"/>
        <w:ind w:right="0"/>
        <w:jc w:val="left"/>
        <w:textAlignment w:val="auto"/>
        <w:outlineLvl w:val="9"/>
        <w:rPr>
          <w:rFonts w:hint="eastAsia" w:cs="Times New Roman"/>
          <w:b/>
          <w:bCs w:val="0"/>
          <w:color w:val="000000" w:themeColor="text1"/>
          <w:sz w:val="21"/>
          <w:szCs w:val="21"/>
          <w:lang w:val="en-US" w:eastAsia="zh-CN"/>
        </w:rPr>
      </w:pPr>
      <w:r>
        <w:rPr>
          <w:rFonts w:hint="eastAsia" w:cs="Times New Roman"/>
          <w:b/>
          <w:bCs w:val="0"/>
          <w:color w:val="000000" w:themeColor="text1"/>
          <w:sz w:val="21"/>
          <w:szCs w:val="21"/>
          <w:lang w:val="en-US" w:eastAsia="zh-CN"/>
        </w:rPr>
        <w:t>2.1 实验1测试计划</w:t>
      </w:r>
    </w:p>
    <w:p w14:paraId="51E3DB63">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（1）系统功能概述</w:t>
      </w:r>
    </w:p>
    <w:p w14:paraId="0843F75F">
      <w:pPr>
        <w:widowControl/>
        <w:numPr>
          <w:ilvl w:val="0"/>
          <w:numId w:val="0"/>
        </w:numPr>
        <w:wordWrap/>
        <w:adjustRightInd/>
        <w:snapToGrid/>
        <w:spacing w:line="300" w:lineRule="auto" w:before="0" w:after="0"/>
        <w:ind w:left="0" w:leftChars="0" w:right="0" w:firstLineChars="200" w:firstLine="420"/>
        <w:jc w:val="left"/>
        <w:textAlignment w:val="auto"/>
        <w:outlineLvl w:val="9"/>
        <w:rPr>
          <w:rFonts w:hint="default" w:cs="Times New Roman"/>
          <w:b w:val="0"/>
          <w:bCs/>
          <w:color w:val="0000FF"/>
          <w:sz w:val="21"/>
          <w:szCs w:val="21"/>
          <w:lang w:val="en-US" w:eastAsia="zh-CN"/>
        </w:rPr>
      </w:pPr>
      <w:r>
        <w:rPr>
          <w:rFonts w:ascii="Times New Roman" w:hAnsi="Times New Roman" w:eastAsia="宋体"/>
          <w:b w:val="0"/>
          <w:sz w:val="21"/>
        </w:rPr>
      </w:r>
      <w:r>
        <w:rPr>
          <w:rFonts w:ascii="Times New Roman" w:hAnsi="Times New Roman" w:eastAsia="宋体"/>
          <w:b w:val="0"/>
          <w:sz w:val="21"/>
        </w:rPr>
        <w:t>本组开发的程序为老年人健康管理助手，面向需要记录和评估日常健康指标的老年用户及其家属。系统包含血压评估、血糖评估、睡眠评估、运动建议、用药提醒和 AI 健康问答等功能。本人负责其中的血压评估和血糖评估模块：血压评估根据收缩压、舒张压判断正常、偏高或高血压；血糖评估根据血糖值和测量时段判断低血糖、正常、偏高或高血糖，并给出健康建议。</w:t>
      </w:r>
    </w:p>
    <w:p w14:paraId="09433C25">
      <w:pPr>
        <w:widowControl/>
        <w:numPr>
          <w:ilvl w:val="0"/>
          <w:numId w:val="0"/>
        </w:numPr>
        <w:wordWrap/>
        <w:adjustRightInd/>
        <w:snapToGrid/>
        <w:spacing w:line="300" w:lineRule="auto"/>
        <w:ind w:right="0"/>
        <w:jc w:val="left"/>
        <w:textAlignment w:val="auto"/>
        <w:outlineLvl w:val="9"/>
        <w:rPr>
          <w:rFonts w:hint="default"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（2）测试目标</w:t>
      </w:r>
    </w:p>
    <w:p w14:paraId="5C8DEA9B">
      <w:pPr>
        <w:widowControl/>
        <w:numPr>
          <w:ilvl w:val="0"/>
          <w:numId w:val="0"/>
        </w:numPr>
        <w:wordWrap/>
        <w:adjustRightInd/>
        <w:snapToGrid/>
        <w:spacing w:line="300" w:lineRule="auto" w:before="0" w:after="0"/>
        <w:ind w:left="0" w:leftChars="0" w:right="0" w:firstLineChars="200" w:firstLine="420"/>
        <w:jc w:val="left"/>
        <w:textAlignment w:val="auto"/>
        <w:outlineLvl w:val="9"/>
        <w:rPr>
          <w:rFonts w:hint="eastAsia" w:ascii="Times New Roman" w:hAnsi="Times New Roman" w:eastAsia="宋体" w:cs="Times New Roman"/>
          <w:b w:val="0"/>
          <w:bCs/>
          <w:color w:val="FF0000"/>
          <w:sz w:val="21"/>
          <w:szCs w:val="21"/>
          <w:lang w:val="en-US" w:eastAsia="zh-CN"/>
        </w:rPr>
      </w:pPr>
      <w:r>
        <w:rPr>
          <w:rFonts w:ascii="Times New Roman" w:hAnsi="Times New Roman" w:eastAsia="宋体"/>
          <w:b w:val="0"/>
          <w:sz w:val="21"/>
        </w:rPr>
      </w:r>
      <w:r>
        <w:rPr>
          <w:rFonts w:ascii="Times New Roman" w:hAnsi="Times New Roman" w:eastAsia="宋体"/>
          <w:b w:val="0"/>
          <w:sz w:val="21"/>
        </w:rPr>
        <w:t>本次白盒测试的目标是验证血压评估与血糖评估两个业务逻辑模块的内部判断逻辑是否正确，重点检查合法性校验、条件判断、分支选择、边界值处理和返回结果封装。通过 JUnit 单元测试确认正常路径、异常路径和关键边界路径均能得到预期结果。</w:t>
      </w:r>
    </w:p>
    <w:p w14:paraId="40BE4730">
      <w:pPr>
        <w:widowControl/>
        <w:numPr>
          <w:ilvl w:val="0"/>
          <w:numId w:val="0"/>
        </w:numPr>
        <w:wordWrap/>
        <w:adjustRightInd/>
        <w:snapToGrid/>
        <w:spacing w:line="300" w:lineRule="auto" w:after="0" w:before="0"/>
        <w:ind w:left="0" w:leftChars="0" w:right="0" w:firstLine="420" w:firstLineChars="200"/>
        <w:jc w:val="left"/>
        <w:textAlignment w:val="auto"/>
        <w:outlineLvl w:val="9"/>
        <w:rPr>
          <w:rFonts w:hint="eastAsia" w:cs="Times New Roman"/>
          <w:b w:val="0"/>
          <w:bCs/>
          <w:color w:val="FF0000"/>
          <w:sz w:val="21"/>
          <w:szCs w:val="21"/>
          <w:lang w:val="en-US" w:eastAsia="zh-CN"/>
        </w:rPr>
      </w:pPr>
      <w:r/>
    </w:p>
    <w:p w14:paraId="0E513FB0">
      <w:pPr>
        <w:widowControl/>
        <w:numPr>
          <w:ilvl w:val="0"/>
          <w:numId w:val="0"/>
        </w:numPr>
        <w:wordWrap/>
        <w:adjustRightInd/>
        <w:snapToGrid/>
        <w:spacing w:line="300" w:lineRule="auto" w:after="0" w:before="0"/>
        <w:ind w:left="0" w:leftChars="0" w:right="0" w:firstLine="420" w:firstLineChars="200"/>
        <w:jc w:val="left"/>
        <w:textAlignment w:val="auto"/>
        <w:outlineLvl w:val="9"/>
        <w:rPr>
          <w:rFonts w:hint="eastAsia" w:cs="Times New Roman"/>
          <w:b w:val="0"/>
          <w:bCs/>
          <w:color w:val="FF0000"/>
          <w:sz w:val="21"/>
          <w:szCs w:val="21"/>
          <w:lang w:val="en-US" w:eastAsia="zh-CN"/>
        </w:rPr>
      </w:pPr>
      <w:r/>
    </w:p>
    <w:p w14:paraId="097EA0E3">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（3）测试范围</w:t>
      </w:r>
    </w:p>
    <w:p>
      <w:pPr>
        <w:spacing w:line="300" w:lineRule="auto" w:before="0" w:after="0"/>
        <w:ind w:firstLine="420"/>
      </w:pPr>
      <w:r>
        <w:rPr>
          <w:rFonts w:ascii="Times New Roman" w:hAnsi="Times New Roman" w:eastAsia="宋体"/>
          <w:b w:val="0"/>
          <w:sz w:val="21"/>
        </w:rPr>
      </w:r>
      <w:r>
        <w:rPr>
          <w:rFonts w:ascii="Times New Roman" w:hAnsi="Times New Roman" w:eastAsia="宋体"/>
          <w:b w:val="0"/>
          <w:sz w:val="21"/>
        </w:rPr>
        <w:t>测试范围包括 com.healthassistant.logic.BpEvaluator 和 com.healthassistant.logic.BgEvaluator 两个类。血压评估测试覆盖收缩压、舒张压的非正数校验、超范围校验、正常、偏高和高血压分支；血糖评估测试覆盖血糖值校验、测量时段校验、空腹/餐后两套判断标准，以及低血糖、正常、偏高和高血糖分支。JavaFX 界面交互、睡眠评估、运动建议、用药提醒和 AI 健康问答不属于本人本次白盒测试范围。</w:t>
      </w:r>
    </w:p>
    <w:p w14:paraId="55F34BE0">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（4）测试环境</w:t>
      </w:r>
    </w:p>
    <w:p>
      <w:pPr>
        <w:spacing w:line="300" w:lineRule="auto" w:before="0" w:after="0"/>
        <w:ind w:firstLine="420"/>
      </w:pPr>
      <w:r>
        <w:rPr>
          <w:rFonts w:ascii="Times New Roman" w:hAnsi="Times New Roman" w:eastAsia="宋体"/>
          <w:b w:val="0"/>
          <w:sz w:val="21"/>
        </w:rPr>
      </w:r>
      <w:r>
        <w:rPr>
          <w:rFonts w:ascii="Times New Roman" w:hAnsi="Times New Roman" w:eastAsia="宋体"/>
          <w:b w:val="0"/>
          <w:sz w:val="21"/>
        </w:rPr>
        <w:t>操作系统为 Windows，开发语言为 Java 17，构建工具为 Maven，测试框架为 JUnit 5，测试执行命令为 mvn test。测试代码位于 src/test/java/com/healthassistant/logic 目录下。</w:t>
      </w:r>
    </w:p>
    <w:p w14:paraId="0C26BE8D">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（5）测试工具</w:t>
      </w:r>
    </w:p>
    <w:p>
      <w:pPr>
        <w:spacing w:line="300" w:lineRule="auto" w:before="0" w:after="0"/>
        <w:ind w:firstLine="420"/>
      </w:pPr>
      <w:r>
        <w:rPr>
          <w:rFonts w:ascii="Times New Roman" w:hAnsi="Times New Roman" w:eastAsia="宋体"/>
          <w:b w:val="0"/>
          <w:sz w:val="21"/>
        </w:rPr>
      </w:r>
      <w:r>
        <w:rPr>
          <w:rFonts w:ascii="Times New Roman" w:hAnsi="Times New Roman" w:eastAsia="宋体"/>
          <w:b w:val="0"/>
          <w:sz w:val="21"/>
        </w:rPr>
        <w:t>本次白盒测试使用 JUnit 5 编写单元测试，使用 Maven Surefire 插件统一执行测试。新增测试文件为 BpEvaluatorWhiteBoxTest.java 和 BgEvaluatorWhiteBoxTest.java。</w:t>
      </w:r>
    </w:p>
    <w:p w14:paraId="77F60ACC">
      <w:pPr>
        <w:widowControl/>
        <w:numPr>
          <w:ilvl w:val="0"/>
          <w:numId w:val="0"/>
        </w:numPr>
        <w:wordWrap/>
        <w:adjustRightInd/>
        <w:snapToGrid/>
        <w:spacing w:line="300" w:lineRule="auto"/>
        <w:ind w:right="0"/>
        <w:jc w:val="left"/>
        <w:textAlignment w:val="auto"/>
        <w:outlineLvl w:val="9"/>
        <w:rPr>
          <w:rFonts w:hint="default"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（6）测试策略</w:t>
      </w:r>
    </w:p>
    <w:p>
      <w:pPr>
        <w:spacing w:line="300" w:lineRule="auto" w:before="0" w:after="0"/>
        <w:ind w:firstLine="420"/>
      </w:pPr>
      <w:r>
        <w:rPr>
          <w:rFonts w:ascii="Times New Roman" w:hAnsi="Times New Roman" w:eastAsia="宋体"/>
          <w:b w:val="0"/>
          <w:sz w:val="21"/>
        </w:rPr>
      </w:r>
      <w:r>
        <w:rPr>
          <w:rFonts w:ascii="Times New Roman" w:hAnsi="Times New Roman" w:eastAsia="宋体"/>
          <w:b w:val="0"/>
          <w:sz w:val="21"/>
        </w:rPr>
        <w:t>本次测试采用语句覆盖、分支覆盖/判定覆盖、条件覆盖、主要路径覆盖和边界值测试相结合的策略。其中，血压模块重点覆盖 systolic &lt;= 0 || diastolic &lt;= 0、systolic &gt; 300 || diastolic &gt; 200、systolic &lt; 120 &amp;&amp; diastolic &lt; 80、systolic &lt; 140 &amp;&amp; diastolic &lt; 90 等条件；血糖模块重点覆盖 value &lt;= 0、value &gt; 35、测量时段是否合法、空腹/餐后区间选择以及各等级判断边界。</w:t>
      </w:r>
    </w:p>
    <w:p w14:paraId="194BAECE">
      <w:pPr>
        <w:widowControl/>
        <w:numPr>
          <w:ilvl w:val="0"/>
          <w:numId w:val="0"/>
        </w:numPr>
        <w:wordWrap/>
        <w:adjustRightInd/>
        <w:snapToGrid/>
        <w:spacing w:line="300" w:lineRule="auto"/>
        <w:ind w:right="0"/>
        <w:jc w:val="left"/>
        <w:textAlignment w:val="auto"/>
        <w:outlineLvl w:val="9"/>
        <w:rPr>
          <w:rFonts w:hint="eastAsia" w:cs="Times New Roman"/>
          <w:b/>
          <w:bCs w:val="0"/>
          <w:color w:val="000000" w:themeColor="text1"/>
          <w:sz w:val="21"/>
          <w:szCs w:val="21"/>
          <w:lang w:val="en-US" w:eastAsia="zh-CN"/>
        </w:rPr>
      </w:pPr>
      <w:r>
        <w:rPr>
          <w:rFonts w:hint="eastAsia" w:cs="Times New Roman"/>
          <w:b/>
          <w:bCs w:val="0"/>
          <w:color w:val="000000" w:themeColor="text1"/>
          <w:sz w:val="21"/>
          <w:szCs w:val="21"/>
          <w:lang w:val="en-US" w:eastAsia="zh-CN"/>
        </w:rPr>
        <w:t>2.2 实验2测试计划</w:t>
      </w:r>
    </w:p>
    <w:p w14:paraId="66579A63">
      <w:pPr>
        <w:widowControl/>
        <w:numPr>
          <w:ilvl w:val="0"/>
          <w:numId w:val="0"/>
        </w:numPr>
        <w:wordWrap/>
        <w:adjustRightInd/>
        <w:snapToGrid/>
        <w:spacing w:line="300" w:lineRule="auto"/>
        <w:ind w:right="0"/>
        <w:jc w:val="left"/>
        <w:textAlignment w:val="auto"/>
        <w:outlineLvl w:val="9"/>
        <w:rPr>
          <w:rFonts w:hint="default"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（1）测试目标</w:t>
      </w:r>
    </w:p>
    <w:p w14:paraId="01EAE68C">
      <w:pPr>
        <w:widowControl/>
        <w:numPr>
          <w:ilvl w:val="0"/>
          <w:numId w:val="0"/>
        </w:numPr>
        <w:wordWrap/>
        <w:adjustRightInd/>
        <w:snapToGrid/>
        <w:spacing w:line="300" w:lineRule="auto" w:before="0" w:after="0"/>
        <w:ind w:left="0" w:leftChars="0" w:right="0" w:firstLineChars="200" w:firstLine="420"/>
        <w:jc w:val="left"/>
        <w:textAlignment w:val="auto"/>
        <w:outlineLvl w:val="9"/>
        <w:rPr>
          <w:rFonts w:hint="eastAsia" w:ascii="Times New Roman" w:hAnsi="Times New Roman" w:eastAsia="宋体" w:cs="Times New Roman"/>
          <w:b w:val="0"/>
          <w:bCs/>
          <w:color w:val="FF0000"/>
          <w:sz w:val="21"/>
          <w:szCs w:val="21"/>
          <w:lang w:val="en-US" w:eastAsia="zh-CN"/>
        </w:rPr>
      </w:pPr>
      <w:r>
        <w:rPr>
          <w:rFonts w:ascii="Times New Roman" w:hAnsi="Times New Roman" w:eastAsia="宋体"/>
          <w:b w:val="0"/>
          <w:sz w:val="21"/>
        </w:rPr>
      </w:r>
      <w:r>
        <w:rPr>
          <w:rFonts w:ascii="Times New Roman" w:hAnsi="Times New Roman" w:eastAsia="宋体"/>
          <w:b w:val="0"/>
          <w:sz w:val="21"/>
        </w:rPr>
        <w:t>实验2黑盒测试计划由负责界面和手工测试的组员补充。</w:t>
      </w:r>
    </w:p>
    <w:p w14:paraId="332996A9">
      <w:pPr>
        <w:widowControl/>
        <w:numPr>
          <w:ilvl w:val="0"/>
          <w:numId w:val="0"/>
        </w:numPr>
        <w:wordWrap/>
        <w:adjustRightInd/>
        <w:snapToGrid/>
        <w:spacing w:line="300" w:lineRule="auto" w:after="0" w:before="0"/>
        <w:ind w:left="0" w:leftChars="0" w:right="0" w:firstLine="420" w:firstLineChars="200"/>
        <w:jc w:val="left"/>
        <w:textAlignment w:val="auto"/>
        <w:outlineLvl w:val="9"/>
        <w:rPr>
          <w:rFonts w:hint="eastAsia" w:cs="Times New Roman"/>
          <w:b w:val="0"/>
          <w:bCs/>
          <w:color w:val="FF0000"/>
          <w:sz w:val="21"/>
          <w:szCs w:val="21"/>
          <w:lang w:val="en-US" w:eastAsia="zh-CN"/>
        </w:rPr>
      </w:pPr>
      <w:r/>
    </w:p>
    <w:p w14:paraId="4F9971C8">
      <w:pPr>
        <w:widowControl/>
        <w:numPr>
          <w:ilvl w:val="0"/>
          <w:numId w:val="0"/>
        </w:numPr>
        <w:wordWrap/>
        <w:adjustRightInd/>
        <w:snapToGrid/>
        <w:spacing w:line="300" w:lineRule="auto" w:after="0" w:before="0"/>
        <w:ind w:left="0" w:leftChars="0" w:right="0" w:firstLine="420" w:firstLineChars="200"/>
        <w:jc w:val="left"/>
        <w:textAlignment w:val="auto"/>
        <w:outlineLvl w:val="9"/>
        <w:rPr>
          <w:rFonts w:hint="eastAsia" w:cs="Times New Roman"/>
          <w:b w:val="0"/>
          <w:bCs/>
          <w:color w:val="FF0000"/>
          <w:sz w:val="21"/>
          <w:szCs w:val="21"/>
          <w:lang w:val="en-US" w:eastAsia="zh-CN"/>
        </w:rPr>
      </w:pPr>
      <w:r/>
    </w:p>
    <w:p w14:paraId="7D10D749">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（2）测试范围</w:t>
      </w:r>
    </w:p>
    <w:p w14:paraId="4C281AB2">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（3）测试环境</w:t>
      </w:r>
    </w:p>
    <w:p w14:paraId="7DB4EDD3">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（4）测试工具</w:t>
      </w:r>
    </w:p>
    <w:p w14:paraId="47FA59C5">
      <w:pPr>
        <w:widowControl/>
        <w:numPr>
          <w:ilvl w:val="0"/>
          <w:numId w:val="0"/>
        </w:numPr>
        <w:wordWrap/>
        <w:adjustRightInd/>
        <w:snapToGrid/>
        <w:spacing w:line="300" w:lineRule="auto"/>
        <w:ind w:right="0"/>
        <w:jc w:val="left"/>
        <w:textAlignment w:val="auto"/>
        <w:outlineLvl w:val="9"/>
        <w:rPr>
          <w:rFonts w:hint="default"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（5）测试策略</w:t>
      </w:r>
    </w:p>
    <w:p w14:paraId="789E93F3">
      <w:pPr>
        <w:widowControl/>
        <w:numPr>
          <w:ilvl w:val="0"/>
          <w:numId w:val="0"/>
        </w:numPr>
        <w:wordWrap/>
        <w:adjustRightInd/>
        <w:snapToGrid/>
        <w:spacing w:line="300" w:lineRule="auto"/>
        <w:ind w:right="0"/>
        <w:jc w:val="left"/>
        <w:textAlignment w:val="auto"/>
        <w:outlineLvl w:val="9"/>
        <w:rPr>
          <w:rFonts w:hint="eastAsia" w:ascii="仿宋_GB2312" w:hAnsi="宋体" w:eastAsia="仿宋_GB2312"/>
          <w:b/>
          <w:bCs/>
          <w:sz w:val="24"/>
          <w:lang w:val="en-US" w:eastAsia="zh-CN"/>
        </w:rPr>
      </w:pPr>
      <w:r>
        <w:rPr>
          <w:rFonts w:hint="eastAsia" w:ascii="仿宋_GB2312" w:hAnsi="宋体" w:eastAsia="仿宋_GB2312"/>
          <w:b/>
          <w:bCs/>
          <w:sz w:val="24"/>
          <w:lang w:val="en-US" w:eastAsia="zh-CN"/>
        </w:rPr>
        <w:t>3.测试用例</w:t>
      </w:r>
    </w:p>
    <w:p w14:paraId="265AE65B">
      <w:pPr>
        <w:widowControl/>
        <w:numPr>
          <w:ilvl w:val="0"/>
          <w:numId w:val="0"/>
        </w:numPr>
        <w:wordWrap/>
        <w:adjustRightInd/>
        <w:snapToGrid/>
        <w:spacing w:line="300" w:lineRule="auto"/>
        <w:ind w:right="0"/>
        <w:jc w:val="left"/>
        <w:textAlignment w:val="auto"/>
        <w:outlineLvl w:val="9"/>
        <w:rPr>
          <w:rFonts w:hint="eastAsia" w:cs="Times New Roman"/>
          <w:b/>
          <w:bCs w:val="0"/>
          <w:color w:val="000000" w:themeColor="text1"/>
          <w:sz w:val="21"/>
          <w:szCs w:val="21"/>
          <w:lang w:val="en-US" w:eastAsia="zh-CN"/>
        </w:rPr>
      </w:pPr>
      <w:r>
        <w:rPr>
          <w:rFonts w:hint="eastAsia" w:cs="Times New Roman"/>
          <w:b/>
          <w:bCs w:val="0"/>
          <w:color w:val="000000" w:themeColor="text1"/>
          <w:sz w:val="21"/>
          <w:szCs w:val="21"/>
          <w:lang w:val="en-US" w:eastAsia="zh-CN"/>
        </w:rPr>
        <w:t>3.1 实验1测试用例及结果分析</w:t>
      </w:r>
    </w:p>
    <w:p w14:paraId="18424640">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（1）测试用例</w:t>
      </w:r>
    </w:p>
    <w:p w14:paraId="7AD3B52D">
      <w:pPr>
        <w:widowControl/>
        <w:numPr>
          <w:ilvl w:val="0"/>
          <w:numId w:val="0"/>
        </w:numPr>
        <w:wordWrap/>
        <w:adjustRightInd/>
        <w:snapToGrid/>
        <w:spacing w:line="300" w:lineRule="auto" w:before="0" w:after="0"/>
        <w:ind w:right="0" w:firstLineChars="200" w:firstLine="420"/>
        <w:jc w:val="left"/>
        <w:textAlignment w:val="auto"/>
        <w:outlineLvl w:val="9"/>
        <w:rPr>
          <w:rFonts w:hint="eastAsia" w:cs="Times New Roman"/>
          <w:b w:val="0"/>
          <w:bCs/>
          <w:color w:val="FF0000"/>
          <w:sz w:val="21"/>
          <w:szCs w:val="21"/>
          <w:lang w:val="en-US" w:eastAsia="zh-CN"/>
        </w:rPr>
      </w:pPr>
      <w:r>
        <w:rPr>
          <w:rFonts w:ascii="Times New Roman" w:hAnsi="Times New Roman" w:eastAsia="宋体"/>
          <w:b w:val="0"/>
          <w:sz w:val="21"/>
        </w:rPr>
      </w:r>
      <w:r>
        <w:rPr>
          <w:rFonts w:ascii="Times New Roman" w:hAnsi="Times New Roman" w:eastAsia="宋体"/>
          <w:b w:val="0"/>
          <w:sz w:val="21"/>
        </w:rPr>
        <w:t>本部分采用 JUnit 5 对血压评估和血糖评估模块进行白盒测试。测试方法包括语句覆盖、分支覆盖/判定覆盖、条件覆盖、主要路径覆盖和边界值测试。具体测试用例如下表所示。</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1661"/>
        <w:gridCol w:w="1661"/>
        <w:gridCol w:w="1661"/>
        <w:gridCol w:w="1661"/>
      </w:tblGrid>
      <w:tr>
        <w:tc>
          <w:tcPr>
            <w:tcW w:type="dxa" w:w="1020"/>
            <w:shd w:fill="D9EAF7"/>
            <w:vAlign w:val="center"/>
          </w:tcPr>
          <w:p>
            <w:pPr>
              <w:spacing w:line="300" w:lineRule="auto" w:before="0" w:after="0"/>
              <w:jc w:val="center"/>
            </w:pPr>
            <w:r/>
            <w:r>
              <w:rPr>
                <w:rFonts w:ascii="Times New Roman" w:hAnsi="Times New Roman" w:eastAsia="宋体"/>
                <w:b/>
                <w:sz w:val="18"/>
              </w:rPr>
              <w:t>编号</w:t>
            </w:r>
          </w:p>
        </w:tc>
        <w:tc>
          <w:tcPr>
            <w:tcW w:type="dxa" w:w="1247"/>
            <w:shd w:fill="D9EAF7"/>
            <w:vAlign w:val="center"/>
          </w:tcPr>
          <w:p>
            <w:pPr>
              <w:spacing w:line="300" w:lineRule="auto" w:before="0" w:after="0"/>
              <w:jc w:val="center"/>
            </w:pPr>
            <w:r/>
            <w:r>
              <w:rPr>
                <w:rFonts w:ascii="Times New Roman" w:hAnsi="Times New Roman" w:eastAsia="宋体"/>
                <w:b/>
                <w:sz w:val="18"/>
              </w:rPr>
              <w:t>测试对象</w:t>
            </w:r>
          </w:p>
        </w:tc>
        <w:tc>
          <w:tcPr>
            <w:tcW w:type="dxa" w:w="2381"/>
            <w:shd w:fill="D9EAF7"/>
            <w:vAlign w:val="center"/>
          </w:tcPr>
          <w:p>
            <w:pPr>
              <w:spacing w:line="300" w:lineRule="auto" w:before="0" w:after="0"/>
              <w:jc w:val="center"/>
            </w:pPr>
            <w:r/>
            <w:r>
              <w:rPr>
                <w:rFonts w:ascii="Times New Roman" w:hAnsi="Times New Roman" w:eastAsia="宋体"/>
                <w:b/>
                <w:sz w:val="18"/>
              </w:rPr>
              <w:t>输入数据</w:t>
            </w:r>
          </w:p>
        </w:tc>
        <w:tc>
          <w:tcPr>
            <w:tcW w:type="dxa" w:w="2268"/>
            <w:shd w:fill="D9EAF7"/>
            <w:vAlign w:val="center"/>
          </w:tcPr>
          <w:p>
            <w:pPr>
              <w:spacing w:line="300" w:lineRule="auto" w:before="0" w:after="0"/>
              <w:jc w:val="center"/>
            </w:pPr>
            <w:r/>
            <w:r>
              <w:rPr>
                <w:rFonts w:ascii="Times New Roman" w:hAnsi="Times New Roman" w:eastAsia="宋体"/>
                <w:b/>
                <w:sz w:val="18"/>
              </w:rPr>
              <w:t>白盒覆盖目标</w:t>
            </w:r>
          </w:p>
        </w:tc>
        <w:tc>
          <w:tcPr>
            <w:tcW w:type="dxa" w:w="2154"/>
            <w:shd w:fill="D9EAF7"/>
            <w:vAlign w:val="center"/>
          </w:tcPr>
          <w:p>
            <w:pPr>
              <w:spacing w:line="300" w:lineRule="auto" w:before="0" w:after="0"/>
              <w:jc w:val="center"/>
            </w:pPr>
            <w:r/>
            <w:r>
              <w:rPr>
                <w:rFonts w:ascii="Times New Roman" w:hAnsi="Times New Roman" w:eastAsia="宋体"/>
                <w:b/>
                <w:sz w:val="18"/>
              </w:rPr>
              <w:t>预期结果</w:t>
            </w:r>
          </w:p>
        </w:tc>
      </w:tr>
      <w:tr>
        <w:tc>
          <w:tcPr>
            <w:tcW w:type="dxa" w:w="1020"/>
            <w:vAlign w:val="center"/>
          </w:tcPr>
          <w:p>
            <w:pPr>
              <w:spacing w:line="300" w:lineRule="auto" w:before="0" w:after="0"/>
              <w:jc w:val="center"/>
            </w:pPr>
            <w:r/>
            <w:r>
              <w:rPr>
                <w:rFonts w:ascii="Times New Roman" w:hAnsi="Times New Roman" w:eastAsia="宋体"/>
                <w:b w:val="0"/>
                <w:sz w:val="18"/>
              </w:rPr>
              <w:t>BP-WB-01</w:t>
            </w:r>
          </w:p>
        </w:tc>
        <w:tc>
          <w:tcPr>
            <w:tcW w:type="dxa" w:w="1247"/>
            <w:vAlign w:val="center"/>
          </w:tcPr>
          <w:p>
            <w:pPr>
              <w:spacing w:line="300" w:lineRule="auto" w:before="0" w:after="0"/>
              <w:jc w:val="left"/>
            </w:pPr>
            <w:r/>
            <w:r>
              <w:rPr>
                <w:rFonts w:ascii="Times New Roman" w:hAnsi="Times New Roman" w:eastAsia="宋体"/>
                <w:b w:val="0"/>
                <w:sz w:val="18"/>
              </w:rPr>
              <w:t>血压评估</w:t>
            </w:r>
          </w:p>
        </w:tc>
        <w:tc>
          <w:tcPr>
            <w:tcW w:type="dxa" w:w="2381"/>
            <w:vAlign w:val="center"/>
          </w:tcPr>
          <w:p>
            <w:pPr>
              <w:spacing w:line="300" w:lineRule="auto" w:before="0" w:after="0"/>
              <w:jc w:val="left"/>
            </w:pPr>
            <w:r/>
            <w:r>
              <w:rPr>
                <w:rFonts w:ascii="Times New Roman" w:hAnsi="Times New Roman" w:eastAsia="宋体"/>
                <w:b w:val="0"/>
                <w:sz w:val="18"/>
              </w:rPr>
              <w:t>119.9 / 79.9</w:t>
            </w:r>
          </w:p>
        </w:tc>
        <w:tc>
          <w:tcPr>
            <w:tcW w:type="dxa" w:w="2268"/>
            <w:vAlign w:val="center"/>
          </w:tcPr>
          <w:p>
            <w:pPr>
              <w:spacing w:line="300" w:lineRule="auto" w:before="0" w:after="0"/>
              <w:jc w:val="left"/>
            </w:pPr>
            <w:r/>
            <w:r>
              <w:rPr>
                <w:rFonts w:ascii="Times New Roman" w:hAnsi="Times New Roman" w:eastAsia="宋体"/>
                <w:b w:val="0"/>
                <w:sz w:val="18"/>
              </w:rPr>
              <w:t>正常路径、严格上界</w:t>
            </w:r>
          </w:p>
        </w:tc>
        <w:tc>
          <w:tcPr>
            <w:tcW w:type="dxa" w:w="2154"/>
            <w:vAlign w:val="center"/>
          </w:tcPr>
          <w:p>
            <w:pPr>
              <w:spacing w:line="300" w:lineRule="auto" w:before="0" w:after="0"/>
              <w:jc w:val="left"/>
            </w:pPr>
            <w:r/>
            <w:r>
              <w:rPr>
                <w:rFonts w:ascii="Times New Roman" w:hAnsi="Times New Roman" w:eastAsia="宋体"/>
                <w:b w:val="0"/>
                <w:sz w:val="18"/>
              </w:rPr>
              <w:t>等级为正常，返回输入值和建议</w:t>
            </w:r>
          </w:p>
        </w:tc>
      </w:tr>
      <w:tr>
        <w:tc>
          <w:tcPr>
            <w:tcW w:type="dxa" w:w="1020"/>
            <w:vAlign w:val="center"/>
          </w:tcPr>
          <w:p>
            <w:pPr>
              <w:spacing w:line="300" w:lineRule="auto" w:before="0" w:after="0"/>
              <w:jc w:val="center"/>
            </w:pPr>
            <w:r/>
            <w:r>
              <w:rPr>
                <w:rFonts w:ascii="Times New Roman" w:hAnsi="Times New Roman" w:eastAsia="宋体"/>
                <w:b w:val="0"/>
                <w:sz w:val="18"/>
              </w:rPr>
              <w:t>BP-WB-02</w:t>
            </w:r>
          </w:p>
        </w:tc>
        <w:tc>
          <w:tcPr>
            <w:tcW w:type="dxa" w:w="1247"/>
            <w:vAlign w:val="center"/>
          </w:tcPr>
          <w:p>
            <w:pPr>
              <w:spacing w:line="300" w:lineRule="auto" w:before="0" w:after="0"/>
              <w:jc w:val="left"/>
            </w:pPr>
            <w:r/>
            <w:r>
              <w:rPr>
                <w:rFonts w:ascii="Times New Roman" w:hAnsi="Times New Roman" w:eastAsia="宋体"/>
                <w:b w:val="0"/>
                <w:sz w:val="18"/>
              </w:rPr>
              <w:t>血压评估</w:t>
            </w:r>
          </w:p>
        </w:tc>
        <w:tc>
          <w:tcPr>
            <w:tcW w:type="dxa" w:w="2381"/>
            <w:vAlign w:val="center"/>
          </w:tcPr>
          <w:p>
            <w:pPr>
              <w:spacing w:line="300" w:lineRule="auto" w:before="0" w:after="0"/>
              <w:jc w:val="left"/>
            </w:pPr>
            <w:r/>
            <w:r>
              <w:rPr>
                <w:rFonts w:ascii="Times New Roman" w:hAnsi="Times New Roman" w:eastAsia="宋体"/>
                <w:b w:val="0"/>
                <w:sz w:val="18"/>
              </w:rPr>
              <w:t>120 / 79；119 / 80；139.9 / 89.9</w:t>
            </w:r>
          </w:p>
        </w:tc>
        <w:tc>
          <w:tcPr>
            <w:tcW w:type="dxa" w:w="2268"/>
            <w:vAlign w:val="center"/>
          </w:tcPr>
          <w:p>
            <w:pPr>
              <w:spacing w:line="300" w:lineRule="auto" w:before="0" w:after="0"/>
              <w:jc w:val="left"/>
            </w:pPr>
            <w:r/>
            <w:r>
              <w:rPr>
                <w:rFonts w:ascii="Times New Roman" w:hAnsi="Times New Roman" w:eastAsia="宋体"/>
                <w:b w:val="0"/>
                <w:sz w:val="18"/>
              </w:rPr>
              <w:t>偏高路径、复合条件覆盖</w:t>
            </w:r>
          </w:p>
        </w:tc>
        <w:tc>
          <w:tcPr>
            <w:tcW w:type="dxa" w:w="2154"/>
            <w:vAlign w:val="center"/>
          </w:tcPr>
          <w:p>
            <w:pPr>
              <w:spacing w:line="300" w:lineRule="auto" w:before="0" w:after="0"/>
              <w:jc w:val="left"/>
            </w:pPr>
            <w:r/>
            <w:r>
              <w:rPr>
                <w:rFonts w:ascii="Times New Roman" w:hAnsi="Times New Roman" w:eastAsia="宋体"/>
                <w:b w:val="0"/>
                <w:sz w:val="18"/>
              </w:rPr>
              <w:t>等级为偏高</w:t>
            </w:r>
          </w:p>
        </w:tc>
      </w:tr>
      <w:tr>
        <w:tc>
          <w:tcPr>
            <w:tcW w:type="dxa" w:w="1020"/>
            <w:vAlign w:val="center"/>
          </w:tcPr>
          <w:p>
            <w:pPr>
              <w:spacing w:line="300" w:lineRule="auto" w:before="0" w:after="0"/>
              <w:jc w:val="center"/>
            </w:pPr>
            <w:r/>
            <w:r>
              <w:rPr>
                <w:rFonts w:ascii="Times New Roman" w:hAnsi="Times New Roman" w:eastAsia="宋体"/>
                <w:b w:val="0"/>
                <w:sz w:val="18"/>
              </w:rPr>
              <w:t>BP-WB-03</w:t>
            </w:r>
          </w:p>
        </w:tc>
        <w:tc>
          <w:tcPr>
            <w:tcW w:type="dxa" w:w="1247"/>
            <w:vAlign w:val="center"/>
          </w:tcPr>
          <w:p>
            <w:pPr>
              <w:spacing w:line="300" w:lineRule="auto" w:before="0" w:after="0"/>
              <w:jc w:val="left"/>
            </w:pPr>
            <w:r/>
            <w:r>
              <w:rPr>
                <w:rFonts w:ascii="Times New Roman" w:hAnsi="Times New Roman" w:eastAsia="宋体"/>
                <w:b w:val="0"/>
                <w:sz w:val="18"/>
              </w:rPr>
              <w:t>血压评估</w:t>
            </w:r>
          </w:p>
        </w:tc>
        <w:tc>
          <w:tcPr>
            <w:tcW w:type="dxa" w:w="2381"/>
            <w:vAlign w:val="center"/>
          </w:tcPr>
          <w:p>
            <w:pPr>
              <w:spacing w:line="300" w:lineRule="auto" w:before="0" w:after="0"/>
              <w:jc w:val="left"/>
            </w:pPr>
            <w:r/>
            <w:r>
              <w:rPr>
                <w:rFonts w:ascii="Times New Roman" w:hAnsi="Times New Roman" w:eastAsia="宋体"/>
                <w:b w:val="0"/>
                <w:sz w:val="18"/>
              </w:rPr>
              <w:t>140 / 89；139 / 90；160 / 100</w:t>
            </w:r>
          </w:p>
        </w:tc>
        <w:tc>
          <w:tcPr>
            <w:tcW w:type="dxa" w:w="2268"/>
            <w:vAlign w:val="center"/>
          </w:tcPr>
          <w:p>
            <w:pPr>
              <w:spacing w:line="300" w:lineRule="auto" w:before="0" w:after="0"/>
              <w:jc w:val="left"/>
            </w:pPr>
            <w:r/>
            <w:r>
              <w:rPr>
                <w:rFonts w:ascii="Times New Roman" w:hAnsi="Times New Roman" w:eastAsia="宋体"/>
                <w:b w:val="0"/>
                <w:sz w:val="18"/>
              </w:rPr>
              <w:t>高血压路径、复合条件覆盖</w:t>
            </w:r>
          </w:p>
        </w:tc>
        <w:tc>
          <w:tcPr>
            <w:tcW w:type="dxa" w:w="2154"/>
            <w:vAlign w:val="center"/>
          </w:tcPr>
          <w:p>
            <w:pPr>
              <w:spacing w:line="300" w:lineRule="auto" w:before="0" w:after="0"/>
              <w:jc w:val="left"/>
            </w:pPr>
            <w:r/>
            <w:r>
              <w:rPr>
                <w:rFonts w:ascii="Times New Roman" w:hAnsi="Times New Roman" w:eastAsia="宋体"/>
                <w:b w:val="0"/>
                <w:sz w:val="18"/>
              </w:rPr>
              <w:t>等级为高血压</w:t>
            </w:r>
          </w:p>
        </w:tc>
      </w:tr>
      <w:tr>
        <w:tc>
          <w:tcPr>
            <w:tcW w:type="dxa" w:w="1020"/>
            <w:vAlign w:val="center"/>
          </w:tcPr>
          <w:p>
            <w:pPr>
              <w:spacing w:line="300" w:lineRule="auto" w:before="0" w:after="0"/>
              <w:jc w:val="center"/>
            </w:pPr>
            <w:r/>
            <w:r>
              <w:rPr>
                <w:rFonts w:ascii="Times New Roman" w:hAnsi="Times New Roman" w:eastAsia="宋体"/>
                <w:b w:val="0"/>
                <w:sz w:val="18"/>
              </w:rPr>
              <w:t>BP-WB-04</w:t>
            </w:r>
          </w:p>
        </w:tc>
        <w:tc>
          <w:tcPr>
            <w:tcW w:type="dxa" w:w="1247"/>
            <w:vAlign w:val="center"/>
          </w:tcPr>
          <w:p>
            <w:pPr>
              <w:spacing w:line="300" w:lineRule="auto" w:before="0" w:after="0"/>
              <w:jc w:val="left"/>
            </w:pPr>
            <w:r/>
            <w:r>
              <w:rPr>
                <w:rFonts w:ascii="Times New Roman" w:hAnsi="Times New Roman" w:eastAsia="宋体"/>
                <w:b w:val="0"/>
                <w:sz w:val="18"/>
              </w:rPr>
              <w:t>血压评估</w:t>
            </w:r>
          </w:p>
        </w:tc>
        <w:tc>
          <w:tcPr>
            <w:tcW w:type="dxa" w:w="2381"/>
            <w:vAlign w:val="center"/>
          </w:tcPr>
          <w:p>
            <w:pPr>
              <w:spacing w:line="300" w:lineRule="auto" w:before="0" w:after="0"/>
              <w:jc w:val="left"/>
            </w:pPr>
            <w:r/>
            <w:r>
              <w:rPr>
                <w:rFonts w:ascii="Times New Roman" w:hAnsi="Times New Roman" w:eastAsia="宋体"/>
                <w:b w:val="0"/>
                <w:sz w:val="18"/>
              </w:rPr>
              <w:t>0 / 80；120 / 0；-1 / -1</w:t>
            </w:r>
          </w:p>
        </w:tc>
        <w:tc>
          <w:tcPr>
            <w:tcW w:type="dxa" w:w="2268"/>
            <w:vAlign w:val="center"/>
          </w:tcPr>
          <w:p>
            <w:pPr>
              <w:spacing w:line="300" w:lineRule="auto" w:before="0" w:after="0"/>
              <w:jc w:val="left"/>
            </w:pPr>
            <w:r/>
            <w:r>
              <w:rPr>
                <w:rFonts w:ascii="Times New Roman" w:hAnsi="Times New Roman" w:eastAsia="宋体"/>
                <w:b w:val="0"/>
                <w:sz w:val="18"/>
              </w:rPr>
              <w:t>非正数异常路径</w:t>
            </w:r>
          </w:p>
        </w:tc>
        <w:tc>
          <w:tcPr>
            <w:tcW w:type="dxa" w:w="2154"/>
            <w:vAlign w:val="center"/>
          </w:tcPr>
          <w:p>
            <w:pPr>
              <w:spacing w:line="300" w:lineRule="auto" w:before="0" w:after="0"/>
              <w:jc w:val="left"/>
            </w:pPr>
            <w:r/>
            <w:r>
              <w:rPr>
                <w:rFonts w:ascii="Times New Roman" w:hAnsi="Times New Roman" w:eastAsia="宋体"/>
                <w:b w:val="0"/>
                <w:sz w:val="18"/>
              </w:rPr>
              <w:t>抛出 IllegalArgumentException</w:t>
            </w:r>
          </w:p>
        </w:tc>
      </w:tr>
      <w:tr>
        <w:tc>
          <w:tcPr>
            <w:tcW w:type="dxa" w:w="1020"/>
            <w:vAlign w:val="center"/>
          </w:tcPr>
          <w:p>
            <w:pPr>
              <w:spacing w:line="300" w:lineRule="auto" w:before="0" w:after="0"/>
              <w:jc w:val="center"/>
            </w:pPr>
            <w:r/>
            <w:r>
              <w:rPr>
                <w:rFonts w:ascii="Times New Roman" w:hAnsi="Times New Roman" w:eastAsia="宋体"/>
                <w:b w:val="0"/>
                <w:sz w:val="18"/>
              </w:rPr>
              <w:t>BP-WB-05</w:t>
            </w:r>
          </w:p>
        </w:tc>
        <w:tc>
          <w:tcPr>
            <w:tcW w:type="dxa" w:w="1247"/>
            <w:vAlign w:val="center"/>
          </w:tcPr>
          <w:p>
            <w:pPr>
              <w:spacing w:line="300" w:lineRule="auto" w:before="0" w:after="0"/>
              <w:jc w:val="left"/>
            </w:pPr>
            <w:r/>
            <w:r>
              <w:rPr>
                <w:rFonts w:ascii="Times New Roman" w:hAnsi="Times New Roman" w:eastAsia="宋体"/>
                <w:b w:val="0"/>
                <w:sz w:val="18"/>
              </w:rPr>
              <w:t>血压评估</w:t>
            </w:r>
          </w:p>
        </w:tc>
        <w:tc>
          <w:tcPr>
            <w:tcW w:type="dxa" w:w="2381"/>
            <w:vAlign w:val="center"/>
          </w:tcPr>
          <w:p>
            <w:pPr>
              <w:spacing w:line="300" w:lineRule="auto" w:before="0" w:after="0"/>
              <w:jc w:val="left"/>
            </w:pPr>
            <w:r/>
            <w:r>
              <w:rPr>
                <w:rFonts w:ascii="Times New Roman" w:hAnsi="Times New Roman" w:eastAsia="宋体"/>
                <w:b w:val="0"/>
                <w:sz w:val="18"/>
              </w:rPr>
              <w:t>301 / 80；120 / 201；301 / 201</w:t>
            </w:r>
          </w:p>
        </w:tc>
        <w:tc>
          <w:tcPr>
            <w:tcW w:type="dxa" w:w="2268"/>
            <w:vAlign w:val="center"/>
          </w:tcPr>
          <w:p>
            <w:pPr>
              <w:spacing w:line="300" w:lineRule="auto" w:before="0" w:after="0"/>
              <w:jc w:val="left"/>
            </w:pPr>
            <w:r/>
            <w:r>
              <w:rPr>
                <w:rFonts w:ascii="Times New Roman" w:hAnsi="Times New Roman" w:eastAsia="宋体"/>
                <w:b w:val="0"/>
                <w:sz w:val="18"/>
              </w:rPr>
              <w:t>超范围异常路径</w:t>
            </w:r>
          </w:p>
        </w:tc>
        <w:tc>
          <w:tcPr>
            <w:tcW w:type="dxa" w:w="2154"/>
            <w:vAlign w:val="center"/>
          </w:tcPr>
          <w:p>
            <w:pPr>
              <w:spacing w:line="300" w:lineRule="auto" w:before="0" w:after="0"/>
              <w:jc w:val="left"/>
            </w:pPr>
            <w:r/>
            <w:r>
              <w:rPr>
                <w:rFonts w:ascii="Times New Roman" w:hAnsi="Times New Roman" w:eastAsia="宋体"/>
                <w:b w:val="0"/>
                <w:sz w:val="18"/>
              </w:rPr>
              <w:t>抛出 IllegalArgumentException</w:t>
            </w:r>
          </w:p>
        </w:tc>
      </w:tr>
      <w:tr>
        <w:tc>
          <w:tcPr>
            <w:tcW w:type="dxa" w:w="1020"/>
            <w:vAlign w:val="center"/>
          </w:tcPr>
          <w:p>
            <w:pPr>
              <w:spacing w:line="300" w:lineRule="auto" w:before="0" w:after="0"/>
              <w:jc w:val="center"/>
            </w:pPr>
            <w:r/>
            <w:r>
              <w:rPr>
                <w:rFonts w:ascii="Times New Roman" w:hAnsi="Times New Roman" w:eastAsia="宋体"/>
                <w:b w:val="0"/>
                <w:sz w:val="18"/>
              </w:rPr>
              <w:t>BP-WB-06</w:t>
            </w:r>
          </w:p>
        </w:tc>
        <w:tc>
          <w:tcPr>
            <w:tcW w:type="dxa" w:w="1247"/>
            <w:vAlign w:val="center"/>
          </w:tcPr>
          <w:p>
            <w:pPr>
              <w:spacing w:line="300" w:lineRule="auto" w:before="0" w:after="0"/>
              <w:jc w:val="left"/>
            </w:pPr>
            <w:r/>
            <w:r>
              <w:rPr>
                <w:rFonts w:ascii="Times New Roman" w:hAnsi="Times New Roman" w:eastAsia="宋体"/>
                <w:b w:val="0"/>
                <w:sz w:val="18"/>
              </w:rPr>
              <w:t>血压评估</w:t>
            </w:r>
          </w:p>
        </w:tc>
        <w:tc>
          <w:tcPr>
            <w:tcW w:type="dxa" w:w="2381"/>
            <w:vAlign w:val="center"/>
          </w:tcPr>
          <w:p>
            <w:pPr>
              <w:spacing w:line="300" w:lineRule="auto" w:before="0" w:after="0"/>
              <w:jc w:val="left"/>
            </w:pPr>
            <w:r/>
            <w:r>
              <w:rPr>
                <w:rFonts w:ascii="Times New Roman" w:hAnsi="Times New Roman" w:eastAsia="宋体"/>
                <w:b w:val="0"/>
                <w:sz w:val="18"/>
              </w:rPr>
              <w:t>300 / 200</w:t>
            </w:r>
          </w:p>
        </w:tc>
        <w:tc>
          <w:tcPr>
            <w:tcW w:type="dxa" w:w="2268"/>
            <w:vAlign w:val="center"/>
          </w:tcPr>
          <w:p>
            <w:pPr>
              <w:spacing w:line="300" w:lineRule="auto" w:before="0" w:after="0"/>
              <w:jc w:val="left"/>
            </w:pPr>
            <w:r/>
            <w:r>
              <w:rPr>
                <w:rFonts w:ascii="Times New Roman" w:hAnsi="Times New Roman" w:eastAsia="宋体"/>
                <w:b w:val="0"/>
                <w:sz w:val="18"/>
              </w:rPr>
              <w:t>最大合法值路径</w:t>
            </w:r>
          </w:p>
        </w:tc>
        <w:tc>
          <w:tcPr>
            <w:tcW w:type="dxa" w:w="2154"/>
            <w:vAlign w:val="center"/>
          </w:tcPr>
          <w:p>
            <w:pPr>
              <w:spacing w:line="300" w:lineRule="auto" w:before="0" w:after="0"/>
              <w:jc w:val="left"/>
            </w:pPr>
            <w:r/>
            <w:r>
              <w:rPr>
                <w:rFonts w:ascii="Times New Roman" w:hAnsi="Times New Roman" w:eastAsia="宋体"/>
                <w:b w:val="0"/>
                <w:sz w:val="18"/>
              </w:rPr>
              <w:t>等级为高血压，返回字段完整</w:t>
            </w:r>
          </w:p>
        </w:tc>
      </w:tr>
      <w:tr>
        <w:tc>
          <w:tcPr>
            <w:tcW w:type="dxa" w:w="1020"/>
            <w:vAlign w:val="center"/>
          </w:tcPr>
          <w:p>
            <w:pPr>
              <w:spacing w:line="300" w:lineRule="auto" w:before="0" w:after="0"/>
              <w:jc w:val="center"/>
            </w:pPr>
            <w:r/>
            <w:r>
              <w:rPr>
                <w:rFonts w:ascii="Times New Roman" w:hAnsi="Times New Roman" w:eastAsia="宋体"/>
                <w:b w:val="0"/>
                <w:sz w:val="18"/>
              </w:rPr>
              <w:t>BG-WB-01</w:t>
            </w:r>
          </w:p>
        </w:tc>
        <w:tc>
          <w:tcPr>
            <w:tcW w:type="dxa" w:w="1247"/>
            <w:vAlign w:val="center"/>
          </w:tcPr>
          <w:p>
            <w:pPr>
              <w:spacing w:line="300" w:lineRule="auto" w:before="0" w:after="0"/>
              <w:jc w:val="left"/>
            </w:pPr>
            <w:r/>
            <w:r>
              <w:rPr>
                <w:rFonts w:ascii="Times New Roman" w:hAnsi="Times New Roman" w:eastAsia="宋体"/>
                <w:b w:val="0"/>
                <w:sz w:val="18"/>
              </w:rPr>
              <w:t>血糖评估</w:t>
            </w:r>
          </w:p>
        </w:tc>
        <w:tc>
          <w:tcPr>
            <w:tcW w:type="dxa" w:w="2381"/>
            <w:vAlign w:val="center"/>
          </w:tcPr>
          <w:p>
            <w:pPr>
              <w:spacing w:line="300" w:lineRule="auto" w:before="0" w:after="0"/>
              <w:jc w:val="left"/>
            </w:pPr>
            <w:r/>
            <w:r>
              <w:rPr>
                <w:rFonts w:ascii="Times New Roman" w:hAnsi="Times New Roman" w:eastAsia="宋体"/>
                <w:b w:val="0"/>
                <w:sz w:val="18"/>
              </w:rPr>
              <w:t>空腹：3.8、3.9、6.1、6.1001、7.0、7.0001</w:t>
            </w:r>
          </w:p>
        </w:tc>
        <w:tc>
          <w:tcPr>
            <w:tcW w:type="dxa" w:w="2268"/>
            <w:vAlign w:val="center"/>
          </w:tcPr>
          <w:p>
            <w:pPr>
              <w:spacing w:line="300" w:lineRule="auto" w:before="0" w:after="0"/>
              <w:jc w:val="left"/>
            </w:pPr>
            <w:r/>
            <w:r>
              <w:rPr>
                <w:rFonts w:ascii="Times New Roman" w:hAnsi="Times New Roman" w:eastAsia="宋体"/>
                <w:b w:val="0"/>
                <w:sz w:val="18"/>
              </w:rPr>
              <w:t>空腹区间选择、边界值</w:t>
            </w:r>
          </w:p>
        </w:tc>
        <w:tc>
          <w:tcPr>
            <w:tcW w:type="dxa" w:w="2154"/>
            <w:vAlign w:val="center"/>
          </w:tcPr>
          <w:p>
            <w:pPr>
              <w:spacing w:line="300" w:lineRule="auto" w:before="0" w:after="0"/>
              <w:jc w:val="left"/>
            </w:pPr>
            <w:r/>
            <w:r>
              <w:rPr>
                <w:rFonts w:ascii="Times New Roman" w:hAnsi="Times New Roman" w:eastAsia="宋体"/>
                <w:b w:val="0"/>
                <w:sz w:val="18"/>
              </w:rPr>
              <w:t>覆盖低血糖、正常、偏高、高血糖</w:t>
            </w:r>
          </w:p>
        </w:tc>
      </w:tr>
      <w:tr>
        <w:tc>
          <w:tcPr>
            <w:tcW w:type="dxa" w:w="1020"/>
            <w:vAlign w:val="center"/>
          </w:tcPr>
          <w:p>
            <w:pPr>
              <w:spacing w:line="300" w:lineRule="auto" w:before="0" w:after="0"/>
              <w:jc w:val="center"/>
            </w:pPr>
            <w:r/>
            <w:r>
              <w:rPr>
                <w:rFonts w:ascii="Times New Roman" w:hAnsi="Times New Roman" w:eastAsia="宋体"/>
                <w:b w:val="0"/>
                <w:sz w:val="18"/>
              </w:rPr>
              <w:t>BG-WB-02</w:t>
            </w:r>
          </w:p>
        </w:tc>
        <w:tc>
          <w:tcPr>
            <w:tcW w:type="dxa" w:w="1247"/>
            <w:vAlign w:val="center"/>
          </w:tcPr>
          <w:p>
            <w:pPr>
              <w:spacing w:line="300" w:lineRule="auto" w:before="0" w:after="0"/>
              <w:jc w:val="left"/>
            </w:pPr>
            <w:r/>
            <w:r>
              <w:rPr>
                <w:rFonts w:ascii="Times New Roman" w:hAnsi="Times New Roman" w:eastAsia="宋体"/>
                <w:b w:val="0"/>
                <w:sz w:val="18"/>
              </w:rPr>
              <w:t>血糖评估</w:t>
            </w:r>
          </w:p>
        </w:tc>
        <w:tc>
          <w:tcPr>
            <w:tcW w:type="dxa" w:w="2381"/>
            <w:vAlign w:val="center"/>
          </w:tcPr>
          <w:p>
            <w:pPr>
              <w:spacing w:line="300" w:lineRule="auto" w:before="0" w:after="0"/>
              <w:jc w:val="left"/>
            </w:pPr>
            <w:r/>
            <w:r>
              <w:rPr>
                <w:rFonts w:ascii="Times New Roman" w:hAnsi="Times New Roman" w:eastAsia="宋体"/>
                <w:b w:val="0"/>
                <w:sz w:val="18"/>
              </w:rPr>
              <w:t>餐后：3.8、3.9、7.8、7.8001、11.1、11.1001</w:t>
            </w:r>
          </w:p>
        </w:tc>
        <w:tc>
          <w:tcPr>
            <w:tcW w:type="dxa" w:w="2268"/>
            <w:vAlign w:val="center"/>
          </w:tcPr>
          <w:p>
            <w:pPr>
              <w:spacing w:line="300" w:lineRule="auto" w:before="0" w:after="0"/>
              <w:jc w:val="left"/>
            </w:pPr>
            <w:r/>
            <w:r>
              <w:rPr>
                <w:rFonts w:ascii="Times New Roman" w:hAnsi="Times New Roman" w:eastAsia="宋体"/>
                <w:b w:val="0"/>
                <w:sz w:val="18"/>
              </w:rPr>
              <w:t>餐后区间选择、边界值</w:t>
            </w:r>
          </w:p>
        </w:tc>
        <w:tc>
          <w:tcPr>
            <w:tcW w:type="dxa" w:w="2154"/>
            <w:vAlign w:val="center"/>
          </w:tcPr>
          <w:p>
            <w:pPr>
              <w:spacing w:line="300" w:lineRule="auto" w:before="0" w:after="0"/>
              <w:jc w:val="left"/>
            </w:pPr>
            <w:r/>
            <w:r>
              <w:rPr>
                <w:rFonts w:ascii="Times New Roman" w:hAnsi="Times New Roman" w:eastAsia="宋体"/>
                <w:b w:val="0"/>
                <w:sz w:val="18"/>
              </w:rPr>
              <w:t>覆盖低血糖、正常、偏高、高血糖</w:t>
            </w:r>
          </w:p>
        </w:tc>
      </w:tr>
      <w:tr>
        <w:tc>
          <w:tcPr>
            <w:tcW w:type="dxa" w:w="1020"/>
            <w:vAlign w:val="center"/>
          </w:tcPr>
          <w:p>
            <w:pPr>
              <w:spacing w:line="300" w:lineRule="auto" w:before="0" w:after="0"/>
              <w:jc w:val="center"/>
            </w:pPr>
            <w:r/>
            <w:r>
              <w:rPr>
                <w:rFonts w:ascii="Times New Roman" w:hAnsi="Times New Roman" w:eastAsia="宋体"/>
                <w:b w:val="0"/>
                <w:sz w:val="18"/>
              </w:rPr>
              <w:t>BG-WB-03</w:t>
            </w:r>
          </w:p>
        </w:tc>
        <w:tc>
          <w:tcPr>
            <w:tcW w:type="dxa" w:w="1247"/>
            <w:vAlign w:val="center"/>
          </w:tcPr>
          <w:p>
            <w:pPr>
              <w:spacing w:line="300" w:lineRule="auto" w:before="0" w:after="0"/>
              <w:jc w:val="left"/>
            </w:pPr>
            <w:r/>
            <w:r>
              <w:rPr>
                <w:rFonts w:ascii="Times New Roman" w:hAnsi="Times New Roman" w:eastAsia="宋体"/>
                <w:b w:val="0"/>
                <w:sz w:val="18"/>
              </w:rPr>
              <w:t>血糖评估</w:t>
            </w:r>
          </w:p>
        </w:tc>
        <w:tc>
          <w:tcPr>
            <w:tcW w:type="dxa" w:w="2381"/>
            <w:vAlign w:val="center"/>
          </w:tcPr>
          <w:p>
            <w:pPr>
              <w:spacing w:line="300" w:lineRule="auto" w:before="0" w:after="0"/>
              <w:jc w:val="left"/>
            </w:pPr>
            <w:r/>
            <w:r>
              <w:rPr>
                <w:rFonts w:ascii="Times New Roman" w:hAnsi="Times New Roman" w:eastAsia="宋体"/>
                <w:b w:val="0"/>
                <w:sz w:val="18"/>
              </w:rPr>
              <w:t>6.2 + 空腹/餐后</w:t>
            </w:r>
          </w:p>
        </w:tc>
        <w:tc>
          <w:tcPr>
            <w:tcW w:type="dxa" w:w="2268"/>
            <w:vAlign w:val="center"/>
          </w:tcPr>
          <w:p>
            <w:pPr>
              <w:spacing w:line="300" w:lineRule="auto" w:before="0" w:after="0"/>
              <w:jc w:val="left"/>
            </w:pPr>
            <w:r/>
            <w:r>
              <w:rPr>
                <w:rFonts w:ascii="Times New Roman" w:hAnsi="Times New Roman" w:eastAsia="宋体"/>
                <w:b w:val="0"/>
                <w:sz w:val="18"/>
              </w:rPr>
              <w:t>相同数值不同时段路径</w:t>
            </w:r>
          </w:p>
        </w:tc>
        <w:tc>
          <w:tcPr>
            <w:tcW w:type="dxa" w:w="2154"/>
            <w:vAlign w:val="center"/>
          </w:tcPr>
          <w:p>
            <w:pPr>
              <w:spacing w:line="300" w:lineRule="auto" w:before="0" w:after="0"/>
              <w:jc w:val="left"/>
            </w:pPr>
            <w:r/>
            <w:r>
              <w:rPr>
                <w:rFonts w:ascii="Times New Roman" w:hAnsi="Times New Roman" w:eastAsia="宋体"/>
                <w:b w:val="0"/>
                <w:sz w:val="18"/>
              </w:rPr>
              <w:t>空腹为偏高，餐后为正常</w:t>
            </w:r>
          </w:p>
        </w:tc>
      </w:tr>
      <w:tr>
        <w:tc>
          <w:tcPr>
            <w:tcW w:type="dxa" w:w="1020"/>
            <w:vAlign w:val="center"/>
          </w:tcPr>
          <w:p>
            <w:pPr>
              <w:spacing w:line="300" w:lineRule="auto" w:before="0" w:after="0"/>
              <w:jc w:val="center"/>
            </w:pPr>
            <w:r/>
            <w:r>
              <w:rPr>
                <w:rFonts w:ascii="Times New Roman" w:hAnsi="Times New Roman" w:eastAsia="宋体"/>
                <w:b w:val="0"/>
                <w:sz w:val="18"/>
              </w:rPr>
              <w:t>BG-WB-04</w:t>
            </w:r>
          </w:p>
        </w:tc>
        <w:tc>
          <w:tcPr>
            <w:tcW w:type="dxa" w:w="1247"/>
            <w:vAlign w:val="center"/>
          </w:tcPr>
          <w:p>
            <w:pPr>
              <w:spacing w:line="300" w:lineRule="auto" w:before="0" w:after="0"/>
              <w:jc w:val="left"/>
            </w:pPr>
            <w:r/>
            <w:r>
              <w:rPr>
                <w:rFonts w:ascii="Times New Roman" w:hAnsi="Times New Roman" w:eastAsia="宋体"/>
                <w:b w:val="0"/>
                <w:sz w:val="18"/>
              </w:rPr>
              <w:t>血糖评估</w:t>
            </w:r>
          </w:p>
        </w:tc>
        <w:tc>
          <w:tcPr>
            <w:tcW w:type="dxa" w:w="2381"/>
            <w:vAlign w:val="center"/>
          </w:tcPr>
          <w:p>
            <w:pPr>
              <w:spacing w:line="300" w:lineRule="auto" w:before="0" w:after="0"/>
              <w:jc w:val="left"/>
            </w:pPr>
            <w:r/>
            <w:r>
              <w:rPr>
                <w:rFonts w:ascii="Times New Roman" w:hAnsi="Times New Roman" w:eastAsia="宋体"/>
                <w:b w:val="0"/>
                <w:sz w:val="18"/>
              </w:rPr>
              <w:t>0；-0.1；35.1</w:t>
            </w:r>
          </w:p>
        </w:tc>
        <w:tc>
          <w:tcPr>
            <w:tcW w:type="dxa" w:w="2268"/>
            <w:vAlign w:val="center"/>
          </w:tcPr>
          <w:p>
            <w:pPr>
              <w:spacing w:line="300" w:lineRule="auto" w:before="0" w:after="0"/>
              <w:jc w:val="left"/>
            </w:pPr>
            <w:r/>
            <w:r>
              <w:rPr>
                <w:rFonts w:ascii="Times New Roman" w:hAnsi="Times New Roman" w:eastAsia="宋体"/>
                <w:b w:val="0"/>
                <w:sz w:val="18"/>
              </w:rPr>
              <w:t>非法血糖值异常路径</w:t>
            </w:r>
          </w:p>
        </w:tc>
        <w:tc>
          <w:tcPr>
            <w:tcW w:type="dxa" w:w="2154"/>
            <w:vAlign w:val="center"/>
          </w:tcPr>
          <w:p>
            <w:pPr>
              <w:spacing w:line="300" w:lineRule="auto" w:before="0" w:after="0"/>
              <w:jc w:val="left"/>
            </w:pPr>
            <w:r/>
            <w:r>
              <w:rPr>
                <w:rFonts w:ascii="Times New Roman" w:hAnsi="Times New Roman" w:eastAsia="宋体"/>
                <w:b w:val="0"/>
                <w:sz w:val="18"/>
              </w:rPr>
              <w:t>抛出 IllegalArgumentException</w:t>
            </w:r>
          </w:p>
        </w:tc>
      </w:tr>
      <w:tr>
        <w:tc>
          <w:tcPr>
            <w:tcW w:type="dxa" w:w="1020"/>
            <w:vAlign w:val="center"/>
          </w:tcPr>
          <w:p>
            <w:pPr>
              <w:spacing w:line="300" w:lineRule="auto" w:before="0" w:after="0"/>
              <w:jc w:val="center"/>
            </w:pPr>
            <w:r/>
            <w:r>
              <w:rPr>
                <w:rFonts w:ascii="Times New Roman" w:hAnsi="Times New Roman" w:eastAsia="宋体"/>
                <w:b w:val="0"/>
                <w:sz w:val="18"/>
              </w:rPr>
              <w:t>BG-WB-05</w:t>
            </w:r>
          </w:p>
        </w:tc>
        <w:tc>
          <w:tcPr>
            <w:tcW w:type="dxa" w:w="1247"/>
            <w:vAlign w:val="center"/>
          </w:tcPr>
          <w:p>
            <w:pPr>
              <w:spacing w:line="300" w:lineRule="auto" w:before="0" w:after="0"/>
              <w:jc w:val="left"/>
            </w:pPr>
            <w:r/>
            <w:r>
              <w:rPr>
                <w:rFonts w:ascii="Times New Roman" w:hAnsi="Times New Roman" w:eastAsia="宋体"/>
                <w:b w:val="0"/>
                <w:sz w:val="18"/>
              </w:rPr>
              <w:t>血糖评估</w:t>
            </w:r>
          </w:p>
        </w:tc>
        <w:tc>
          <w:tcPr>
            <w:tcW w:type="dxa" w:w="2381"/>
            <w:vAlign w:val="center"/>
          </w:tcPr>
          <w:p>
            <w:pPr>
              <w:spacing w:line="300" w:lineRule="auto" w:before="0" w:after="0"/>
              <w:jc w:val="left"/>
            </w:pPr>
            <w:r/>
            <w:r>
              <w:rPr>
                <w:rFonts w:ascii="Times New Roman" w:hAnsi="Times New Roman" w:eastAsia="宋体"/>
                <w:b w:val="0"/>
                <w:sz w:val="18"/>
              </w:rPr>
              <w:t>5.0 + random/null</w:t>
            </w:r>
          </w:p>
        </w:tc>
        <w:tc>
          <w:tcPr>
            <w:tcW w:type="dxa" w:w="2268"/>
            <w:vAlign w:val="center"/>
          </w:tcPr>
          <w:p>
            <w:pPr>
              <w:spacing w:line="300" w:lineRule="auto" w:before="0" w:after="0"/>
              <w:jc w:val="left"/>
            </w:pPr>
            <w:r/>
            <w:r>
              <w:rPr>
                <w:rFonts w:ascii="Times New Roman" w:hAnsi="Times New Roman" w:eastAsia="宋体"/>
                <w:b w:val="0"/>
                <w:sz w:val="18"/>
              </w:rPr>
              <w:t>非法测量时段异常路径</w:t>
            </w:r>
          </w:p>
        </w:tc>
        <w:tc>
          <w:tcPr>
            <w:tcW w:type="dxa" w:w="2154"/>
            <w:vAlign w:val="center"/>
          </w:tcPr>
          <w:p>
            <w:pPr>
              <w:spacing w:line="300" w:lineRule="auto" w:before="0" w:after="0"/>
              <w:jc w:val="left"/>
            </w:pPr>
            <w:r/>
            <w:r>
              <w:rPr>
                <w:rFonts w:ascii="Times New Roman" w:hAnsi="Times New Roman" w:eastAsia="宋体"/>
                <w:b w:val="0"/>
                <w:sz w:val="18"/>
              </w:rPr>
              <w:t>抛出 IllegalArgumentException</w:t>
            </w:r>
          </w:p>
        </w:tc>
      </w:tr>
      <w:tr>
        <w:tc>
          <w:tcPr>
            <w:tcW w:type="dxa" w:w="1020"/>
            <w:vAlign w:val="center"/>
          </w:tcPr>
          <w:p>
            <w:pPr>
              <w:spacing w:line="300" w:lineRule="auto" w:before="0" w:after="0"/>
              <w:jc w:val="center"/>
            </w:pPr>
            <w:r/>
            <w:r>
              <w:rPr>
                <w:rFonts w:ascii="Times New Roman" w:hAnsi="Times New Roman" w:eastAsia="宋体"/>
                <w:b w:val="0"/>
                <w:sz w:val="18"/>
              </w:rPr>
              <w:t>BG-WB-06</w:t>
            </w:r>
          </w:p>
        </w:tc>
        <w:tc>
          <w:tcPr>
            <w:tcW w:type="dxa" w:w="1247"/>
            <w:vAlign w:val="center"/>
          </w:tcPr>
          <w:p>
            <w:pPr>
              <w:spacing w:line="300" w:lineRule="auto" w:before="0" w:after="0"/>
              <w:jc w:val="left"/>
            </w:pPr>
            <w:r/>
            <w:r>
              <w:rPr>
                <w:rFonts w:ascii="Times New Roman" w:hAnsi="Times New Roman" w:eastAsia="宋体"/>
                <w:b w:val="0"/>
                <w:sz w:val="18"/>
              </w:rPr>
              <w:t>血糖评估</w:t>
            </w:r>
          </w:p>
        </w:tc>
        <w:tc>
          <w:tcPr>
            <w:tcW w:type="dxa" w:w="2381"/>
            <w:vAlign w:val="center"/>
          </w:tcPr>
          <w:p>
            <w:pPr>
              <w:spacing w:line="300" w:lineRule="auto" w:before="0" w:after="0"/>
              <w:jc w:val="left"/>
            </w:pPr>
            <w:r/>
            <w:r>
              <w:rPr>
                <w:rFonts w:ascii="Times New Roman" w:hAnsi="Times New Roman" w:eastAsia="宋体"/>
                <w:b w:val="0"/>
                <w:sz w:val="18"/>
              </w:rPr>
              <w:t>35.0 + 餐后</w:t>
            </w:r>
          </w:p>
        </w:tc>
        <w:tc>
          <w:tcPr>
            <w:tcW w:type="dxa" w:w="2268"/>
            <w:vAlign w:val="center"/>
          </w:tcPr>
          <w:p>
            <w:pPr>
              <w:spacing w:line="300" w:lineRule="auto" w:before="0" w:after="0"/>
              <w:jc w:val="left"/>
            </w:pPr>
            <w:r/>
            <w:r>
              <w:rPr>
                <w:rFonts w:ascii="Times New Roman" w:hAnsi="Times New Roman" w:eastAsia="宋体"/>
                <w:b w:val="0"/>
                <w:sz w:val="18"/>
              </w:rPr>
              <w:t>最大合法值路径</w:t>
            </w:r>
          </w:p>
        </w:tc>
        <w:tc>
          <w:tcPr>
            <w:tcW w:type="dxa" w:w="2154"/>
            <w:vAlign w:val="center"/>
          </w:tcPr>
          <w:p>
            <w:pPr>
              <w:spacing w:line="300" w:lineRule="auto" w:before="0" w:after="0"/>
              <w:jc w:val="left"/>
            </w:pPr>
            <w:r/>
            <w:r>
              <w:rPr>
                <w:rFonts w:ascii="Times New Roman" w:hAnsi="Times New Roman" w:eastAsia="宋体"/>
                <w:b w:val="0"/>
                <w:sz w:val="18"/>
              </w:rPr>
              <w:t>等级为高血糖，返回字段完整</w:t>
            </w:r>
          </w:p>
        </w:tc>
      </w:tr>
    </w:tbl>
    <w:p w14:paraId="3C5F5229">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（2）结果分析</w:t>
      </w:r>
    </w:p>
    <w:p w14:paraId="540C8DEC">
      <w:pPr>
        <w:widowControl/>
        <w:numPr>
          <w:ilvl w:val="0"/>
          <w:numId w:val="0"/>
        </w:numPr>
        <w:wordWrap/>
        <w:adjustRightInd/>
        <w:snapToGrid/>
        <w:spacing w:line="300" w:lineRule="auto" w:before="0" w:after="0"/>
        <w:ind w:right="0" w:firstLineChars="200" w:firstLine="420"/>
        <w:jc w:val="left"/>
        <w:textAlignment w:val="auto"/>
        <w:outlineLvl w:val="9"/>
        <w:rPr>
          <w:rFonts w:hint="default" w:cs="Times New Roman"/>
          <w:b/>
          <w:bCs w:val="0"/>
          <w:color w:val="000000" w:themeColor="text1"/>
          <w:sz w:val="21"/>
          <w:szCs w:val="21"/>
          <w:lang w:val="en-US" w:eastAsia="zh-CN"/>
        </w:rPr>
      </w:pPr>
      <w:r>
        <w:rPr>
          <w:rFonts w:ascii="Times New Roman" w:hAnsi="Times New Roman" w:eastAsia="宋体"/>
          <w:b w:val="0"/>
          <w:sz w:val="21"/>
        </w:rPr>
      </w:r>
      <w:r>
        <w:rPr>
          <w:rFonts w:ascii="Times New Roman" w:hAnsi="Times New Roman" w:eastAsia="宋体"/>
          <w:b w:val="0"/>
          <w:sz w:val="21"/>
        </w:rPr>
        <w:t>运行 mvn test 后，项目共执行 149 个 JUnit 测试，失败 0 个，错误 0 个，跳过 0 个，构建结果为 BUILD SUCCESS。其中本人新增的 BpEvaluatorWhiteBoxTest 和 BgEvaluatorWhiteBoxTest 各包含 6 个测试方法，均运行通过。从结果看，血压评估模块能够正确处理正常、偏高、高血压三类路径，并能拦截非正数和超范围数据；血糖评估模块能够根据空腹和餐后两种测量时段选择不同标准，且 3.9、6.1、7.0、7.8、11.1、35.0 等边界点均符合预期。因此，本人负责的血压评估和血糖评估模块在当前测试范围内通过白盒测试。</w:t>
      </w:r>
    </w:p>
    <w:p w14:paraId="272183E1">
      <w:pPr>
        <w:widowControl/>
        <w:numPr>
          <w:ilvl w:val="0"/>
          <w:numId w:val="0"/>
        </w:numPr>
        <w:wordWrap/>
        <w:adjustRightInd/>
        <w:snapToGrid/>
        <w:spacing w:line="300" w:lineRule="auto"/>
        <w:ind w:right="0"/>
        <w:jc w:val="left"/>
        <w:textAlignment w:val="auto"/>
        <w:outlineLvl w:val="9"/>
        <w:rPr>
          <w:rFonts w:hint="eastAsia" w:cs="Times New Roman"/>
          <w:b/>
          <w:bCs w:val="0"/>
          <w:color w:val="000000" w:themeColor="text1"/>
          <w:sz w:val="21"/>
          <w:szCs w:val="21"/>
          <w:lang w:val="en-US" w:eastAsia="zh-CN"/>
        </w:rPr>
      </w:pPr>
      <w:r>
        <w:rPr>
          <w:rFonts w:hint="eastAsia" w:cs="Times New Roman"/>
          <w:b/>
          <w:bCs w:val="0"/>
          <w:color w:val="000000" w:themeColor="text1"/>
          <w:sz w:val="21"/>
          <w:szCs w:val="21"/>
          <w:lang w:val="en-US" w:eastAsia="zh-CN"/>
        </w:rPr>
        <w:t>3.2 实验2测试用例及结果分析</w:t>
      </w:r>
    </w:p>
    <w:p w14:paraId="4B8EA8AA">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（1）测试用例</w:t>
      </w:r>
    </w:p>
    <w:p w14:paraId="013F95BB">
      <w:pPr>
        <w:widowControl/>
        <w:numPr>
          <w:ilvl w:val="0"/>
          <w:numId w:val="0"/>
        </w:numPr>
        <w:wordWrap/>
        <w:adjustRightInd/>
        <w:snapToGrid/>
        <w:spacing w:line="300" w:lineRule="auto" w:before="0" w:after="0"/>
        <w:ind w:right="0" w:firstLineChars="200" w:firstLine="420"/>
        <w:jc w:val="left"/>
        <w:textAlignment w:val="auto"/>
        <w:outlineLvl w:val="9"/>
        <w:rPr>
          <w:rFonts w:hint="default" w:cs="Times New Roman"/>
          <w:b/>
          <w:bCs w:val="0"/>
          <w:color w:val="000000" w:themeColor="text1"/>
          <w:sz w:val="21"/>
          <w:szCs w:val="21"/>
          <w:lang w:val="en-US" w:eastAsia="zh-CN"/>
        </w:rPr>
      </w:pPr>
      <w:r>
        <w:rPr>
          <w:rFonts w:ascii="Times New Roman" w:hAnsi="Times New Roman" w:eastAsia="宋体"/>
          <w:b w:val="0"/>
          <w:sz w:val="21"/>
        </w:rPr>
      </w:r>
      <w:r>
        <w:rPr>
          <w:rFonts w:ascii="Times New Roman" w:hAnsi="Times New Roman" w:eastAsia="宋体"/>
          <w:b w:val="0"/>
          <w:sz w:val="21"/>
        </w:rPr>
        <w:t>实验2黑盒测试用例由负责界面和手工测试的组员补充。</w:t>
      </w:r>
    </w:p>
    <w:p w14:paraId="0D176069">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（2）结果分析</w:t>
      </w:r>
    </w:p>
    <w:p w14:paraId="7A1A7DD4">
      <w:pPr>
        <w:widowControl/>
        <w:numPr>
          <w:ilvl w:val="0"/>
          <w:numId w:val="0"/>
        </w:numPr>
        <w:wordWrap/>
        <w:adjustRightInd/>
        <w:snapToGrid/>
        <w:spacing w:line="300" w:lineRule="auto" w:after="0" w:before="0"/>
        <w:ind w:right="0" w:firstLine="420" w:firstLineChars="200"/>
        <w:jc w:val="left"/>
        <w:textAlignment w:val="auto"/>
        <w:outlineLvl w:val="9"/>
        <w:rPr>
          <w:rFonts w:hint="eastAsia" w:cs="Times New Roman"/>
          <w:b w:val="0"/>
          <w:bCs/>
          <w:color w:val="FF0000"/>
          <w:sz w:val="21"/>
          <w:szCs w:val="21"/>
          <w:lang w:val="en-US" w:eastAsia="zh-CN"/>
        </w:rPr>
      </w:pPr>
      <w:r/>
    </w:p>
    <w:p w14:paraId="7B4D91F1">
      <w:pPr>
        <w:widowControl/>
        <w:numPr>
          <w:ilvl w:val="0"/>
          <w:numId w:val="0"/>
        </w:numPr>
        <w:wordWrap/>
        <w:adjustRightInd/>
        <w:snapToGrid/>
        <w:spacing w:before="156" w:beforeLines="50" w:after="156" w:afterLines="50" w:line="240" w:lineRule="auto"/>
        <w:ind w:leftChars="0" w:right="0" w:rightChars="0"/>
        <w:jc w:val="left"/>
        <w:textAlignment w:val="auto"/>
        <w:outlineLvl w:val="9"/>
        <w:rPr>
          <w:rFonts w:hint="eastAsia" w:ascii="仿宋_GB2312" w:hAnsi="宋体" w:eastAsia="仿宋_GB2312"/>
          <w:b/>
          <w:bCs/>
          <w:sz w:val="24"/>
          <w:lang w:val="en-US" w:eastAsia="zh-CN"/>
        </w:rPr>
      </w:pPr>
      <w:r>
        <w:rPr>
          <w:rFonts w:hint="eastAsia" w:ascii="仿宋_GB2312" w:hAnsi="宋体" w:eastAsia="仿宋_GB2312"/>
          <w:b/>
          <w:bCs/>
          <w:sz w:val="24"/>
          <w:lang w:val="en-US" w:eastAsia="zh-CN"/>
        </w:rPr>
        <w:t>4.实验总结</w:t>
      </w:r>
    </w:p>
    <w:p w14:paraId="73B86ED3">
      <w:pPr>
        <w:widowControl/>
        <w:numPr>
          <w:ilvl w:val="0"/>
          <w:numId w:val="0"/>
        </w:numPr>
        <w:wordWrap/>
        <w:adjustRightInd/>
        <w:snapToGrid/>
        <w:spacing w:line="300" w:lineRule="auto" w:after="0" w:before="0"/>
        <w:ind w:left="0" w:leftChars="0" w:right="0" w:firstLine="420" w:firstLineChars="200"/>
        <w:jc w:val="left"/>
        <w:textAlignment w:val="auto"/>
        <w:outlineLvl w:val="9"/>
        <w:rPr>
          <w:rFonts w:hint="eastAsia" w:cs="Times New Roman"/>
          <w:b w:val="0"/>
          <w:bCs/>
          <w:color w:val="0000FF"/>
          <w:sz w:val="21"/>
          <w:szCs w:val="21"/>
          <w:lang w:val="en-US" w:eastAsia="zh-CN"/>
        </w:rPr>
      </w:pPr>
      <w:r/>
    </w:p>
    <w:p w14:paraId="13D10BD5">
      <w:pPr>
        <w:widowControl/>
        <w:numPr>
          <w:ilvl w:val="0"/>
          <w:numId w:val="0"/>
        </w:numPr>
        <w:wordWrap/>
        <w:adjustRightInd/>
        <w:snapToGrid/>
        <w:spacing w:line="300" w:lineRule="auto" w:after="0" w:before="0"/>
        <w:ind w:left="0" w:leftChars="0" w:right="0" w:firstLine="420" w:firstLineChars="200"/>
        <w:jc w:val="left"/>
        <w:textAlignment w:val="auto"/>
        <w:outlineLvl w:val="9"/>
        <w:rPr>
          <w:rFonts w:hint="eastAsia" w:cs="Times New Roman"/>
          <w:b w:val="0"/>
          <w:bCs/>
          <w:color w:val="0000FF"/>
          <w:sz w:val="21"/>
          <w:szCs w:val="21"/>
          <w:lang w:val="en-US" w:eastAsia="zh-CN"/>
        </w:rPr>
      </w:pPr>
      <w:r/>
    </w:p>
    <w:p w14:paraId="2AF9F76E">
      <w:pPr>
        <w:widowControl/>
        <w:numPr>
          <w:ilvl w:val="0"/>
          <w:numId w:val="0"/>
        </w:numPr>
        <w:wordWrap/>
        <w:adjustRightInd/>
        <w:snapToGrid/>
        <w:spacing w:line="300" w:lineRule="auto" w:after="0" w:before="0"/>
        <w:ind w:left="0" w:leftChars="0" w:right="0" w:firstLine="420" w:firstLineChars="200"/>
        <w:jc w:val="left"/>
        <w:textAlignment w:val="auto"/>
        <w:outlineLvl w:val="9"/>
        <w:rPr>
          <w:rFonts w:hint="eastAsia" w:cs="Times New Roman"/>
          <w:b w:val="0"/>
          <w:bCs/>
          <w:color w:val="0000FF"/>
          <w:sz w:val="21"/>
          <w:szCs w:val="21"/>
          <w:lang w:val="en-US" w:eastAsia="zh-CN"/>
        </w:rPr>
      </w:pPr>
      <w:r/>
    </w:p>
    <w:p w14:paraId="7148C770">
      <w:pPr>
        <w:widowControl/>
        <w:numPr>
          <w:ilvl w:val="0"/>
          <w:numId w:val="0"/>
        </w:numPr>
        <w:wordWrap/>
        <w:adjustRightInd/>
        <w:snapToGrid/>
        <w:spacing w:line="300" w:lineRule="auto" w:after="0" w:before="0"/>
        <w:ind w:left="0" w:leftChars="0" w:right="0" w:firstLine="420" w:firstLineChars="200"/>
        <w:jc w:val="left"/>
        <w:textAlignment w:val="auto"/>
        <w:outlineLvl w:val="9"/>
        <w:rPr>
          <w:rFonts w:hint="eastAsia" w:cs="Times New Roman"/>
          <w:b w:val="0"/>
          <w:bCs/>
          <w:color w:val="FF0000"/>
          <w:sz w:val="21"/>
          <w:szCs w:val="21"/>
          <w:lang w:val="en-US" w:eastAsia="zh-CN"/>
        </w:rPr>
      </w:pPr>
      <w:r/>
    </w:p>
    <w:p w14:paraId="2B211D44">
      <w:pPr>
        <w:widowControl/>
        <w:jc w:val="left"/>
        <w:rPr>
          <w:rFonts w:hint="eastAsia" w:ascii="仿宋_GB2312" w:hAnsi="宋体" w:eastAsia="仿宋_GB2312"/>
          <w:sz w:val="24"/>
          <w:lang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p w14:paraId="262DB1B8">
      <w:pPr>
        <w:widowControl/>
        <w:jc w:val="left"/>
        <w:rPr>
          <w:rFonts w:hint="eastAsia" w:ascii="仿宋_GB2312" w:hAnsi="宋体" w:eastAsia="仿宋_GB2312"/>
          <w:sz w:val="24"/>
        </w:rPr>
      </w:pPr>
      <w:r>
        <w:rPr>
          <w:rFonts w:hint="eastAsia" w:ascii="仿宋_GB2312" w:hAnsi="宋体" w:eastAsia="仿宋_GB2312"/>
          <w:sz w:val="24"/>
          <w:lang w:eastAsia="zh-CN"/>
        </w:rPr>
        <w:t>成绩评定</w:t>
      </w:r>
      <w:r>
        <w:rPr>
          <w:rFonts w:hint="eastAsia" w:ascii="仿宋_GB2312" w:hAnsi="宋体" w:eastAsia="仿宋_GB2312"/>
          <w:sz w:val="24"/>
        </w:rPr>
        <w:t>：</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79"/>
        <w:gridCol w:w="1043"/>
      </w:tblGrid>
      <w:tr w14:paraId="4FA9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vAlign w:val="top"/>
          </w:tcPr>
          <w:p w14:paraId="36F75BC4">
            <w:pPr>
              <w:spacing w:line="300" w:lineRule="auto"/>
              <w:jc w:val="center"/>
              <w:rPr>
                <w:rFonts w:ascii="仿宋" w:hAnsi="仿宋" w:eastAsia="仿宋" w:cs="Times New Roman"/>
                <w:kern w:val="0"/>
                <w:sz w:val="21"/>
                <w:szCs w:val="21"/>
              </w:rPr>
            </w:pPr>
            <w:r>
              <w:rPr>
                <w:rFonts w:hint="eastAsia" w:ascii="仿宋" w:hAnsi="仿宋" w:eastAsia="仿宋" w:cs="Times New Roman"/>
                <w:kern w:val="0"/>
                <w:sz w:val="21"/>
                <w:szCs w:val="21"/>
              </w:rPr>
              <w:t>考核标准</w:t>
            </w:r>
          </w:p>
        </w:tc>
        <w:tc>
          <w:tcPr>
            <w:tcW w:w="1043" w:type="dxa"/>
            <w:vAlign w:val="top"/>
          </w:tcPr>
          <w:p w14:paraId="50793B94">
            <w:pPr>
              <w:widowControl/>
              <w:jc w:val="center"/>
              <w:rPr>
                <w:rFonts w:ascii="仿宋" w:hAnsi="仿宋" w:eastAsia="仿宋" w:cs="Times New Roman"/>
                <w:kern w:val="0"/>
                <w:sz w:val="21"/>
                <w:szCs w:val="21"/>
              </w:rPr>
            </w:pPr>
            <w:r>
              <w:rPr>
                <w:rFonts w:hint="eastAsia" w:ascii="仿宋" w:hAnsi="仿宋" w:eastAsia="仿宋" w:cs="Times New Roman"/>
                <w:kern w:val="0"/>
                <w:sz w:val="21"/>
                <w:szCs w:val="21"/>
              </w:rPr>
              <w:t>得分</w:t>
            </w:r>
          </w:p>
        </w:tc>
      </w:tr>
      <w:tr w14:paraId="3AD9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vAlign w:val="top"/>
          </w:tcPr>
          <w:p w14:paraId="5FD431C8">
            <w:pPr>
              <w:spacing w:line="300" w:lineRule="auto"/>
              <w:rPr>
                <w:rFonts w:hint="eastAsia" w:ascii="仿宋" w:hAnsi="仿宋" w:eastAsia="仿宋" w:cs="Times New Roman"/>
                <w:kern w:val="0"/>
                <w:sz w:val="21"/>
                <w:szCs w:val="21"/>
              </w:rPr>
            </w:pPr>
            <w:r>
              <w:rPr>
                <w:rFonts w:hint="eastAsia" w:ascii="仿宋" w:hAnsi="仿宋" w:eastAsia="仿宋" w:cs="Times New Roman"/>
                <w:kern w:val="0"/>
                <w:sz w:val="21"/>
                <w:szCs w:val="21"/>
              </w:rPr>
              <w:t>（</w:t>
            </w:r>
            <w:r>
              <w:rPr>
                <w:rFonts w:ascii="仿宋" w:hAnsi="仿宋" w:eastAsia="仿宋" w:cs="Times New Roman"/>
                <w:kern w:val="0"/>
                <w:sz w:val="21"/>
                <w:szCs w:val="21"/>
              </w:rPr>
              <w:t>1</w:t>
            </w:r>
            <w:r>
              <w:rPr>
                <w:rFonts w:hint="eastAsia" w:ascii="仿宋" w:hAnsi="仿宋" w:eastAsia="仿宋" w:cs="Times New Roman"/>
                <w:kern w:val="0"/>
                <w:sz w:val="21"/>
                <w:szCs w:val="21"/>
              </w:rPr>
              <w:t>）能够</w:t>
            </w:r>
            <w:r>
              <w:rPr>
                <w:rFonts w:ascii="仿宋" w:hAnsi="仿宋" w:eastAsia="仿宋" w:cs="Times New Roman"/>
                <w:kern w:val="0"/>
                <w:sz w:val="21"/>
                <w:szCs w:val="21"/>
              </w:rPr>
              <w:t>按时出勤</w:t>
            </w:r>
            <w:r>
              <w:rPr>
                <w:rFonts w:hint="eastAsia" w:ascii="仿宋" w:hAnsi="仿宋" w:eastAsia="仿宋" w:cs="Times New Roman"/>
                <w:kern w:val="0"/>
                <w:sz w:val="21"/>
                <w:szCs w:val="21"/>
              </w:rPr>
              <w:t>，</w:t>
            </w:r>
            <w:r>
              <w:rPr>
                <w:rFonts w:ascii="仿宋" w:hAnsi="仿宋" w:eastAsia="仿宋" w:cs="Times New Roman"/>
                <w:kern w:val="0"/>
                <w:sz w:val="21"/>
                <w:szCs w:val="21"/>
              </w:rPr>
              <w:t>不迟到</w:t>
            </w:r>
            <w:r>
              <w:rPr>
                <w:rFonts w:hint="eastAsia" w:ascii="仿宋" w:hAnsi="仿宋" w:eastAsia="仿宋" w:cs="Times New Roman"/>
                <w:kern w:val="0"/>
                <w:sz w:val="21"/>
                <w:szCs w:val="21"/>
              </w:rPr>
              <w:t>、</w:t>
            </w:r>
            <w:r>
              <w:rPr>
                <w:rFonts w:ascii="仿宋" w:hAnsi="仿宋" w:eastAsia="仿宋" w:cs="Times New Roman"/>
                <w:kern w:val="0"/>
                <w:sz w:val="21"/>
                <w:szCs w:val="21"/>
              </w:rPr>
              <w:t>不早退</w:t>
            </w:r>
            <w:r>
              <w:rPr>
                <w:rFonts w:hint="eastAsia" w:ascii="仿宋" w:hAnsi="仿宋" w:eastAsia="仿宋" w:cs="Times New Roman"/>
                <w:kern w:val="0"/>
                <w:sz w:val="21"/>
                <w:szCs w:val="21"/>
              </w:rPr>
              <w:t>，</w:t>
            </w:r>
            <w:r>
              <w:rPr>
                <w:rFonts w:ascii="仿宋" w:hAnsi="仿宋" w:eastAsia="仿宋" w:cs="Times New Roman"/>
                <w:kern w:val="0"/>
                <w:sz w:val="21"/>
                <w:szCs w:val="21"/>
              </w:rPr>
              <w:t>实验过程中，具有严谨的学习态度和认真、踏实、一丝不苟的科学作风</w:t>
            </w:r>
            <w:r>
              <w:rPr>
                <w:rFonts w:hint="eastAsia" w:ascii="仿宋" w:hAnsi="仿宋" w:eastAsia="仿宋" w:cs="Times New Roman"/>
                <w:kern w:val="0"/>
                <w:sz w:val="21"/>
                <w:szCs w:val="21"/>
              </w:rPr>
              <w:t>（5%）</w:t>
            </w:r>
          </w:p>
        </w:tc>
        <w:tc>
          <w:tcPr>
            <w:tcW w:w="1043" w:type="dxa"/>
            <w:vAlign w:val="top"/>
          </w:tcPr>
          <w:p w14:paraId="6E8F5049">
            <w:pPr>
              <w:widowControl/>
              <w:jc w:val="left"/>
              <w:rPr>
                <w:rFonts w:ascii="仿宋" w:hAnsi="仿宋" w:eastAsia="仿宋" w:cs="Times New Roman"/>
                <w:color w:val="FF0000"/>
                <w:kern w:val="0"/>
                <w:sz w:val="21"/>
                <w:szCs w:val="21"/>
              </w:rPr>
            </w:pPr>
          </w:p>
        </w:tc>
      </w:tr>
      <w:tr w14:paraId="107E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vAlign w:val="top"/>
          </w:tcPr>
          <w:p w14:paraId="3565579C">
            <w:pPr>
              <w:spacing w:line="300" w:lineRule="auto"/>
              <w:rPr>
                <w:rFonts w:ascii="仿宋" w:hAnsi="仿宋" w:eastAsia="仿宋" w:cs="Times New Roman"/>
                <w:kern w:val="0"/>
                <w:sz w:val="21"/>
                <w:szCs w:val="21"/>
              </w:rPr>
            </w:pPr>
            <w:r>
              <w:rPr>
                <w:rFonts w:hint="eastAsia" w:ascii="仿宋" w:hAnsi="仿宋" w:eastAsia="仿宋" w:cs="Times New Roman"/>
                <w:kern w:val="0"/>
                <w:sz w:val="21"/>
                <w:szCs w:val="21"/>
              </w:rPr>
              <w:t>（</w:t>
            </w:r>
            <w:r>
              <w:rPr>
                <w:rFonts w:ascii="仿宋" w:hAnsi="仿宋" w:eastAsia="仿宋" w:cs="Times New Roman"/>
                <w:kern w:val="0"/>
                <w:sz w:val="21"/>
                <w:szCs w:val="21"/>
              </w:rPr>
              <w:t>2</w:t>
            </w:r>
            <w:r>
              <w:rPr>
                <w:rFonts w:hint="eastAsia" w:ascii="仿宋" w:hAnsi="仿宋" w:eastAsia="仿宋" w:cs="Times New Roman"/>
                <w:kern w:val="0"/>
                <w:sz w:val="21"/>
                <w:szCs w:val="21"/>
              </w:rPr>
              <w:t>）</w:t>
            </w:r>
            <w:r>
              <w:rPr>
                <w:rFonts w:hint="eastAsia" w:ascii="仿宋" w:hAnsi="仿宋" w:eastAsia="仿宋" w:cs="Times New Roman"/>
                <w:kern w:val="0"/>
                <w:sz w:val="21"/>
                <w:szCs w:val="21"/>
                <w:lang w:val="en-US" w:eastAsia="zh-CN"/>
              </w:rPr>
              <w:t>测试计划全面合理（实验1和实验2各占10%）（20%）</w:t>
            </w:r>
          </w:p>
        </w:tc>
        <w:tc>
          <w:tcPr>
            <w:tcW w:w="1043" w:type="dxa"/>
            <w:vAlign w:val="top"/>
          </w:tcPr>
          <w:p w14:paraId="50E4B785">
            <w:pPr>
              <w:widowControl/>
              <w:jc w:val="left"/>
              <w:rPr>
                <w:rFonts w:ascii="仿宋" w:hAnsi="仿宋" w:eastAsia="仿宋" w:cs="Times New Roman"/>
                <w:color w:val="FF0000"/>
                <w:kern w:val="0"/>
                <w:sz w:val="21"/>
                <w:szCs w:val="21"/>
              </w:rPr>
            </w:pPr>
          </w:p>
        </w:tc>
      </w:tr>
      <w:tr w14:paraId="0704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vAlign w:val="top"/>
          </w:tcPr>
          <w:p w14:paraId="7227C509">
            <w:pPr>
              <w:spacing w:line="300" w:lineRule="auto"/>
              <w:rPr>
                <w:rFonts w:hint="default" w:ascii="仿宋" w:hAnsi="仿宋" w:eastAsia="仿宋" w:cs="Times New Roman"/>
                <w:kern w:val="0"/>
                <w:sz w:val="21"/>
                <w:szCs w:val="21"/>
                <w:lang w:val="en-US" w:eastAsia="zh-CN"/>
              </w:rPr>
            </w:pPr>
            <w:r>
              <w:rPr>
                <w:rFonts w:hint="eastAsia" w:ascii="仿宋" w:hAnsi="仿宋" w:eastAsia="仿宋" w:cs="Times New Roman"/>
                <w:kern w:val="0"/>
                <w:sz w:val="21"/>
                <w:szCs w:val="21"/>
                <w:lang w:eastAsia="zh-CN"/>
              </w:rPr>
              <w:t>（</w:t>
            </w:r>
            <w:r>
              <w:rPr>
                <w:rFonts w:hint="eastAsia" w:ascii="仿宋" w:hAnsi="仿宋" w:eastAsia="仿宋" w:cs="Times New Roman"/>
                <w:kern w:val="0"/>
                <w:sz w:val="21"/>
                <w:szCs w:val="21"/>
                <w:lang w:val="en-US" w:eastAsia="zh-CN"/>
              </w:rPr>
              <w:t>3</w:t>
            </w:r>
            <w:r>
              <w:rPr>
                <w:rFonts w:hint="eastAsia" w:ascii="仿宋" w:hAnsi="仿宋" w:eastAsia="仿宋" w:cs="Times New Roman"/>
                <w:kern w:val="0"/>
                <w:sz w:val="21"/>
                <w:szCs w:val="21"/>
                <w:lang w:eastAsia="zh-CN"/>
              </w:rPr>
              <w:t>）</w:t>
            </w:r>
            <w:r>
              <w:rPr>
                <w:rFonts w:hint="eastAsia" w:ascii="仿宋" w:hAnsi="仿宋" w:eastAsia="仿宋" w:cs="Times New Roman"/>
                <w:kern w:val="0"/>
                <w:sz w:val="21"/>
                <w:szCs w:val="21"/>
                <w:lang w:val="en-US" w:eastAsia="zh-CN"/>
              </w:rPr>
              <w:t>测试用例设计合理、正确（实验1和实验2各占15%）（30%）</w:t>
            </w:r>
          </w:p>
        </w:tc>
        <w:tc>
          <w:tcPr>
            <w:tcW w:w="1043" w:type="dxa"/>
            <w:vAlign w:val="top"/>
          </w:tcPr>
          <w:p w14:paraId="5065751C">
            <w:pPr>
              <w:widowControl/>
              <w:jc w:val="left"/>
              <w:rPr>
                <w:rFonts w:ascii="仿宋" w:hAnsi="仿宋" w:eastAsia="仿宋" w:cs="Times New Roman"/>
                <w:color w:val="FF0000"/>
                <w:kern w:val="0"/>
                <w:sz w:val="21"/>
                <w:szCs w:val="21"/>
              </w:rPr>
            </w:pPr>
          </w:p>
        </w:tc>
      </w:tr>
      <w:tr w14:paraId="70A3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vAlign w:val="top"/>
          </w:tcPr>
          <w:p w14:paraId="6604AB40">
            <w:pPr>
              <w:spacing w:line="300" w:lineRule="auto"/>
              <w:rPr>
                <w:rFonts w:ascii="仿宋" w:hAnsi="仿宋" w:eastAsia="仿宋" w:cs="Times New Roman"/>
                <w:kern w:val="0"/>
                <w:sz w:val="21"/>
                <w:szCs w:val="21"/>
              </w:rPr>
            </w:pPr>
            <w:r>
              <w:rPr>
                <w:rFonts w:hint="eastAsia" w:ascii="仿宋" w:hAnsi="仿宋" w:eastAsia="仿宋" w:cs="Times New Roman"/>
                <w:kern w:val="0"/>
                <w:sz w:val="21"/>
                <w:szCs w:val="21"/>
              </w:rPr>
              <w:t>（</w:t>
            </w:r>
            <w:r>
              <w:rPr>
                <w:rFonts w:hint="eastAsia" w:ascii="仿宋" w:hAnsi="仿宋" w:eastAsia="仿宋" w:cs="Times New Roman"/>
                <w:kern w:val="0"/>
                <w:sz w:val="21"/>
                <w:szCs w:val="21"/>
                <w:lang w:val="en-US" w:eastAsia="zh-CN"/>
              </w:rPr>
              <w:t>4</w:t>
            </w:r>
            <w:r>
              <w:rPr>
                <w:rFonts w:hint="eastAsia" w:ascii="仿宋" w:hAnsi="仿宋" w:eastAsia="仿宋" w:cs="Times New Roman"/>
                <w:kern w:val="0"/>
                <w:sz w:val="21"/>
                <w:szCs w:val="21"/>
              </w:rPr>
              <w:t>）</w:t>
            </w:r>
            <w:r>
              <w:rPr>
                <w:rFonts w:hint="eastAsia" w:ascii="仿宋" w:hAnsi="仿宋" w:eastAsia="仿宋" w:cs="Times New Roman"/>
                <w:kern w:val="0"/>
                <w:sz w:val="21"/>
                <w:szCs w:val="21"/>
                <w:lang w:val="en-US" w:eastAsia="zh-CN"/>
              </w:rPr>
              <w:t>测试结果分析充分、合理，能体现创新性（实验1和实验2各占10%）</w:t>
            </w:r>
            <w:r>
              <w:rPr>
                <w:rFonts w:hint="eastAsia" w:ascii="仿宋" w:hAnsi="仿宋" w:eastAsia="仿宋" w:cs="Times New Roman"/>
                <w:kern w:val="0"/>
                <w:sz w:val="21"/>
                <w:szCs w:val="21"/>
              </w:rPr>
              <w:t>（</w:t>
            </w:r>
            <w:r>
              <w:rPr>
                <w:rFonts w:hint="eastAsia" w:ascii="仿宋" w:hAnsi="仿宋" w:eastAsia="仿宋" w:cs="Times New Roman"/>
                <w:kern w:val="0"/>
                <w:sz w:val="21"/>
                <w:szCs w:val="21"/>
                <w:lang w:val="en-US" w:eastAsia="zh-CN"/>
              </w:rPr>
              <w:t>20</w:t>
            </w:r>
            <w:r>
              <w:rPr>
                <w:rFonts w:hint="eastAsia" w:ascii="仿宋" w:hAnsi="仿宋" w:eastAsia="仿宋" w:cs="Times New Roman"/>
                <w:kern w:val="0"/>
                <w:sz w:val="21"/>
                <w:szCs w:val="21"/>
              </w:rPr>
              <w:t>%）</w:t>
            </w:r>
          </w:p>
        </w:tc>
        <w:tc>
          <w:tcPr>
            <w:tcW w:w="1043" w:type="dxa"/>
            <w:vAlign w:val="top"/>
          </w:tcPr>
          <w:p w14:paraId="7DB4D9D1">
            <w:pPr>
              <w:widowControl/>
              <w:jc w:val="left"/>
              <w:rPr>
                <w:rFonts w:ascii="仿宋" w:hAnsi="仿宋" w:eastAsia="仿宋" w:cs="Times New Roman"/>
                <w:color w:val="FF0000"/>
                <w:kern w:val="0"/>
                <w:sz w:val="21"/>
                <w:szCs w:val="21"/>
              </w:rPr>
            </w:pPr>
          </w:p>
        </w:tc>
      </w:tr>
      <w:tr w14:paraId="5D142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vAlign w:val="top"/>
          </w:tcPr>
          <w:p w14:paraId="6D891064">
            <w:pPr>
              <w:spacing w:line="300" w:lineRule="auto"/>
              <w:rPr>
                <w:rFonts w:ascii="仿宋" w:hAnsi="仿宋" w:eastAsia="仿宋" w:cs="Times New Roman"/>
                <w:kern w:val="0"/>
                <w:sz w:val="21"/>
                <w:szCs w:val="21"/>
              </w:rPr>
            </w:pPr>
            <w:r>
              <w:rPr>
                <w:rFonts w:hint="eastAsia" w:ascii="仿宋" w:hAnsi="仿宋" w:eastAsia="仿宋" w:cs="Times New Roman"/>
                <w:kern w:val="0"/>
                <w:sz w:val="21"/>
                <w:szCs w:val="21"/>
              </w:rPr>
              <w:t>（5）</w:t>
            </w:r>
            <w:r>
              <w:rPr>
                <w:rFonts w:hint="eastAsia" w:ascii="仿宋" w:hAnsi="仿宋" w:eastAsia="仿宋" w:cs="Times New Roman"/>
                <w:kern w:val="0"/>
                <w:sz w:val="21"/>
                <w:szCs w:val="21"/>
                <w:lang w:val="en-US" w:eastAsia="zh-CN"/>
              </w:rPr>
              <w:t>待测应用程序编码规范，</w:t>
            </w:r>
            <w:r>
              <w:rPr>
                <w:rFonts w:ascii="仿宋" w:hAnsi="仿宋" w:eastAsia="仿宋" w:cs="Times New Roman"/>
                <w:kern w:val="0"/>
                <w:sz w:val="21"/>
                <w:szCs w:val="21"/>
              </w:rPr>
              <w:t>实验报告规范</w:t>
            </w:r>
            <w:r>
              <w:rPr>
                <w:rFonts w:hint="eastAsia" w:ascii="仿宋" w:hAnsi="仿宋" w:eastAsia="仿宋" w:cs="Times New Roman"/>
                <w:kern w:val="0"/>
                <w:sz w:val="21"/>
                <w:szCs w:val="21"/>
                <w:lang w:eastAsia="zh-CN"/>
              </w:rPr>
              <w:t>，</w:t>
            </w:r>
            <w:r>
              <w:rPr>
                <w:rFonts w:hint="eastAsia" w:ascii="仿宋" w:hAnsi="仿宋" w:eastAsia="仿宋" w:cs="Times New Roman"/>
                <w:kern w:val="0"/>
                <w:sz w:val="21"/>
                <w:szCs w:val="21"/>
                <w:lang w:val="en-US" w:eastAsia="zh-CN"/>
              </w:rPr>
              <w:t>不与他人雷同（待测程序占15%，实验报告占10%）</w:t>
            </w:r>
            <w:r>
              <w:rPr>
                <w:rFonts w:hint="eastAsia" w:ascii="仿宋" w:hAnsi="仿宋" w:eastAsia="仿宋" w:cs="Times New Roman"/>
                <w:kern w:val="0"/>
                <w:sz w:val="21"/>
                <w:szCs w:val="21"/>
              </w:rPr>
              <w:t>（</w:t>
            </w:r>
            <w:r>
              <w:rPr>
                <w:rFonts w:hint="eastAsia" w:ascii="仿宋" w:hAnsi="仿宋" w:eastAsia="仿宋" w:cs="Times New Roman"/>
                <w:kern w:val="0"/>
                <w:sz w:val="21"/>
                <w:szCs w:val="21"/>
                <w:lang w:val="en-US" w:eastAsia="zh-CN"/>
              </w:rPr>
              <w:t>25</w:t>
            </w:r>
            <w:r>
              <w:rPr>
                <w:rFonts w:hint="eastAsia" w:ascii="仿宋" w:hAnsi="仿宋" w:eastAsia="仿宋" w:cs="Times New Roman"/>
                <w:kern w:val="0"/>
                <w:sz w:val="21"/>
                <w:szCs w:val="21"/>
              </w:rPr>
              <w:t>%）</w:t>
            </w:r>
          </w:p>
        </w:tc>
        <w:tc>
          <w:tcPr>
            <w:tcW w:w="1043" w:type="dxa"/>
            <w:vAlign w:val="top"/>
          </w:tcPr>
          <w:p w14:paraId="3337387F">
            <w:pPr>
              <w:widowControl/>
              <w:jc w:val="left"/>
              <w:rPr>
                <w:rFonts w:ascii="仿宋" w:hAnsi="仿宋" w:eastAsia="仿宋" w:cs="Times New Roman"/>
                <w:color w:val="FF0000"/>
                <w:kern w:val="0"/>
                <w:sz w:val="21"/>
                <w:szCs w:val="21"/>
              </w:rPr>
            </w:pPr>
          </w:p>
        </w:tc>
      </w:tr>
    </w:tbl>
    <w:p w14:paraId="0C2B596D">
      <w:pPr>
        <w:spacing w:line="300" w:lineRule="auto"/>
        <w:rPr>
          <w:rFonts w:ascii="仿宋" w:hAnsi="仿宋" w:eastAsia="仿宋" w:cs="Times New Roman"/>
          <w:kern w:val="0"/>
          <w:sz w:val="21"/>
          <w:szCs w:val="21"/>
        </w:rPr>
      </w:pPr>
    </w:p>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A856B">
    <w:pPr>
      <w:pStyle w:val="4"/>
      <w:jc w:val="center"/>
      <w:rPr>
        <w:rFonts w:ascii="宋体"/>
        <w:sz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3EB6A"/>
  <w:p w14:paraId="0C8FC05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6AD9D6"/>
    <w:multiLevelType w:val="singleLevel"/>
    <w:tmpl w:val="546AD9D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1"/>
  </w:compat>
  <w:docVars>
    <w:docVar w:name="commondata" w:val="eyJoZGlkIjoiNjg3NDVjNWEzZWM0Y2JiMmM1ZTEwMGIzNTUzN2RmN2QifQ=="/>
  </w:docVars>
  <w:rsids>
    <w:rsidRoot w:val="00652FF7"/>
    <w:rsid w:val="001B25B7"/>
    <w:rsid w:val="00210F7B"/>
    <w:rsid w:val="002E6DAA"/>
    <w:rsid w:val="00300C0D"/>
    <w:rsid w:val="0031225C"/>
    <w:rsid w:val="003939A9"/>
    <w:rsid w:val="0056650E"/>
    <w:rsid w:val="00652FF7"/>
    <w:rsid w:val="007B59F3"/>
    <w:rsid w:val="007E21F6"/>
    <w:rsid w:val="008A3B9A"/>
    <w:rsid w:val="008E5344"/>
    <w:rsid w:val="00956CF2"/>
    <w:rsid w:val="00AE7B1B"/>
    <w:rsid w:val="00C70D3A"/>
    <w:rsid w:val="00D02F64"/>
    <w:rsid w:val="00DF2C02"/>
    <w:rsid w:val="00E911C2"/>
    <w:rsid w:val="00F95DEC"/>
    <w:rsid w:val="02595FE8"/>
    <w:rsid w:val="08486F06"/>
    <w:rsid w:val="084E54E9"/>
    <w:rsid w:val="08E45BFD"/>
    <w:rsid w:val="0B405FB8"/>
    <w:rsid w:val="15421BAB"/>
    <w:rsid w:val="16BF156F"/>
    <w:rsid w:val="19790855"/>
    <w:rsid w:val="1BCC26D6"/>
    <w:rsid w:val="22FF2533"/>
    <w:rsid w:val="232075EF"/>
    <w:rsid w:val="24762F77"/>
    <w:rsid w:val="255C720B"/>
    <w:rsid w:val="2A907518"/>
    <w:rsid w:val="2AAE6793"/>
    <w:rsid w:val="2CB71167"/>
    <w:rsid w:val="351F3B55"/>
    <w:rsid w:val="356F2685"/>
    <w:rsid w:val="3A2556F1"/>
    <w:rsid w:val="3D604BBE"/>
    <w:rsid w:val="3E9B4381"/>
    <w:rsid w:val="42974193"/>
    <w:rsid w:val="48B260D1"/>
    <w:rsid w:val="4D66378A"/>
    <w:rsid w:val="4DA22A3C"/>
    <w:rsid w:val="4FBA0AF0"/>
    <w:rsid w:val="560A26E6"/>
    <w:rsid w:val="568276BE"/>
    <w:rsid w:val="57990C47"/>
    <w:rsid w:val="58140590"/>
    <w:rsid w:val="588E49D7"/>
    <w:rsid w:val="59735295"/>
    <w:rsid w:val="5B4742E6"/>
    <w:rsid w:val="5D4A2114"/>
    <w:rsid w:val="61255936"/>
    <w:rsid w:val="61556515"/>
    <w:rsid w:val="61C86CA4"/>
    <w:rsid w:val="66747FEB"/>
    <w:rsid w:val="682F6BB4"/>
    <w:rsid w:val="68F4269F"/>
    <w:rsid w:val="69E53B73"/>
    <w:rsid w:val="6C003240"/>
    <w:rsid w:val="6E3458D4"/>
    <w:rsid w:val="6FEC4BF8"/>
    <w:rsid w:val="734D285B"/>
    <w:rsid w:val="73ED2A40"/>
    <w:rsid w:val="74822F34"/>
    <w:rsid w:val="75D160D9"/>
    <w:rsid w:val="78880288"/>
    <w:rsid w:val="795647D0"/>
    <w:rsid w:val="7B710CF0"/>
    <w:rsid w:val="7CE66AE2"/>
    <w:rsid w:val="7DA62156"/>
    <w:rsid w:val="7FE9096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nhideWhenUsed="0"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14"/>
    <w:unhideWhenUsed/>
    <w:qFormat/>
    <w:uiPriority w:val="9"/>
    <w:pPr>
      <w:keepNext/>
      <w:keepLines/>
      <w:spacing w:before="260" w:after="260" w:line="416" w:lineRule="auto"/>
      <w:outlineLvl w:val="2"/>
    </w:pPr>
    <w:rPr>
      <w:b/>
      <w:bCs/>
      <w:sz w:val="32"/>
      <w:szCs w:val="32"/>
    </w:rPr>
  </w:style>
  <w:style w:type="character" w:default="1" w:styleId="8">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Balloon Text"/>
    <w:basedOn w:val="1"/>
    <w:link w:val="12"/>
    <w:autoRedefine/>
    <w:unhideWhenUsed/>
    <w:qFormat/>
    <w:uiPriority w:val="99"/>
    <w:rPr>
      <w:sz w:val="18"/>
      <w:szCs w:val="18"/>
    </w:rPr>
  </w:style>
  <w:style w:type="paragraph" w:styleId="4">
    <w:name w:val="footer"/>
    <w:basedOn w:val="1"/>
    <w:link w:val="11"/>
    <w:autoRedefine/>
    <w:qFormat/>
    <w:uiPriority w:val="0"/>
    <w:pPr>
      <w:tabs>
        <w:tab w:val="center" w:pos="4153"/>
        <w:tab w:val="right" w:pos="8306"/>
      </w:tabs>
      <w:snapToGrid w:val="0"/>
      <w:jc w:val="left"/>
    </w:pPr>
    <w:rPr>
      <w:sz w:val="18"/>
      <w:szCs w:val="18"/>
    </w:rPr>
  </w:style>
  <w:style w:type="paragraph" w:styleId="5">
    <w:name w:val="header"/>
    <w:basedOn w:val="1"/>
    <w:link w:val="13"/>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autoRedefine/>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autoRedefine/>
    <w:unhideWhenUsed/>
    <w:qFormat/>
    <w:uiPriority w:val="0"/>
  </w:style>
  <w:style w:type="paragraph" w:customStyle="1" w:styleId="10">
    <w:name w:val="List Paragraph"/>
    <w:basedOn w:val="1"/>
    <w:autoRedefine/>
    <w:qFormat/>
    <w:uiPriority w:val="34"/>
    <w:pPr>
      <w:ind w:firstLine="420" w:firstLineChars="200"/>
    </w:pPr>
  </w:style>
  <w:style w:type="character" w:customStyle="1" w:styleId="11">
    <w:name w:val="页脚 Char"/>
    <w:basedOn w:val="8"/>
    <w:link w:val="4"/>
    <w:autoRedefine/>
    <w:qFormat/>
    <w:uiPriority w:val="0"/>
    <w:rPr>
      <w:rFonts w:ascii="Times New Roman" w:hAnsi="Times New Roman" w:eastAsia="宋体" w:cs="Times New Roman"/>
      <w:sz w:val="18"/>
      <w:szCs w:val="18"/>
    </w:rPr>
  </w:style>
  <w:style w:type="character" w:customStyle="1" w:styleId="12">
    <w:name w:val="批注框文本 Char"/>
    <w:basedOn w:val="8"/>
    <w:link w:val="3"/>
    <w:autoRedefine/>
    <w:semiHidden/>
    <w:qFormat/>
    <w:uiPriority w:val="99"/>
    <w:rPr>
      <w:rFonts w:ascii="Times New Roman" w:hAnsi="Times New Roman" w:eastAsia="宋体" w:cs="Times New Roman"/>
      <w:sz w:val="18"/>
      <w:szCs w:val="18"/>
    </w:rPr>
  </w:style>
  <w:style w:type="character" w:customStyle="1" w:styleId="13">
    <w:name w:val="页眉 Char"/>
    <w:basedOn w:val="8"/>
    <w:link w:val="5"/>
    <w:autoRedefine/>
    <w:qFormat/>
    <w:uiPriority w:val="99"/>
    <w:rPr>
      <w:rFonts w:ascii="Times New Roman" w:hAnsi="Times New Roman" w:eastAsia="宋体" w:cs="Times New Roman"/>
      <w:sz w:val="18"/>
      <w:szCs w:val="18"/>
    </w:rPr>
  </w:style>
  <w:style w:type="character" w:customStyle="1" w:styleId="14">
    <w:name w:val="标题 3 Char"/>
    <w:basedOn w:val="8"/>
    <w:link w:val="2"/>
    <w:autoRedefine/>
    <w:semiHidden/>
    <w:qFormat/>
    <w:uiPriority w:val="9"/>
    <w:rPr>
      <w:rFonts w:ascii="Times New Roman" w:hAnsi="Times New Roman" w:eastAsia="宋体" w:cs="Times New Roman"/>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4</Pages>
  <Words>1615</Words>
  <Characters>1785</Characters>
  <Lines>5</Lines>
  <Paragraphs>1</Paragraphs>
  <TotalTime>11</TotalTime>
  <ScaleCrop>false</ScaleCrop>
  <LinksUpToDate>false</LinksUpToDate>
  <CharactersWithSpaces>1837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2014-10-14T06:41:00Z</dcterms:created>
  <dc:creator>微软用户</dc:creator>
  <cp:lastModifiedBy>wcn</cp:lastModifiedBy>
  <dcterms:modified xsi:type="dcterms:W3CDTF">2026-04-27T06:23:27Z</dcterms:modified>
  <dc:title>课程编号：B0801*****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6C06F3B507274B3F9E2A17E89AD3639A</vt:lpwstr>
  </property>
  <property fmtid="{D5CDD505-2E9C-101B-9397-08002B2CF9AE}" pid="4" name="KSOTemplateDocerSaveRecord">
    <vt:lpwstr>eyJoZGlkIjoiZWRlM2NhNTQxMGI3MTE1Mzg2NGRkNzBmNmQxNjdjNDciLCJ1c2VySWQiOiI4NzkxOTE3MzYifQ==</vt:lpwstr>
  </property>
</Properties>
</file>