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a5c"/>
          <w:sz w:val="40"/>
          <w:szCs w:val="40"/>
        </w:rPr>
        <w:t xml:space="preserve">NIH Funding Strategy: Boundary &amp; Edge-Case Report</w:t>
      </w:r>
    </w:p>
    <w:p>
      <w:pPr>
        <w:spacing w:after="200"/>
        <w:jc w:val="center"/>
      </w:pPr>
      <w:r>
        <w:rPr>
          <w:color w:val="555555"/>
          <w:sz w:val="20"/>
          <w:szCs w:val="20"/>
        </w:rPr>
        <w:t xml:space="preserve">Generated: 2026-08-10  |  Session: grants-20260810-boundary  |  Skill: grants v1.0.0</w:t>
      </w:r>
    </w:p>
    <w:p>
      <w:pPr>
        <w:pStyle w:val="Heading1"/>
        <w:spacing w:after="120" w:before="300"/>
      </w:pPr>
      <w:r>
        <w:rPr>
          <w:b/>
          <w:bCs/>
          <w:color w:val="1a3a5c"/>
          <w:sz w:val="32"/>
          <w:szCs w:val="32"/>
        </w:rPr>
        <w:t xml:space="preserve">1. Executive Summary</w:t>
      </w:r>
    </w:p>
    <w:p>
      <w:pPr>
        <w:spacing w:after="100"/>
      </w:pPr>
      <w:r>
        <w:rPr>
          <w:b/>
          <w:bCs/>
          <w:sz w:val="22"/>
          <w:szCs w:val="22"/>
        </w:rPr>
        <w:t xml:space="preserve">Research idea (Q1): </w:t>
      </w:r>
      <w:r>
        <w:rPr>
          <w:sz w:val="22"/>
          <w:szCs w:val="22"/>
        </w:rPr>
        <w:t xml:space="preserve">NOT PROVIDED — user described a test scenario ("ambiguous keywords, few papers, conflicting conclusions") but did not supply a specific research idea, population, intervention, or outcome.</w:t>
      </w:r>
    </w:p>
    <w:p>
      <w:pPr>
        <w:spacing w:after="100"/>
      </w:pPr>
      <w:r>
        <w:rPr>
          <w:b/>
          <w:bCs/>
          <w:sz w:val="22"/>
          <w:szCs w:val="22"/>
        </w:rPr>
        <w:t xml:space="preserve">Career stage (Q2): </w:t>
      </w:r>
      <w:r>
        <w:rPr>
          <w:sz w:val="22"/>
          <w:szCs w:val="22"/>
        </w:rPr>
        <w:t xml:space="preserve">not provided</w:t>
      </w:r>
    </w:p>
    <w:p>
      <w:pPr>
        <w:spacing w:after="100"/>
      </w:pPr>
      <w:r>
        <w:rPr>
          <w:b/>
          <w:bCs/>
          <w:sz w:val="22"/>
          <w:szCs w:val="22"/>
        </w:rPr>
        <w:t xml:space="preserve">Preliminary data (Q3): </w:t>
      </w:r>
      <w:r>
        <w:rPr>
          <w:sz w:val="22"/>
          <w:szCs w:val="22"/>
        </w:rPr>
        <w:t xml:space="preserve">not provided</w:t>
      </w:r>
    </w:p>
    <w:p>
      <w:pPr>
        <w:spacing w:after="100"/>
      </w:pPr>
      <w:r>
        <w:rPr>
          <w:b/>
          <w:bCs/>
          <w:sz w:val="22"/>
          <w:szCs w:val="22"/>
        </w:rPr>
        <w:t xml:space="preserve">Environment (Q4): </w:t>
      </w:r>
      <w:r>
        <w:rPr>
          <w:sz w:val="22"/>
          <w:szCs w:val="22"/>
        </w:rPr>
        <w:t xml:space="preserve">not provided</w:t>
      </w:r>
    </w:p>
    <w:p>
      <w:pPr>
        <w:spacing w:after="100"/>
      </w:pPr>
      <w:r>
        <w:rPr>
          <w:b/>
          <w:bCs/>
          <w:sz w:val="22"/>
          <w:szCs w:val="22"/>
        </w:rPr>
        <w:t xml:space="preserve">Submission posture (Q5): </w:t>
      </w:r>
      <w:r>
        <w:rPr>
          <w:sz w:val="22"/>
          <w:szCs w:val="22"/>
        </w:rPr>
        <w:t xml:space="preserve">not provided</w:t>
      </w:r>
    </w:p>
    <w:p>
      <w:pPr>
        <w:spacing w:after="100"/>
      </w:pPr>
      <w:r>
        <w:rPr>
          <w:b/>
          <w:bCs/>
          <w:sz w:val="22"/>
          <w:szCs w:val="22"/>
        </w:rPr>
        <w:t xml:space="preserve">Institute targets (Q6): </w:t>
      </w:r>
      <w:r>
        <w:rPr>
          <w:sz w:val="22"/>
          <w:szCs w:val="22"/>
        </w:rPr>
        <w:t xml:space="preserve">not provided</w:t>
      </w:r>
    </w:p>
    <w:p>
      <w:pPr>
        <w:pStyle w:val="Heading2"/>
        <w:spacing w:after="80" w:before="200"/>
      </w:pPr>
      <w:r>
        <w:rPr>
          <w:b/>
          <w:bCs/>
          <w:color w:val="1a3a5c"/>
          <w:sz w:val="26"/>
          <w:szCs w:val="26"/>
        </w:rPr>
        <w:t xml:space="preserve">Key findings</w:t>
      </w:r>
    </w:p>
    <w:p>
      <w:pPr>
        <w:pStyle w:val="ListParagraph"/>
        <w:numPr>
          <w:ilvl w:val="0"/>
          <w:numId w:val="1"/>
        </w:numPr>
        <w:spacing w:after="60"/>
      </w:pPr>
      <w:r>
        <w:rPr>
          <w:b/>
          <w:bCs/>
          <w:sz w:val="22"/>
          <w:szCs w:val="22"/>
        </w:rPr>
        <w:t xml:space="preserve">Hard stop at Phase 1 gate. </w:t>
      </w:r>
      <w:r>
        <w:rPr>
          <w:sz w:val="22"/>
          <w:szCs w:val="22"/>
        </w:rPr>
        <w:t xml:space="preserve">The grants skill mandates a 6-question grill-me intake before any search runs. Per SKILL.md, vague ideas are rejected; Phase 2A/2B/3 do not execute until Q1–Q6 are answered.</w:t>
      </w:r>
    </w:p>
    <w:p>
      <w:pPr>
        <w:pStyle w:val="ListParagraph"/>
        <w:numPr>
          <w:ilvl w:val="0"/>
          <w:numId w:val="1"/>
        </w:numPr>
        <w:spacing w:after="60"/>
      </w:pPr>
      <w:r>
        <w:rPr>
          <w:b/>
          <w:bCs/>
          <w:sz w:val="22"/>
          <w:szCs w:val="22"/>
        </w:rPr>
        <w:t xml:space="preserve">No grants, papers, NOSIs, or project numbers were retrieved or fabricated. </w:t>
      </w:r>
      <w:r>
        <w:rPr>
          <w:sz w:val="22"/>
          <w:szCs w:val="22"/>
        </w:rPr>
        <w:t xml:space="preserve">Zero Consensus searches and zero substantive RePORTER searches were run. A single RePORTER connectivity probe (nonsense term) confirmed the endpoint is reachable.</w:t>
      </w:r>
    </w:p>
    <w:p>
      <w:pPr>
        <w:pStyle w:val="ListParagraph"/>
        <w:numPr>
          <w:ilvl w:val="0"/>
          <w:numId w:val="1"/>
        </w:numPr>
        <w:spacing w:after="60"/>
      </w:pPr>
      <w:r>
        <w:rPr>
          <w:b/>
          <w:bCs/>
          <w:sz w:val="22"/>
          <w:szCs w:val="22"/>
        </w:rPr>
        <w:t xml:space="preserve">Tooling verified. </w:t>
      </w:r>
      <w:r>
        <w:rPr>
          <w:sz w:val="22"/>
          <w:szCs w:val="22"/>
        </w:rPr>
        <w:t xml:space="preserve">Python 3 scripts run cleanly; fiscal-year window FY2023–FY2026 computed at runtime; RePORTER POST returns well-formed JSON; Node.js v20 + docx package available for DOCX generation.</w:t>
      </w:r>
    </w:p>
    <w:p>
      <w:pPr>
        <w:pStyle w:val="ListParagraph"/>
        <w:numPr>
          <w:ilvl w:val="0"/>
          <w:numId w:val="1"/>
        </w:numPr>
        <w:spacing w:after="60"/>
      </w:pPr>
      <w:r>
        <w:rPr>
          <w:b/>
          <w:bCs/>
          <w:sz w:val="22"/>
          <w:szCs w:val="22"/>
        </w:rPr>
        <w:t xml:space="preserve">Tooling gap. </w:t>
      </w:r>
      <w:r>
        <w:rPr>
          <w:sz w:val="22"/>
          <w:szCs w:val="22"/>
        </w:rPr>
        <w:t xml:space="preserve">The skill requires a Consensus MCP connection for Phase 2A (5-facet positioning). No Consensus MCP tool is available in this environment; general_search / scholar_search are not Consensus and would not produce consensus.app URLs, so they were not substituted.</w:t>
      </w:r>
    </w:p>
    <w:p>
      <w:pPr>
        <w:pStyle w:val="ListParagraph"/>
        <w:numPr>
          <w:ilvl w:val="0"/>
          <w:numId w:val="1"/>
        </w:numPr>
        <w:spacing w:after="60"/>
      </w:pPr>
      <w:r>
        <w:rPr>
          <w:b/>
          <w:bCs/>
          <w:sz w:val="22"/>
          <w:szCs w:val="22"/>
        </w:rPr>
        <w:t xml:space="preserve">Safe minimum deliverable. </w:t>
      </w:r>
      <w:r>
        <w:rPr>
          <w:sz w:val="22"/>
          <w:szCs w:val="22"/>
        </w:rPr>
        <w:t xml:space="preserve">This DOCX contains the canonical, skill-specified application conditions, timelines, and materials checklist (which are independent of Q1), plus the exact intake questions and stop conditions. It does not contain topic-specific grant recommendations because none can be honestly produced.</w:t>
      </w:r>
    </w:p>
    <w:p>
      <w:pPr>
        <w:pStyle w:val="Heading1"/>
        <w:spacing w:after="120" w:before="300"/>
      </w:pPr>
      <w:r>
        <w:rPr>
          <w:b/>
          <w:bCs/>
          <w:color w:val="1a3a5c"/>
          <w:sz w:val="32"/>
          <w:szCs w:val="32"/>
        </w:rPr>
        <w:t xml:space="preserve">2. Research Positioning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20"/>
              <w:left w:type="dxa" w:w="160"/>
              <w:bottom w:type="dxa" w:w="120"/>
              <w:right w:type="dxa" w:w="160"/>
            </w:tcMar>
          </w:tcPr>
          <w:p>
            <w:r>
              <w:rPr>
                <w:b/>
                <w:bCs/>
                <w:sz w:val="22"/>
                <w:szCs w:val="22"/>
              </w:rPr>
              <w:t xml:space="preserve">[GATED] </w:t>
            </w:r>
            <w:r>
              <w:rPr>
                <w:i/>
                <w:iCs/>
                <w:sz w:val="22"/>
                <w:szCs w:val="22"/>
              </w:rPr>
              <w:t xml:space="preserve">Five Consensus facet searches were NOT run. SKILL.md requires a precise Q1 research idea before Phase 2A. The user's scenario mentions ambiguous keywords and conflicting conclusions, but no actual keyword or research question was supplied, so there is nothing to search.</w:t>
            </w:r>
          </w:p>
        </w:tc>
      </w:tr>
    </w:tbl>
    <w:p>
      <w:pPr>
        <w:spacing w:after="100"/>
      </w:pPr>
      <w:r>
        <w:rPr>
          <w:sz w:val="22"/>
          <w:szCs w:val="22"/>
        </w:rPr>
        <w:t xml:space="preserve">Once Q1 is answered, the skill runs these five searches sequentially at 1 q/sec (templates shown verbatim from SKILL.md):</w:t>
      </w:r>
    </w:p>
    <w:tbl>
      <w:tblPr>
        <w:tblW w:type="auto" w:w="100"/>
        <w:tblBorders>
          <w:top w:val="single" w:color="1a3a5c" w:sz="4"/>
          <w:left w:val="single" w:color="1a3a5c" w:sz="4"/>
          <w:bottom w:val="single" w:color="1a3a5c" w:sz="4"/>
          <w:right w:val="single" w:color="1a3a5c" w:sz="4"/>
          <w:insideH w:val="single" w:color="999999" w:sz="2"/>
          <w:insideV w:val="single" w:color="999999" w:sz="2"/>
        </w:tblBorders>
      </w:tblPr>
      <w:tblGrid>
        <w:gridCol w:w="600"/>
        <w:gridCol w:w="2200"/>
        <w:gridCol w:w="6200"/>
      </w:tblGrid>
      <w:tr>
        <w:trPr>
          <w:tblHeader/>
        </w:trPr>
        <w:tc>
          <w:tcPr>
            <w:tcW w:type="dxa" w:w="600"/>
            <w:shd w:fill="e8f0f8" w:color="auto" w:val="clear"/>
            <w:tcMar>
              <w:top w:type="dxa" w:w="60"/>
              <w:left w:type="dxa" w:w="100"/>
              <w:bottom w:type="dxa" w:w="60"/>
              <w:right w:type="dxa" w:w="100"/>
            </w:tcMar>
          </w:tcPr>
          <w:p>
            <w:r>
              <w:rPr>
                <w:b/>
                <w:bCs/>
                <w:color w:val="1a3a5c"/>
                <w:sz w:val="20"/>
                <w:szCs w:val="20"/>
              </w:rPr>
              <w:t xml:space="preserve">#</w:t>
            </w:r>
          </w:p>
        </w:tc>
        <w:tc>
          <w:tcPr>
            <w:tcW w:type="dxa" w:w="2200"/>
            <w:shd w:fill="e8f0f8" w:color="auto" w:val="clear"/>
            <w:tcMar>
              <w:top w:type="dxa" w:w="60"/>
              <w:left w:type="dxa" w:w="100"/>
              <w:bottom w:type="dxa" w:w="60"/>
              <w:right w:type="dxa" w:w="100"/>
            </w:tcMar>
          </w:tcPr>
          <w:p>
            <w:r>
              <w:rPr>
                <w:b/>
                <w:bCs/>
                <w:color w:val="1a3a5c"/>
                <w:sz w:val="20"/>
                <w:szCs w:val="20"/>
              </w:rPr>
              <w:t xml:space="preserve">Facet</w:t>
            </w:r>
          </w:p>
        </w:tc>
        <w:tc>
          <w:tcPr>
            <w:tcW w:type="dxa" w:w="6200"/>
            <w:shd w:fill="e8f0f8" w:color="auto" w:val="clear"/>
            <w:tcMar>
              <w:top w:type="dxa" w:w="60"/>
              <w:left w:type="dxa" w:w="100"/>
              <w:bottom w:type="dxa" w:w="60"/>
              <w:right w:type="dxa" w:w="100"/>
            </w:tcMar>
          </w:tcPr>
          <w:p>
            <w:r>
              <w:rPr>
                <w:b/>
                <w:bCs/>
                <w:color w:val="1a3a5c"/>
                <w:sz w:val="20"/>
                <w:szCs w:val="20"/>
              </w:rPr>
              <w:t xml:space="preserve">Query template</w:t>
            </w:r>
          </w:p>
        </w:tc>
      </w:tr>
      <w:tr>
        <w:tc>
          <w:tcPr>
            <w:tcW w:type="dxa" w:w="600"/>
            <w:tcMar>
              <w:top w:type="dxa" w:w="60"/>
              <w:left w:type="dxa" w:w="100"/>
              <w:bottom w:type="dxa" w:w="60"/>
              <w:right w:type="dxa" w:w="100"/>
            </w:tcMar>
          </w:tcPr>
          <w:p>
            <w:r>
              <w:rPr>
                <w:b w:val="false"/>
                <w:bCs w:val="false"/>
                <w:sz w:val="20"/>
                <w:szCs w:val="20"/>
              </w:rPr>
              <w:t xml:space="preserve">1</w:t>
            </w:r>
          </w:p>
        </w:tc>
        <w:tc>
          <w:tcPr>
            <w:tcW w:type="dxa" w:w="2200"/>
            <w:tcMar>
              <w:top w:type="dxa" w:w="60"/>
              <w:left w:type="dxa" w:w="100"/>
              <w:bottom w:type="dxa" w:w="60"/>
              <w:right w:type="dxa" w:w="100"/>
            </w:tcMar>
          </w:tcPr>
          <w:p>
            <w:r>
              <w:rPr>
                <w:b w:val="false"/>
                <w:bCs w:val="false"/>
                <w:sz w:val="20"/>
                <w:szCs w:val="20"/>
              </w:rPr>
              <w:t xml:space="preserve">Established</w:t>
            </w:r>
          </w:p>
        </w:tc>
        <w:tc>
          <w:tcPr>
            <w:tcW w:type="dxa" w:w="6200"/>
            <w:tcMar>
              <w:top w:type="dxa" w:w="60"/>
              <w:left w:type="dxa" w:w="100"/>
              <w:bottom w:type="dxa" w:w="60"/>
              <w:right w:type="dxa" w:w="100"/>
            </w:tcMar>
          </w:tcPr>
          <w:p>
            <w:r>
              <w:rPr>
                <w:b w:val="false"/>
                <w:bCs w:val="false"/>
                <w:sz w:val="20"/>
                <w:szCs w:val="20"/>
              </w:rPr>
              <w:t xml:space="preserve">"&lt;research idea&gt;" established evidence</w:t>
            </w:r>
          </w:p>
        </w:tc>
      </w:tr>
      <w:tr>
        <w:tc>
          <w:tcPr>
            <w:tcW w:type="dxa" w:w="600"/>
            <w:tcMar>
              <w:top w:type="dxa" w:w="60"/>
              <w:left w:type="dxa" w:w="100"/>
              <w:bottom w:type="dxa" w:w="60"/>
              <w:right w:type="dxa" w:w="100"/>
            </w:tcMar>
          </w:tcPr>
          <w:p>
            <w:r>
              <w:rPr>
                <w:b w:val="false"/>
                <w:bCs w:val="false"/>
                <w:sz w:val="20"/>
                <w:szCs w:val="20"/>
              </w:rPr>
              <w:t xml:space="preserve">2</w:t>
            </w:r>
          </w:p>
        </w:tc>
        <w:tc>
          <w:tcPr>
            <w:tcW w:type="dxa" w:w="2200"/>
            <w:tcMar>
              <w:top w:type="dxa" w:w="60"/>
              <w:left w:type="dxa" w:w="100"/>
              <w:bottom w:type="dxa" w:w="60"/>
              <w:right w:type="dxa" w:w="100"/>
            </w:tcMar>
          </w:tcPr>
          <w:p>
            <w:r>
              <w:rPr>
                <w:b w:val="false"/>
                <w:bCs w:val="false"/>
                <w:sz w:val="20"/>
                <w:szCs w:val="20"/>
              </w:rPr>
              <w:t xml:space="preserve">Stakes</w:t>
            </w:r>
          </w:p>
        </w:tc>
        <w:tc>
          <w:tcPr>
            <w:tcW w:type="dxa" w:w="6200"/>
            <w:tcMar>
              <w:top w:type="dxa" w:w="60"/>
              <w:left w:type="dxa" w:w="100"/>
              <w:bottom w:type="dxa" w:w="60"/>
              <w:right w:type="dxa" w:w="100"/>
            </w:tcMar>
          </w:tcPr>
          <w:p>
            <w:r>
              <w:rPr>
                <w:b w:val="false"/>
                <w:bCs w:val="false"/>
                <w:sz w:val="20"/>
                <w:szCs w:val="20"/>
              </w:rPr>
              <w:t xml:space="preserve">"&lt;topic&gt;" mortality OR burden OR cost OR prevalence</w:t>
            </w:r>
          </w:p>
        </w:tc>
      </w:tr>
      <w:tr>
        <w:tc>
          <w:tcPr>
            <w:tcW w:type="dxa" w:w="600"/>
            <w:tcMar>
              <w:top w:type="dxa" w:w="60"/>
              <w:left w:type="dxa" w:w="100"/>
              <w:bottom w:type="dxa" w:w="60"/>
              <w:right w:type="dxa" w:w="100"/>
            </w:tcMar>
          </w:tcPr>
          <w:p>
            <w:r>
              <w:rPr>
                <w:b w:val="false"/>
                <w:bCs w:val="false"/>
                <w:sz w:val="20"/>
                <w:szCs w:val="20"/>
              </w:rPr>
              <w:t xml:space="preserve">3</w:t>
            </w:r>
          </w:p>
        </w:tc>
        <w:tc>
          <w:tcPr>
            <w:tcW w:type="dxa" w:w="2200"/>
            <w:tcMar>
              <w:top w:type="dxa" w:w="60"/>
              <w:left w:type="dxa" w:w="100"/>
              <w:bottom w:type="dxa" w:w="60"/>
              <w:right w:type="dxa" w:w="100"/>
            </w:tcMar>
          </w:tcPr>
          <w:p>
            <w:r>
              <w:rPr>
                <w:b w:val="false"/>
                <w:bCs w:val="false"/>
                <w:sz w:val="20"/>
                <w:szCs w:val="20"/>
              </w:rPr>
              <w:t xml:space="preserve">Current approaches</w:t>
            </w:r>
          </w:p>
        </w:tc>
        <w:tc>
          <w:tcPr>
            <w:tcW w:type="dxa" w:w="6200"/>
            <w:tcMar>
              <w:top w:type="dxa" w:w="60"/>
              <w:left w:type="dxa" w:w="100"/>
              <w:bottom w:type="dxa" w:w="60"/>
              <w:right w:type="dxa" w:w="100"/>
            </w:tcMar>
          </w:tcPr>
          <w:p>
            <w:r>
              <w:rPr>
                <w:b w:val="false"/>
                <w:bCs w:val="false"/>
                <w:sz w:val="20"/>
                <w:szCs w:val="20"/>
              </w:rPr>
              <w:t xml:space="preserve">"&lt;topic&gt;" current treatment OR standard of care OR approach</w:t>
            </w:r>
          </w:p>
        </w:tc>
      </w:tr>
      <w:tr>
        <w:tc>
          <w:tcPr>
            <w:tcW w:type="dxa" w:w="600"/>
            <w:tcMar>
              <w:top w:type="dxa" w:w="60"/>
              <w:left w:type="dxa" w:w="100"/>
              <w:bottom w:type="dxa" w:w="60"/>
              <w:right w:type="dxa" w:w="100"/>
            </w:tcMar>
          </w:tcPr>
          <w:p>
            <w:r>
              <w:rPr>
                <w:b w:val="false"/>
                <w:bCs w:val="false"/>
                <w:sz w:val="20"/>
                <w:szCs w:val="20"/>
              </w:rPr>
              <w:t xml:space="preserve">4</w:t>
            </w:r>
          </w:p>
        </w:tc>
        <w:tc>
          <w:tcPr>
            <w:tcW w:type="dxa" w:w="2200"/>
            <w:tcMar>
              <w:top w:type="dxa" w:w="60"/>
              <w:left w:type="dxa" w:w="100"/>
              <w:bottom w:type="dxa" w:w="60"/>
              <w:right w:type="dxa" w:w="100"/>
            </w:tcMar>
          </w:tcPr>
          <w:p>
            <w:r>
              <w:rPr>
                <w:b w:val="false"/>
                <w:bCs w:val="false"/>
                <w:sz w:val="20"/>
                <w:szCs w:val="20"/>
              </w:rPr>
              <w:t xml:space="preserve">Adjacent methods</w:t>
            </w:r>
          </w:p>
        </w:tc>
        <w:tc>
          <w:tcPr>
            <w:tcW w:type="dxa" w:w="6200"/>
            <w:tcMar>
              <w:top w:type="dxa" w:w="60"/>
              <w:left w:type="dxa" w:w="100"/>
              <w:bottom w:type="dxa" w:w="60"/>
              <w:right w:type="dxa" w:w="100"/>
            </w:tcMar>
          </w:tcPr>
          <w:p>
            <w:r>
              <w:rPr>
                <w:b w:val="false"/>
                <w:bCs w:val="false"/>
                <w:sz w:val="20"/>
                <w:szCs w:val="20"/>
              </w:rPr>
              <w:t xml:space="preserve">"&lt;related technique&gt;" applied to &lt;topic&gt;</w:t>
            </w:r>
          </w:p>
        </w:tc>
      </w:tr>
      <w:tr>
        <w:tc>
          <w:tcPr>
            <w:tcW w:type="dxa" w:w="600"/>
            <w:tcMar>
              <w:top w:type="dxa" w:w="60"/>
              <w:left w:type="dxa" w:w="100"/>
              <w:bottom w:type="dxa" w:w="60"/>
              <w:right w:type="dxa" w:w="100"/>
            </w:tcMar>
          </w:tcPr>
          <w:p>
            <w:r>
              <w:rPr>
                <w:b w:val="false"/>
                <w:bCs w:val="false"/>
                <w:sz w:val="20"/>
                <w:szCs w:val="20"/>
              </w:rPr>
              <w:t xml:space="preserve">5</w:t>
            </w:r>
          </w:p>
        </w:tc>
        <w:tc>
          <w:tcPr>
            <w:tcW w:type="dxa" w:w="2200"/>
            <w:tcMar>
              <w:top w:type="dxa" w:w="60"/>
              <w:left w:type="dxa" w:w="100"/>
              <w:bottom w:type="dxa" w:w="60"/>
              <w:right w:type="dxa" w:w="100"/>
            </w:tcMar>
          </w:tcPr>
          <w:p>
            <w:r>
              <w:rPr>
                <w:b w:val="false"/>
                <w:bCs w:val="false"/>
                <w:sz w:val="20"/>
                <w:szCs w:val="20"/>
              </w:rPr>
              <w:t xml:space="preserve">Gaps</w:t>
            </w:r>
          </w:p>
        </w:tc>
        <w:tc>
          <w:tcPr>
            <w:tcW w:type="dxa" w:w="6200"/>
            <w:tcMar>
              <w:top w:type="dxa" w:w="60"/>
              <w:left w:type="dxa" w:w="100"/>
              <w:bottom w:type="dxa" w:w="60"/>
              <w:right w:type="dxa" w:w="100"/>
            </w:tcMar>
          </w:tcPr>
          <w:p>
            <w:r>
              <w:rPr>
                <w:b w:val="false"/>
                <w:bCs w:val="false"/>
                <w:sz w:val="20"/>
                <w:szCs w:val="20"/>
              </w:rPr>
              <w:t xml:space="preserve">"&lt;topic&gt;" limitations OR unanswered OR future directions OR challenge</w:t>
            </w:r>
          </w:p>
        </w:tc>
      </w:tr>
    </w:tbl>
    <w:p>
      <w:pPr>
        <w:spacing w:after="100"/>
      </w:pPr>
      <w:r>
        <w:rPr>
          <w:sz w:val="22"/>
          <w:szCs w:val="22"/>
        </w:rPr>
        <w:t xml:space="preserve"/>
      </w:r>
    </w:p>
    <w:p>
      <w:pPr>
        <w:pStyle w:val="Heading2"/>
        <w:spacing w:after="80" w:before="200"/>
      </w:pPr>
      <w:r>
        <w:rPr>
          <w:b/>
          <w:bCs/>
          <w:color w:val="1a3a5c"/>
          <w:sz w:val="26"/>
          <w:szCs w:val="26"/>
        </w:rPr>
        <w:t xml:space="preserve">How the skill handles the described edge cases</w:t>
      </w:r>
    </w:p>
    <w:p>
      <w:pPr>
        <w:pStyle w:val="ListParagraph"/>
        <w:numPr>
          <w:ilvl w:val="0"/>
          <w:numId w:val="1"/>
        </w:numPr>
        <w:spacing w:after="60"/>
      </w:pPr>
      <w:r>
        <w:rPr>
          <w:b/>
          <w:bCs/>
          <w:sz w:val="22"/>
          <w:szCs w:val="22"/>
        </w:rPr>
        <w:t xml:space="preserve">Ambiguous keywords: </w:t>
      </w:r>
      <w:r>
        <w:rPr>
          <w:sz w:val="22"/>
          <w:szCs w:val="22"/>
        </w:rPr>
        <w:t xml:space="preserve">Q1 explicitly refuses vague answers ("AI for healthcare", "biomarkers for disease X"). The skill re-asks once with examples. If a facet returns 0 results, the DOCX surfaces </w:t>
      </w:r>
      <w:r>
        <w:rPr>
          <w:i/>
          <w:iCs/>
          <w:sz w:val="22"/>
          <w:szCs w:val="22"/>
        </w:rPr>
        <w:t xml:space="preserve">[no results — verify terminology]</w:t>
      </w:r>
      <w:r>
        <w:rPr>
          <w:sz w:val="22"/>
          <w:szCs w:val="22"/>
        </w:rPr>
        <w:t xml:space="preserve"> and never fills the gap with training knowledge.</w:t>
      </w:r>
    </w:p>
    <w:p>
      <w:pPr>
        <w:pStyle w:val="ListParagraph"/>
        <w:numPr>
          <w:ilvl w:val="0"/>
          <w:numId w:val="1"/>
        </w:numPr>
        <w:spacing w:after="60"/>
      </w:pPr>
      <w:r>
        <w:rPr>
          <w:b/>
          <w:bCs/>
          <w:sz w:val="22"/>
          <w:szCs w:val="22"/>
        </w:rPr>
        <w:t xml:space="preserve">Few available papers: </w:t>
      </w:r>
      <w:r>
        <w:rPr>
          <w:sz w:val="22"/>
          <w:szCs w:val="22"/>
        </w:rPr>
        <w:t xml:space="preserve">Plan-tier detection reads Consensus response patterns (Free ≈10/query, Pro ≈20, unauthenticated ≤3). The audit log states the detected tier and the theoretical ceiling. Thin facets are surfaced, not padded.</w:t>
      </w:r>
    </w:p>
    <w:p>
      <w:pPr>
        <w:pStyle w:val="ListParagraph"/>
        <w:numPr>
          <w:ilvl w:val="0"/>
          <w:numId w:val="1"/>
        </w:numPr>
        <w:spacing w:after="60"/>
      </w:pPr>
      <w:r>
        <w:rPr>
          <w:b/>
          <w:bCs/>
          <w:sz w:val="22"/>
          <w:szCs w:val="22"/>
        </w:rPr>
        <w:t xml:space="preserve">Conflicting conclusions: </w:t>
      </w:r>
      <w:r>
        <w:rPr>
          <w:sz w:val="22"/>
          <w:szCs w:val="22"/>
        </w:rPr>
        <w:t xml:space="preserve">The synthesis pattern is </w:t>
      </w:r>
      <w:r>
        <w:rPr>
          <w:i/>
          <w:iCs/>
          <w:sz w:val="22"/>
          <w:szCs w:val="22"/>
        </w:rPr>
        <w:t xml:space="preserve">"the field has established X (refs), but Y remains unanswered (refs)"</w:t>
      </w:r>
      <w:r>
        <w:rPr>
          <w:sz w:val="22"/>
          <w:szCs w:val="22"/>
        </w:rPr>
        <w:t xml:space="preserve"> — conflicts are presented as quoted findings with inline citations, not resolved by assertion. Every cited paper must have a retrievable consensus.app URL from this session.</w:t>
      </w:r>
    </w:p>
    <w:p>
      <w:pPr>
        <w:spacing w:after="100"/>
      </w:pPr>
      <w:r>
        <w:rPr>
          <w:b/>
          <w:bCs/>
          <w:sz w:val="22"/>
          <w:szCs w:val="22"/>
        </w:rPr>
        <w:t xml:space="preserve">Fact / inference / to-be-confirmed split for this section: </w:t>
      </w:r>
      <w:r>
        <w:rPr>
          <w:sz w:val="22"/>
          <w:szCs w:val="22"/>
        </w:rPr>
        <w:t xml:space="preserve">the five query templates and edge-case rules are facts from SKILL.md; any positioning narrative would be inference from Consensus output and is therefore deferred; whether the user's real topic is genuinely ambiguous is to-be-confirmed by Q1.</w:t>
      </w:r>
    </w:p>
    <w:p>
      <w:pPr>
        <w:pStyle w:val="Heading1"/>
        <w:spacing w:after="120" w:before="300"/>
      </w:pPr>
      <w:r>
        <w:rPr>
          <w:b/>
          <w:bCs/>
          <w:color w:val="1a3a5c"/>
          <w:sz w:val="32"/>
          <w:szCs w:val="32"/>
        </w:rPr>
        <w:t xml:space="preserve">3. Target Institutes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20"/>
              <w:left w:type="dxa" w:w="160"/>
              <w:bottom w:type="dxa" w:w="120"/>
              <w:right w:type="dxa" w:w="160"/>
            </w:tcMar>
          </w:tcPr>
          <w:p>
            <w:r>
              <w:rPr>
                <w:b/>
                <w:bCs/>
                <w:sz w:val="22"/>
                <w:szCs w:val="22"/>
              </w:rPr>
              <w:t xml:space="preserve">[GATED] </w:t>
            </w:r>
            <w:r>
              <w:rPr>
                <w:i/>
                <w:iCs/>
                <w:sz w:val="22"/>
                <w:szCs w:val="22"/>
              </w:rPr>
              <w:t xml:space="preserve">No institute tally was produced. The tally is computed by counting agency_ic_admin across RePORTER narrow (AND) + broad (OR) results for the user's specific terms. Without Q1 terms, no tally can be honestly computed.</w:t>
            </w:r>
          </w:p>
        </w:tc>
      </w:tr>
    </w:tbl>
    <w:p>
      <w:pPr>
        <w:spacing w:after="100"/>
      </w:pPr>
      <w:r>
        <w:rPr>
          <w:sz w:val="22"/>
          <w:szCs w:val="22"/>
        </w:rPr>
        <w:t xml:space="preserve">Method that WILL run once Q1 is set (verbatim from SKILL.md / reporter_post_patterns.md):</w:t>
      </w:r>
    </w:p>
    <w:p>
      <w:pPr>
        <w:pStyle w:val="ListParagraph"/>
        <w:numPr>
          <w:ilvl w:val="0"/>
          <w:numId w:val="1"/>
        </w:numPr>
        <w:spacing w:after="60"/>
      </w:pPr>
      <w:r>
        <w:rPr>
          <w:sz w:val="22"/>
          <w:szCs w:val="22"/>
        </w:rPr>
        <w:t xml:space="preserve">Narrow AND search over fiscal_years [2023,2024,2025,2026], include_active_projects=true, limit=50.</w:t>
      </w:r>
    </w:p>
    <w:p>
      <w:pPr>
        <w:pStyle w:val="ListParagraph"/>
        <w:numPr>
          <w:ilvl w:val="0"/>
          <w:numId w:val="1"/>
        </w:numPr>
        <w:spacing w:after="60"/>
      </w:pPr>
      <w:r>
        <w:rPr>
          <w:sz w:val="22"/>
          <w:szCs w:val="22"/>
        </w:rPr>
        <w:t xml:space="preserve">Broad OR search with synonyms/related concepts, same window, limit=50.</w:t>
      </w:r>
    </w:p>
    <w:p>
      <w:pPr>
        <w:pStyle w:val="ListParagraph"/>
        <w:numPr>
          <w:ilvl w:val="0"/>
          <w:numId w:val="1"/>
        </w:numPr>
        <w:spacing w:after="60"/>
      </w:pPr>
      <w:r>
        <w:rPr>
          <w:sz w:val="22"/>
          <w:szCs w:val="22"/>
        </w:rPr>
        <w:t xml:space="preserve">Tally agency_ic_admin → top-3 institutes; tally study_section → top-2.</w:t>
      </w:r>
    </w:p>
    <w:p>
      <w:pPr>
        <w:pStyle w:val="ListParagraph"/>
        <w:numPr>
          <w:ilvl w:val="0"/>
          <w:numId w:val="1"/>
        </w:numPr>
        <w:spacing w:after="60"/>
      </w:pPr>
      <w:r>
        <w:rPr>
          <w:sz w:val="22"/>
          <w:szCs w:val="22"/>
        </w:rPr>
        <w:t xml:space="preserve">If narrow returns &lt;5 projects: document low count; rely on broad OR; surface low count to the researcher (do not pad).</w:t>
      </w:r>
    </w:p>
    <w:p>
      <w:pPr>
        <w:spacing w:after="100"/>
      </w:pPr>
      <w:r>
        <w:rPr>
          <w:b/>
          <w:bCs/>
          <w:sz w:val="22"/>
          <w:szCs w:val="22"/>
        </w:rPr>
        <w:t xml:space="preserve">To-be-confirmed: </w:t>
      </w:r>
      <w:r>
        <w:rPr>
          <w:sz w:val="22"/>
          <w:szCs w:val="22"/>
        </w:rPr>
        <w:t xml:space="preserve">which ICs (NCI, NHLBI, NIMH, NINDS, NIDDK, …) actually fund adjacent work. This cannot be asserted without running RePORTER.</w:t>
      </w:r>
    </w:p>
    <w:p>
      <w:pPr>
        <w:pStyle w:val="Heading1"/>
        <w:spacing w:after="120" w:before="300"/>
      </w:pPr>
      <w:r>
        <w:rPr>
          <w:b/>
          <w:bCs/>
          <w:color w:val="1a3a5c"/>
          <w:sz w:val="32"/>
          <w:szCs w:val="32"/>
        </w:rPr>
        <w:t xml:space="preserve">4. Grant Opportunities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A623" w:color="auto" w:val="clear"/>
            <w:tcMar>
              <w:top w:type="dxa" w:w="120"/>
              <w:left w:type="dxa" w:w="160"/>
              <w:bottom w:type="dxa" w:w="120"/>
              <w:right w:type="dxa" w:w="160"/>
            </w:tcMar>
          </w:tcPr>
          <w:p>
            <w:r>
              <w:rPr>
                <w:b/>
                <w:bCs/>
                <w:sz w:val="22"/>
                <w:szCs w:val="22"/>
              </w:rPr>
              <w:t xml:space="preserve">[GATED] </w:t>
            </w:r>
            <w:r>
              <w:rPr>
                <w:i/>
                <w:iCs/>
                <w:sz w:val="22"/>
                <w:szCs w:val="22"/>
              </w:rPr>
              <w:t xml:space="preserve">No specific FOAs or NOSIs were discovered. NOSI numbers (NOT-XX-YY-NNN) are parsed from RePORTER abstracts/project_terms and fetched from grants.nih.gov. With no RePORTER substantive search, there are no NOSIs to fetch and no FOAs to list. None were invented.</w:t>
            </w:r>
          </w:p>
        </w:tc>
      </w:tr>
    </w:tbl>
    <w:p>
      <w:pPr>
        <w:spacing w:after="100"/>
      </w:pPr>
      <w:r>
        <w:rPr>
          <w:sz w:val="22"/>
          <w:szCs w:val="22"/>
        </w:rPr>
        <w:t xml:space="preserve">The following canonical tables are from SKILL.md and its references. They are mechanism-level facts published by NIH OER, not topic-specific recommendations for the user.</w:t>
      </w:r>
    </w:p>
    <w:p>
      <w:pPr>
        <w:pStyle w:val="Heading2"/>
        <w:spacing w:after="80" w:before="200"/>
      </w:pPr>
      <w:r>
        <w:rPr>
          <w:b/>
          <w:bCs/>
          <w:color w:val="1a3a5c"/>
          <w:sz w:val="26"/>
          <w:szCs w:val="26"/>
        </w:rPr>
        <w:t xml:space="preserve">Standard NIH receipt dates (use to plan backwards)</w:t>
      </w:r>
    </w:p>
    <w:tbl>
      <w:tblPr>
        <w:tblW w:type="auto" w:w="100"/>
        <w:tblBorders>
          <w:top w:val="single" w:color="1a3a5c" w:sz="4"/>
          <w:left w:val="single" w:color="1a3a5c" w:sz="4"/>
          <w:bottom w:val="single" w:color="1a3a5c" w:sz="4"/>
          <w:right w:val="single" w:color="1a3a5c" w:sz="4"/>
          <w:insideH w:val="single" w:color="999999" w:sz="2"/>
          <w:insideV w:val="single" w:color="999999" w:sz="2"/>
        </w:tblBorders>
      </w:tblPr>
      <w:tblGrid>
        <w:gridCol w:w="2800"/>
        <w:gridCol w:w="3400"/>
        <w:gridCol w:w="2800"/>
      </w:tblGrid>
      <w:tr>
        <w:trPr>
          <w:tblHeader/>
        </w:trPr>
        <w:tc>
          <w:tcPr>
            <w:tcW w:type="dxa" w:w="2800"/>
            <w:shd w:fill="e8f0f8" w:color="auto" w:val="clear"/>
            <w:tcMar>
              <w:top w:type="dxa" w:w="60"/>
              <w:left w:type="dxa" w:w="100"/>
              <w:bottom w:type="dxa" w:w="60"/>
              <w:right w:type="dxa" w:w="100"/>
            </w:tcMar>
          </w:tcPr>
          <w:p>
            <w:r>
              <w:rPr>
                <w:b/>
                <w:bCs/>
                <w:color w:val="1a3a5c"/>
                <w:sz w:val="20"/>
                <w:szCs w:val="20"/>
              </w:rPr>
              <w:t xml:space="preserve">Mechanism</w:t>
            </w:r>
          </w:p>
        </w:tc>
        <w:tc>
          <w:tcPr>
            <w:tcW w:type="dxa" w:w="3400"/>
            <w:shd w:fill="e8f0f8" w:color="auto" w:val="clear"/>
            <w:tcMar>
              <w:top w:type="dxa" w:w="60"/>
              <w:left w:type="dxa" w:w="100"/>
              <w:bottom w:type="dxa" w:w="60"/>
              <w:right w:type="dxa" w:w="100"/>
            </w:tcMar>
          </w:tcPr>
          <w:p>
            <w:r>
              <w:rPr>
                <w:b/>
                <w:bCs/>
                <w:color w:val="1a3a5c"/>
                <w:sz w:val="20"/>
                <w:szCs w:val="20"/>
              </w:rPr>
              <w:t xml:space="preserve">Standard receipt dates</w:t>
            </w:r>
          </w:p>
        </w:tc>
        <w:tc>
          <w:tcPr>
            <w:tcW w:type="dxa" w:w="2800"/>
            <w:shd w:fill="e8f0f8" w:color="auto" w:val="clear"/>
            <w:tcMar>
              <w:top w:type="dxa" w:w="60"/>
              <w:left w:type="dxa" w:w="100"/>
              <w:bottom w:type="dxa" w:w="60"/>
              <w:right w:type="dxa" w:w="100"/>
            </w:tcMar>
          </w:tcPr>
          <w:p>
            <w:r>
              <w:rPr>
                <w:b/>
                <w:bCs/>
                <w:color w:val="1a3a5c"/>
                <w:sz w:val="20"/>
                <w:szCs w:val="20"/>
              </w:rPr>
              <w:t xml:space="preserve">Source</w:t>
            </w:r>
          </w:p>
        </w:tc>
      </w:tr>
      <w:tr>
        <w:tc>
          <w:tcPr>
            <w:tcW w:type="dxa" w:w="2800"/>
            <w:tcMar>
              <w:top w:type="dxa" w:w="60"/>
              <w:left w:type="dxa" w:w="100"/>
              <w:bottom w:type="dxa" w:w="60"/>
              <w:right w:type="dxa" w:w="100"/>
            </w:tcMar>
          </w:tcPr>
          <w:p>
            <w:r>
              <w:rPr>
                <w:b w:val="false"/>
                <w:bCs w:val="false"/>
                <w:sz w:val="20"/>
                <w:szCs w:val="20"/>
              </w:rPr>
              <w:t xml:space="preserve">R01, R21, R03</w:t>
            </w:r>
          </w:p>
        </w:tc>
        <w:tc>
          <w:tcPr>
            <w:tcW w:type="dxa" w:w="3400"/>
            <w:tcMar>
              <w:top w:type="dxa" w:w="60"/>
              <w:left w:type="dxa" w:w="100"/>
              <w:bottom w:type="dxa" w:w="60"/>
              <w:right w:type="dxa" w:w="100"/>
            </w:tcMar>
          </w:tcPr>
          <w:p>
            <w:r>
              <w:rPr>
                <w:b w:val="false"/>
                <w:bCs w:val="false"/>
                <w:sz w:val="20"/>
                <w:szCs w:val="20"/>
              </w:rPr>
              <w:t xml:space="preserve">Feb 5, Jun 5, Oct 5</w:t>
            </w:r>
          </w:p>
        </w:tc>
        <w:tc>
          <w:tcPr>
            <w:tcW w:type="dxa" w:w="2800"/>
            <w:tcMar>
              <w:top w:type="dxa" w:w="60"/>
              <w:left w:type="dxa" w:w="100"/>
              <w:bottom w:type="dxa" w:w="60"/>
              <w:right w:type="dxa" w:w="100"/>
            </w:tcMar>
          </w:tcPr>
          <w:p>
            <w:r>
              <w:rPr>
                <w:b w:val="false"/>
                <w:bCs w:val="false"/>
                <w:sz w:val="20"/>
                <w:szCs w:val="20"/>
              </w:rPr>
              <w:t xml:space="preserve">SKILL.md Submission Timeline</w:t>
            </w:r>
          </w:p>
        </w:tc>
      </w:tr>
      <w:tr>
        <w:tc>
          <w:tcPr>
            <w:tcW w:type="dxa" w:w="2800"/>
            <w:tcMar>
              <w:top w:type="dxa" w:w="60"/>
              <w:left w:type="dxa" w:w="100"/>
              <w:bottom w:type="dxa" w:w="60"/>
              <w:right w:type="dxa" w:w="100"/>
            </w:tcMar>
          </w:tcPr>
          <w:p>
            <w:r>
              <w:rPr>
                <w:b w:val="false"/>
                <w:bCs w:val="false"/>
                <w:sz w:val="20"/>
                <w:szCs w:val="20"/>
              </w:rPr>
              <w:t xml:space="preserve">K awards (K01, K08, K23, K99)</w:t>
            </w:r>
          </w:p>
        </w:tc>
        <w:tc>
          <w:tcPr>
            <w:tcW w:type="dxa" w:w="3400"/>
            <w:tcMar>
              <w:top w:type="dxa" w:w="60"/>
              <w:left w:type="dxa" w:w="100"/>
              <w:bottom w:type="dxa" w:w="60"/>
              <w:right w:type="dxa" w:w="100"/>
            </w:tcMar>
          </w:tcPr>
          <w:p>
            <w:r>
              <w:rPr>
                <w:b w:val="false"/>
                <w:bCs w:val="false"/>
                <w:sz w:val="20"/>
                <w:szCs w:val="20"/>
              </w:rPr>
              <w:t xml:space="preserve">Feb 12, Jun 12, Oct 12</w:t>
            </w:r>
          </w:p>
        </w:tc>
        <w:tc>
          <w:tcPr>
            <w:tcW w:type="dxa" w:w="2800"/>
            <w:tcMar>
              <w:top w:type="dxa" w:w="60"/>
              <w:left w:type="dxa" w:w="100"/>
              <w:bottom w:type="dxa" w:w="60"/>
              <w:right w:type="dxa" w:w="100"/>
            </w:tcMar>
          </w:tcPr>
          <w:p>
            <w:r>
              <w:rPr>
                <w:b w:val="false"/>
                <w:bCs w:val="false"/>
                <w:sz w:val="20"/>
                <w:szCs w:val="20"/>
              </w:rPr>
              <w:t xml:space="preserve">SKILL.md Submission Timeline</w:t>
            </w:r>
          </w:p>
        </w:tc>
      </w:tr>
      <w:tr>
        <w:tc>
          <w:tcPr>
            <w:tcW w:type="dxa" w:w="2800"/>
            <w:tcMar>
              <w:top w:type="dxa" w:w="60"/>
              <w:left w:type="dxa" w:w="100"/>
              <w:bottom w:type="dxa" w:w="60"/>
              <w:right w:type="dxa" w:w="100"/>
            </w:tcMar>
          </w:tcPr>
          <w:p>
            <w:r>
              <w:rPr>
                <w:b w:val="false"/>
                <w:bCs w:val="false"/>
                <w:sz w:val="20"/>
                <w:szCs w:val="20"/>
              </w:rPr>
              <w:t xml:space="preserve">R34, R61/R33</w:t>
            </w:r>
          </w:p>
        </w:tc>
        <w:tc>
          <w:tcPr>
            <w:tcW w:type="dxa" w:w="3400"/>
            <w:tcMar>
              <w:top w:type="dxa" w:w="60"/>
              <w:left w:type="dxa" w:w="100"/>
              <w:bottom w:type="dxa" w:w="60"/>
              <w:right w:type="dxa" w:w="100"/>
            </w:tcMar>
          </w:tcPr>
          <w:p>
            <w:r>
              <w:rPr>
                <w:b w:val="false"/>
                <w:bCs w:val="false"/>
                <w:sz w:val="20"/>
                <w:szCs w:val="20"/>
              </w:rPr>
              <w:t xml:space="preserve">Feb 16, Jun 16, Oct 16</w:t>
            </w:r>
          </w:p>
        </w:tc>
        <w:tc>
          <w:tcPr>
            <w:tcW w:type="dxa" w:w="2800"/>
            <w:tcMar>
              <w:top w:type="dxa" w:w="60"/>
              <w:left w:type="dxa" w:w="100"/>
              <w:bottom w:type="dxa" w:w="60"/>
              <w:right w:type="dxa" w:w="100"/>
            </w:tcMar>
          </w:tcPr>
          <w:p>
            <w:r>
              <w:rPr>
                <w:b w:val="false"/>
                <w:bCs w:val="false"/>
                <w:sz w:val="20"/>
                <w:szCs w:val="20"/>
              </w:rPr>
              <w:t xml:space="preserve">SKILL.md Submission Timeline</w:t>
            </w:r>
          </w:p>
        </w:tc>
      </w:tr>
      <w:tr>
        <w:tc>
          <w:tcPr>
            <w:tcW w:type="dxa" w:w="2800"/>
            <w:tcMar>
              <w:top w:type="dxa" w:w="60"/>
              <w:left w:type="dxa" w:w="100"/>
              <w:bottom w:type="dxa" w:w="60"/>
              <w:right w:type="dxa" w:w="100"/>
            </w:tcMar>
          </w:tcPr>
          <w:p>
            <w:r>
              <w:rPr>
                <w:b w:val="false"/>
                <w:bCs w:val="false"/>
                <w:sz w:val="20"/>
                <w:szCs w:val="20"/>
              </w:rPr>
              <w:t xml:space="preserve">F31, F32</w:t>
            </w:r>
          </w:p>
        </w:tc>
        <w:tc>
          <w:tcPr>
            <w:tcW w:type="dxa" w:w="3400"/>
            <w:tcMar>
              <w:top w:type="dxa" w:w="60"/>
              <w:left w:type="dxa" w:w="100"/>
              <w:bottom w:type="dxa" w:w="60"/>
              <w:right w:type="dxa" w:w="100"/>
            </w:tcMar>
          </w:tcPr>
          <w:p>
            <w:r>
              <w:rPr>
                <w:b w:val="false"/>
                <w:bCs w:val="false"/>
                <w:sz w:val="20"/>
                <w:szCs w:val="20"/>
              </w:rPr>
              <w:t xml:space="preserve">Apr 8, Aug 8, Dec 8</w:t>
            </w:r>
          </w:p>
        </w:tc>
        <w:tc>
          <w:tcPr>
            <w:tcW w:type="dxa" w:w="2800"/>
            <w:tcMar>
              <w:top w:type="dxa" w:w="60"/>
              <w:left w:type="dxa" w:w="100"/>
              <w:bottom w:type="dxa" w:w="60"/>
              <w:right w:type="dxa" w:w="100"/>
            </w:tcMar>
          </w:tcPr>
          <w:p>
            <w:r>
              <w:rPr>
                <w:b w:val="false"/>
                <w:bCs w:val="false"/>
                <w:sz w:val="20"/>
                <w:szCs w:val="20"/>
              </w:rPr>
              <w:t xml:space="preserve">SKILL.md Submission Timeline</w:t>
            </w:r>
          </w:p>
        </w:tc>
      </w:tr>
    </w:tbl>
    <w:p>
      <w:pPr>
        <w:spacing w:after="100"/>
      </w:pPr>
      <w:r>
        <w:rPr>
          <w:sz w:val="22"/>
          <w:szCs w:val="22"/>
        </w:rPr>
        <w:t xml:space="preserve"/>
      </w:r>
    </w:p>
    <w:p>
      <w:pPr>
        <w:pStyle w:val="Heading2"/>
        <w:spacing w:after="80" w:before="200"/>
      </w:pPr>
      <w:r>
        <w:rPr>
          <w:b/>
          <w:bCs/>
          <w:color w:val="1a3a5c"/>
          <w:sz w:val="26"/>
          <w:szCs w:val="26"/>
        </w:rPr>
        <w:t xml:space="preserve">Mechanism budget / duration / prelim-data reference (from nih_mechanism_matching.md)</w:t>
      </w:r>
    </w:p>
    <w:tbl>
      <w:tblPr>
        <w:tblW w:type="auto" w:w="100"/>
        <w:tblBorders>
          <w:top w:val="single" w:color="1a3a5c" w:sz="4"/>
          <w:left w:val="single" w:color="1a3a5c" w:sz="4"/>
          <w:bottom w:val="single" w:color="1a3a5c" w:sz="4"/>
          <w:right w:val="single" w:color="1a3a5c" w:sz="4"/>
          <w:insideH w:val="single" w:color="999999" w:sz="2"/>
          <w:insideV w:val="single" w:color="999999" w:sz="2"/>
        </w:tblBorders>
      </w:tblPr>
      <w:tblGrid>
        <w:gridCol w:w="1600"/>
        <w:gridCol w:w="2400"/>
        <w:gridCol w:w="1200"/>
        <w:gridCol w:w="1600"/>
        <w:gridCol w:w="2200"/>
      </w:tblGrid>
      <w:tr>
        <w:trPr>
          <w:tblHeader/>
        </w:trPr>
        <w:tc>
          <w:tcPr>
            <w:tcW w:type="dxa" w:w="1600"/>
            <w:shd w:fill="e8f0f8" w:color="auto" w:val="clear"/>
            <w:tcMar>
              <w:top w:type="dxa" w:w="60"/>
              <w:left w:type="dxa" w:w="100"/>
              <w:bottom w:type="dxa" w:w="60"/>
              <w:right w:type="dxa" w:w="100"/>
            </w:tcMar>
          </w:tcPr>
          <w:p>
            <w:r>
              <w:rPr>
                <w:b/>
                <w:bCs/>
                <w:color w:val="1a3a5c"/>
                <w:sz w:val="20"/>
                <w:szCs w:val="20"/>
              </w:rPr>
              <w:t xml:space="preserve">Mechanism</w:t>
            </w:r>
          </w:p>
        </w:tc>
        <w:tc>
          <w:tcPr>
            <w:tcW w:type="dxa" w:w="2400"/>
            <w:shd w:fill="e8f0f8" w:color="auto" w:val="clear"/>
            <w:tcMar>
              <w:top w:type="dxa" w:w="60"/>
              <w:left w:type="dxa" w:w="100"/>
              <w:bottom w:type="dxa" w:w="60"/>
              <w:right w:type="dxa" w:w="100"/>
            </w:tcMar>
          </w:tcPr>
          <w:p>
            <w:r>
              <w:rPr>
                <w:b/>
                <w:bCs/>
                <w:color w:val="1a3a5c"/>
                <w:sz w:val="20"/>
                <w:szCs w:val="20"/>
              </w:rPr>
              <w:t xml:space="preserve">Budget (direct)</w:t>
            </w:r>
          </w:p>
        </w:tc>
        <w:tc>
          <w:tcPr>
            <w:tcW w:type="dxa" w:w="1200"/>
            <w:shd w:fill="e8f0f8" w:color="auto" w:val="clear"/>
            <w:tcMar>
              <w:top w:type="dxa" w:w="60"/>
              <w:left w:type="dxa" w:w="100"/>
              <w:bottom w:type="dxa" w:w="60"/>
              <w:right w:type="dxa" w:w="100"/>
            </w:tcMar>
          </w:tcPr>
          <w:p>
            <w:r>
              <w:rPr>
                <w:b/>
                <w:bCs/>
                <w:color w:val="1a3a5c"/>
                <w:sz w:val="20"/>
                <w:szCs w:val="20"/>
              </w:rPr>
              <w:t xml:space="preserve">Duration</w:t>
            </w:r>
          </w:p>
        </w:tc>
        <w:tc>
          <w:tcPr>
            <w:tcW w:type="dxa" w:w="1600"/>
            <w:shd w:fill="e8f0f8" w:color="auto" w:val="clear"/>
            <w:tcMar>
              <w:top w:type="dxa" w:w="60"/>
              <w:left w:type="dxa" w:w="100"/>
              <w:bottom w:type="dxa" w:w="60"/>
              <w:right w:type="dxa" w:w="100"/>
            </w:tcMar>
          </w:tcPr>
          <w:p>
            <w:r>
              <w:rPr>
                <w:b/>
                <w:bCs/>
                <w:color w:val="1a3a5c"/>
                <w:sz w:val="20"/>
                <w:szCs w:val="20"/>
              </w:rPr>
              <w:t xml:space="preserve">Prelim needed</w:t>
            </w:r>
          </w:p>
        </w:tc>
        <w:tc>
          <w:tcPr>
            <w:tcW w:type="dxa" w:w="2200"/>
            <w:shd w:fill="e8f0f8" w:color="auto" w:val="clear"/>
            <w:tcMar>
              <w:top w:type="dxa" w:w="60"/>
              <w:left w:type="dxa" w:w="100"/>
              <w:bottom w:type="dxa" w:w="60"/>
              <w:right w:type="dxa" w:w="100"/>
            </w:tcMar>
          </w:tcPr>
          <w:p>
            <w:r>
              <w:rPr>
                <w:b/>
                <w:bCs/>
                <w:color w:val="1a3a5c"/>
                <w:sz w:val="20"/>
                <w:szCs w:val="20"/>
              </w:rPr>
              <w:t xml:space="preserve">Best for</w:t>
            </w:r>
          </w:p>
        </w:tc>
      </w:tr>
      <w:tr>
        <w:tc>
          <w:tcPr>
            <w:tcW w:type="dxa" w:w="1600"/>
            <w:tcMar>
              <w:top w:type="dxa" w:w="60"/>
              <w:left w:type="dxa" w:w="100"/>
              <w:bottom w:type="dxa" w:w="60"/>
              <w:right w:type="dxa" w:w="100"/>
            </w:tcMar>
          </w:tcPr>
          <w:p>
            <w:r>
              <w:rPr>
                <w:b w:val="false"/>
                <w:bCs w:val="false"/>
                <w:sz w:val="20"/>
                <w:szCs w:val="20"/>
              </w:rPr>
              <w:t xml:space="preserve">F31</w:t>
            </w:r>
          </w:p>
        </w:tc>
        <w:tc>
          <w:tcPr>
            <w:tcW w:type="dxa" w:w="2400"/>
            <w:tcMar>
              <w:top w:type="dxa" w:w="60"/>
              <w:left w:type="dxa" w:w="100"/>
              <w:bottom w:type="dxa" w:w="60"/>
              <w:right w:type="dxa" w:w="100"/>
            </w:tcMar>
          </w:tcPr>
          <w:p>
            <w:r>
              <w:rPr>
                <w:b w:val="false"/>
                <w:bCs w:val="false"/>
                <w:sz w:val="20"/>
                <w:szCs w:val="20"/>
              </w:rPr>
              <w:t xml:space="preserve">$40–50k stipend + tuition</w:t>
            </w:r>
          </w:p>
        </w:tc>
        <w:tc>
          <w:tcPr>
            <w:tcW w:type="dxa" w:w="1200"/>
            <w:tcMar>
              <w:top w:type="dxa" w:w="60"/>
              <w:left w:type="dxa" w:w="100"/>
              <w:bottom w:type="dxa" w:w="60"/>
              <w:right w:type="dxa" w:w="100"/>
            </w:tcMar>
          </w:tcPr>
          <w:p>
            <w:r>
              <w:rPr>
                <w:b w:val="false"/>
                <w:bCs w:val="false"/>
                <w:sz w:val="20"/>
                <w:szCs w:val="20"/>
              </w:rPr>
              <w:t xml:space="preserve">2–3 yr</w:t>
            </w:r>
          </w:p>
        </w:tc>
        <w:tc>
          <w:tcPr>
            <w:tcW w:type="dxa" w:w="1600"/>
            <w:tcMar>
              <w:top w:type="dxa" w:w="60"/>
              <w:left w:type="dxa" w:w="100"/>
              <w:bottom w:type="dxa" w:w="60"/>
              <w:right w:type="dxa" w:w="100"/>
            </w:tcMar>
          </w:tcPr>
          <w:p>
            <w:r>
              <w:rPr>
                <w:b w:val="false"/>
                <w:bCs w:val="false"/>
                <w:sz w:val="20"/>
                <w:szCs w:val="20"/>
              </w:rPr>
              <w:t xml:space="preserve">None–pilot</w:t>
            </w:r>
          </w:p>
        </w:tc>
        <w:tc>
          <w:tcPr>
            <w:tcW w:type="dxa" w:w="2200"/>
            <w:tcMar>
              <w:top w:type="dxa" w:w="60"/>
              <w:left w:type="dxa" w:w="100"/>
              <w:bottom w:type="dxa" w:w="60"/>
              <w:right w:type="dxa" w:w="100"/>
            </w:tcMar>
          </w:tcPr>
          <w:p>
            <w:r>
              <w:rPr>
                <w:b w:val="false"/>
                <w:bCs w:val="false"/>
                <w:sz w:val="20"/>
                <w:szCs w:val="20"/>
              </w:rPr>
              <w:t xml:space="preserve">Pre-doc training</w:t>
            </w:r>
          </w:p>
        </w:tc>
      </w:tr>
      <w:tr>
        <w:tc>
          <w:tcPr>
            <w:tcW w:type="dxa" w:w="1600"/>
            <w:tcMar>
              <w:top w:type="dxa" w:w="60"/>
              <w:left w:type="dxa" w:w="100"/>
              <w:bottom w:type="dxa" w:w="60"/>
              <w:right w:type="dxa" w:w="100"/>
            </w:tcMar>
          </w:tcPr>
          <w:p>
            <w:r>
              <w:rPr>
                <w:b w:val="false"/>
                <w:bCs w:val="false"/>
                <w:sz w:val="20"/>
                <w:szCs w:val="20"/>
              </w:rPr>
              <w:t xml:space="preserve">F32</w:t>
            </w:r>
          </w:p>
        </w:tc>
        <w:tc>
          <w:tcPr>
            <w:tcW w:type="dxa" w:w="2400"/>
            <w:tcMar>
              <w:top w:type="dxa" w:w="60"/>
              <w:left w:type="dxa" w:w="100"/>
              <w:bottom w:type="dxa" w:w="60"/>
              <w:right w:type="dxa" w:w="100"/>
            </w:tcMar>
          </w:tcPr>
          <w:p>
            <w:r>
              <w:rPr>
                <w:b w:val="false"/>
                <w:bCs w:val="false"/>
                <w:sz w:val="20"/>
                <w:szCs w:val="20"/>
              </w:rPr>
              <w:t xml:space="preserve">$48–58k stipend</w:t>
            </w:r>
          </w:p>
        </w:tc>
        <w:tc>
          <w:tcPr>
            <w:tcW w:type="dxa" w:w="1200"/>
            <w:tcMar>
              <w:top w:type="dxa" w:w="60"/>
              <w:left w:type="dxa" w:w="100"/>
              <w:bottom w:type="dxa" w:w="60"/>
              <w:right w:type="dxa" w:w="100"/>
            </w:tcMar>
          </w:tcPr>
          <w:p>
            <w:r>
              <w:rPr>
                <w:b w:val="false"/>
                <w:bCs w:val="false"/>
                <w:sz w:val="20"/>
                <w:szCs w:val="20"/>
              </w:rPr>
              <w:t xml:space="preserve">2–3 yr</w:t>
            </w:r>
          </w:p>
        </w:tc>
        <w:tc>
          <w:tcPr>
            <w:tcW w:type="dxa" w:w="1600"/>
            <w:tcMar>
              <w:top w:type="dxa" w:w="60"/>
              <w:left w:type="dxa" w:w="100"/>
              <w:bottom w:type="dxa" w:w="60"/>
              <w:right w:type="dxa" w:w="100"/>
            </w:tcMar>
          </w:tcPr>
          <w:p>
            <w:r>
              <w:rPr>
                <w:b w:val="false"/>
                <w:bCs w:val="false"/>
                <w:sz w:val="20"/>
                <w:szCs w:val="20"/>
              </w:rPr>
              <w:t xml:space="preserve">None–pilot</w:t>
            </w:r>
          </w:p>
        </w:tc>
        <w:tc>
          <w:tcPr>
            <w:tcW w:type="dxa" w:w="2200"/>
            <w:tcMar>
              <w:top w:type="dxa" w:w="60"/>
              <w:left w:type="dxa" w:w="100"/>
              <w:bottom w:type="dxa" w:w="60"/>
              <w:right w:type="dxa" w:w="100"/>
            </w:tcMar>
          </w:tcPr>
          <w:p>
            <w:r>
              <w:rPr>
                <w:b w:val="false"/>
                <w:bCs w:val="false"/>
                <w:sz w:val="20"/>
                <w:szCs w:val="20"/>
              </w:rPr>
              <w:t xml:space="preserve">Postdoc training</w:t>
            </w:r>
          </w:p>
        </w:tc>
      </w:tr>
      <w:tr>
        <w:tc>
          <w:tcPr>
            <w:tcW w:type="dxa" w:w="1600"/>
            <w:tcMar>
              <w:top w:type="dxa" w:w="60"/>
              <w:left w:type="dxa" w:w="100"/>
              <w:bottom w:type="dxa" w:w="60"/>
              <w:right w:type="dxa" w:w="100"/>
            </w:tcMar>
          </w:tcPr>
          <w:p>
            <w:r>
              <w:rPr>
                <w:b w:val="false"/>
                <w:bCs w:val="false"/>
                <w:sz w:val="20"/>
                <w:szCs w:val="20"/>
              </w:rPr>
              <w:t xml:space="preserve">R03</w:t>
            </w:r>
          </w:p>
        </w:tc>
        <w:tc>
          <w:tcPr>
            <w:tcW w:type="dxa" w:w="2400"/>
            <w:tcMar>
              <w:top w:type="dxa" w:w="60"/>
              <w:left w:type="dxa" w:w="100"/>
              <w:bottom w:type="dxa" w:w="60"/>
              <w:right w:type="dxa" w:w="100"/>
            </w:tcMar>
          </w:tcPr>
          <w:p>
            <w:r>
              <w:rPr>
                <w:b w:val="false"/>
                <w:bCs w:val="false"/>
                <w:sz w:val="20"/>
                <w:szCs w:val="20"/>
              </w:rPr>
              <w:t xml:space="preserve">$50k × 2 yr</w:t>
            </w:r>
          </w:p>
        </w:tc>
        <w:tc>
          <w:tcPr>
            <w:tcW w:type="dxa" w:w="1200"/>
            <w:tcMar>
              <w:top w:type="dxa" w:w="60"/>
              <w:left w:type="dxa" w:w="100"/>
              <w:bottom w:type="dxa" w:w="60"/>
              <w:right w:type="dxa" w:w="100"/>
            </w:tcMar>
          </w:tcPr>
          <w:p>
            <w:r>
              <w:rPr>
                <w:b w:val="false"/>
                <w:bCs w:val="false"/>
                <w:sz w:val="20"/>
                <w:szCs w:val="20"/>
              </w:rPr>
              <w:t xml:space="preserve">2 yr</w:t>
            </w:r>
          </w:p>
        </w:tc>
        <w:tc>
          <w:tcPr>
            <w:tcW w:type="dxa" w:w="1600"/>
            <w:tcMar>
              <w:top w:type="dxa" w:w="60"/>
              <w:left w:type="dxa" w:w="100"/>
              <w:bottom w:type="dxa" w:w="60"/>
              <w:right w:type="dxa" w:w="100"/>
            </w:tcMar>
          </w:tcPr>
          <w:p>
            <w:r>
              <w:rPr>
                <w:b w:val="false"/>
                <w:bCs w:val="false"/>
                <w:sz w:val="20"/>
                <w:szCs w:val="20"/>
              </w:rPr>
              <w:t xml:space="preserve">None–pilot</w:t>
            </w:r>
          </w:p>
        </w:tc>
        <w:tc>
          <w:tcPr>
            <w:tcW w:type="dxa" w:w="2200"/>
            <w:tcMar>
              <w:top w:type="dxa" w:w="60"/>
              <w:left w:type="dxa" w:w="100"/>
              <w:bottom w:type="dxa" w:w="60"/>
              <w:right w:type="dxa" w:w="100"/>
            </w:tcMar>
          </w:tcPr>
          <w:p>
            <w:r>
              <w:rPr>
                <w:b w:val="false"/>
                <w:bCs w:val="false"/>
                <w:sz w:val="20"/>
                <w:szCs w:val="20"/>
              </w:rPr>
              <w:t xml:space="preserve">Small pilot studies</w:t>
            </w:r>
          </w:p>
        </w:tc>
      </w:tr>
      <w:tr>
        <w:tc>
          <w:tcPr>
            <w:tcW w:type="dxa" w:w="1600"/>
            <w:tcMar>
              <w:top w:type="dxa" w:w="60"/>
              <w:left w:type="dxa" w:w="100"/>
              <w:bottom w:type="dxa" w:w="60"/>
              <w:right w:type="dxa" w:w="100"/>
            </w:tcMar>
          </w:tcPr>
          <w:p>
            <w:r>
              <w:rPr>
                <w:b w:val="false"/>
                <w:bCs w:val="false"/>
                <w:sz w:val="20"/>
                <w:szCs w:val="20"/>
              </w:rPr>
              <w:t xml:space="preserve">R21</w:t>
            </w:r>
          </w:p>
        </w:tc>
        <w:tc>
          <w:tcPr>
            <w:tcW w:type="dxa" w:w="2400"/>
            <w:tcMar>
              <w:top w:type="dxa" w:w="60"/>
              <w:left w:type="dxa" w:w="100"/>
              <w:bottom w:type="dxa" w:w="60"/>
              <w:right w:type="dxa" w:w="100"/>
            </w:tcMar>
          </w:tcPr>
          <w:p>
            <w:r>
              <w:rPr>
                <w:b w:val="false"/>
                <w:bCs w:val="false"/>
                <w:sz w:val="20"/>
                <w:szCs w:val="20"/>
              </w:rPr>
              <w:t xml:space="preserve">$275k DC total</w:t>
            </w:r>
          </w:p>
        </w:tc>
        <w:tc>
          <w:tcPr>
            <w:tcW w:type="dxa" w:w="1200"/>
            <w:tcMar>
              <w:top w:type="dxa" w:w="60"/>
              <w:left w:type="dxa" w:w="100"/>
              <w:bottom w:type="dxa" w:w="60"/>
              <w:right w:type="dxa" w:w="100"/>
            </w:tcMar>
          </w:tcPr>
          <w:p>
            <w:r>
              <w:rPr>
                <w:b w:val="false"/>
                <w:bCs w:val="false"/>
                <w:sz w:val="20"/>
                <w:szCs w:val="20"/>
              </w:rPr>
              <w:t xml:space="preserve">2 yr</w:t>
            </w:r>
          </w:p>
        </w:tc>
        <w:tc>
          <w:tcPr>
            <w:tcW w:type="dxa" w:w="1600"/>
            <w:tcMar>
              <w:top w:type="dxa" w:w="60"/>
              <w:left w:type="dxa" w:w="100"/>
              <w:bottom w:type="dxa" w:w="60"/>
              <w:right w:type="dxa" w:w="100"/>
            </w:tcMar>
          </w:tcPr>
          <w:p>
            <w:r>
              <w:rPr>
                <w:b w:val="false"/>
                <w:bCs w:val="false"/>
                <w:sz w:val="20"/>
                <w:szCs w:val="20"/>
              </w:rPr>
              <w:t xml:space="preserve">None–pilot</w:t>
            </w:r>
          </w:p>
        </w:tc>
        <w:tc>
          <w:tcPr>
            <w:tcW w:type="dxa" w:w="2200"/>
            <w:tcMar>
              <w:top w:type="dxa" w:w="60"/>
              <w:left w:type="dxa" w:w="100"/>
              <w:bottom w:type="dxa" w:w="60"/>
              <w:right w:type="dxa" w:w="100"/>
            </w:tcMar>
          </w:tcPr>
          <w:p>
            <w:r>
              <w:rPr>
                <w:b w:val="false"/>
                <w:bCs w:val="false"/>
                <w:sz w:val="20"/>
                <w:szCs w:val="20"/>
              </w:rPr>
              <w:t xml:space="preserve">Pilot/exploratory R&amp;D</w:t>
            </w:r>
          </w:p>
        </w:tc>
      </w:tr>
      <w:tr>
        <w:tc>
          <w:tcPr>
            <w:tcW w:type="dxa" w:w="1600"/>
            <w:tcMar>
              <w:top w:type="dxa" w:w="60"/>
              <w:left w:type="dxa" w:w="100"/>
              <w:bottom w:type="dxa" w:w="60"/>
              <w:right w:type="dxa" w:w="100"/>
            </w:tcMar>
          </w:tcPr>
          <w:p>
            <w:r>
              <w:rPr>
                <w:b w:val="false"/>
                <w:bCs w:val="false"/>
                <w:sz w:val="20"/>
                <w:szCs w:val="20"/>
              </w:rPr>
              <w:t xml:space="preserve">K01/K08/K23</w:t>
            </w:r>
          </w:p>
        </w:tc>
        <w:tc>
          <w:tcPr>
            <w:tcW w:type="dxa" w:w="2400"/>
            <w:tcMar>
              <w:top w:type="dxa" w:w="60"/>
              <w:left w:type="dxa" w:w="100"/>
              <w:bottom w:type="dxa" w:w="60"/>
              <w:right w:type="dxa" w:w="100"/>
            </w:tcMar>
          </w:tcPr>
          <w:p>
            <w:r>
              <w:rPr>
                <w:b w:val="false"/>
                <w:bCs w:val="false"/>
                <w:sz w:val="20"/>
                <w:szCs w:val="20"/>
              </w:rPr>
              <w:t xml:space="preserve">$100k × 5 yr</w:t>
            </w:r>
          </w:p>
        </w:tc>
        <w:tc>
          <w:tcPr>
            <w:tcW w:type="dxa" w:w="1200"/>
            <w:tcMar>
              <w:top w:type="dxa" w:w="60"/>
              <w:left w:type="dxa" w:w="100"/>
              <w:bottom w:type="dxa" w:w="60"/>
              <w:right w:type="dxa" w:w="100"/>
            </w:tcMar>
          </w:tcPr>
          <w:p>
            <w:r>
              <w:rPr>
                <w:b w:val="false"/>
                <w:bCs w:val="false"/>
                <w:sz w:val="20"/>
                <w:szCs w:val="20"/>
              </w:rPr>
              <w:t xml:space="preserve">5 yr</w:t>
            </w:r>
          </w:p>
        </w:tc>
        <w:tc>
          <w:tcPr>
            <w:tcW w:type="dxa" w:w="1600"/>
            <w:tcMar>
              <w:top w:type="dxa" w:w="60"/>
              <w:left w:type="dxa" w:w="100"/>
              <w:bottom w:type="dxa" w:w="60"/>
              <w:right w:type="dxa" w:w="100"/>
            </w:tcMar>
          </w:tcPr>
          <w:p>
            <w:r>
              <w:rPr>
                <w:b w:val="false"/>
                <w:bCs w:val="false"/>
                <w:sz w:val="20"/>
                <w:szCs w:val="20"/>
              </w:rPr>
              <w:t xml:space="preserve">Pilot</w:t>
            </w:r>
          </w:p>
        </w:tc>
        <w:tc>
          <w:tcPr>
            <w:tcW w:type="dxa" w:w="2200"/>
            <w:tcMar>
              <w:top w:type="dxa" w:w="60"/>
              <w:left w:type="dxa" w:w="100"/>
              <w:bottom w:type="dxa" w:w="60"/>
              <w:right w:type="dxa" w:w="100"/>
            </w:tcMar>
          </w:tcPr>
          <w:p>
            <w:r>
              <w:rPr>
                <w:b w:val="false"/>
                <w:bCs w:val="false"/>
                <w:sz w:val="20"/>
                <w:szCs w:val="20"/>
              </w:rPr>
              <w:t xml:space="preserve">Mentored career development</w:t>
            </w:r>
          </w:p>
        </w:tc>
      </w:tr>
      <w:tr>
        <w:tc>
          <w:tcPr>
            <w:tcW w:type="dxa" w:w="1600"/>
            <w:tcMar>
              <w:top w:type="dxa" w:w="60"/>
              <w:left w:type="dxa" w:w="100"/>
              <w:bottom w:type="dxa" w:w="60"/>
              <w:right w:type="dxa" w:w="100"/>
            </w:tcMar>
          </w:tcPr>
          <w:p>
            <w:r>
              <w:rPr>
                <w:b w:val="false"/>
                <w:bCs w:val="false"/>
                <w:sz w:val="20"/>
                <w:szCs w:val="20"/>
              </w:rPr>
              <w:t xml:space="preserve">K99/R00</w:t>
            </w:r>
          </w:p>
        </w:tc>
        <w:tc>
          <w:tcPr>
            <w:tcW w:type="dxa" w:w="2400"/>
            <w:tcMar>
              <w:top w:type="dxa" w:w="60"/>
              <w:left w:type="dxa" w:w="100"/>
              <w:bottom w:type="dxa" w:w="60"/>
              <w:right w:type="dxa" w:w="100"/>
            </w:tcMar>
          </w:tcPr>
          <w:p>
            <w:r>
              <w:rPr>
                <w:b w:val="false"/>
                <w:bCs w:val="false"/>
                <w:sz w:val="20"/>
                <w:szCs w:val="20"/>
              </w:rPr>
              <w:t xml:space="preserve">$90k mentored + $250k indep</w:t>
            </w:r>
          </w:p>
        </w:tc>
        <w:tc>
          <w:tcPr>
            <w:tcW w:type="dxa" w:w="1200"/>
            <w:tcMar>
              <w:top w:type="dxa" w:w="60"/>
              <w:left w:type="dxa" w:w="100"/>
              <w:bottom w:type="dxa" w:w="60"/>
              <w:right w:type="dxa" w:w="100"/>
            </w:tcMar>
          </w:tcPr>
          <w:p>
            <w:r>
              <w:rPr>
                <w:b w:val="false"/>
                <w:bCs w:val="false"/>
                <w:sz w:val="20"/>
                <w:szCs w:val="20"/>
              </w:rPr>
              <w:t xml:space="preserve">up to 5 yr</w:t>
            </w:r>
          </w:p>
        </w:tc>
        <w:tc>
          <w:tcPr>
            <w:tcW w:type="dxa" w:w="1600"/>
            <w:tcMar>
              <w:top w:type="dxa" w:w="60"/>
              <w:left w:type="dxa" w:w="100"/>
              <w:bottom w:type="dxa" w:w="60"/>
              <w:right w:type="dxa" w:w="100"/>
            </w:tcMar>
          </w:tcPr>
          <w:p>
            <w:r>
              <w:rPr>
                <w:b w:val="false"/>
                <w:bCs w:val="false"/>
                <w:sz w:val="20"/>
                <w:szCs w:val="20"/>
              </w:rPr>
              <w:t xml:space="preserve">Strong</w:t>
            </w:r>
          </w:p>
        </w:tc>
        <w:tc>
          <w:tcPr>
            <w:tcW w:type="dxa" w:w="2200"/>
            <w:tcMar>
              <w:top w:type="dxa" w:w="60"/>
              <w:left w:type="dxa" w:w="100"/>
              <w:bottom w:type="dxa" w:w="60"/>
              <w:right w:type="dxa" w:w="100"/>
            </w:tcMar>
          </w:tcPr>
          <w:p>
            <w:r>
              <w:rPr>
                <w:b w:val="false"/>
                <w:bCs w:val="false"/>
                <w:sz w:val="20"/>
                <w:szCs w:val="20"/>
              </w:rPr>
              <w:t xml:space="preserve">Postdoc → independence</w:t>
            </w:r>
          </w:p>
        </w:tc>
      </w:tr>
      <w:tr>
        <w:tc>
          <w:tcPr>
            <w:tcW w:type="dxa" w:w="1600"/>
            <w:tcMar>
              <w:top w:type="dxa" w:w="60"/>
              <w:left w:type="dxa" w:w="100"/>
              <w:bottom w:type="dxa" w:w="60"/>
              <w:right w:type="dxa" w:w="100"/>
            </w:tcMar>
          </w:tcPr>
          <w:p>
            <w:r>
              <w:rPr>
                <w:b w:val="false"/>
                <w:bCs w:val="false"/>
                <w:sz w:val="20"/>
                <w:szCs w:val="20"/>
              </w:rPr>
              <w:t xml:space="preserve">R01</w:t>
            </w:r>
          </w:p>
        </w:tc>
        <w:tc>
          <w:tcPr>
            <w:tcW w:type="dxa" w:w="2400"/>
            <w:tcMar>
              <w:top w:type="dxa" w:w="60"/>
              <w:left w:type="dxa" w:w="100"/>
              <w:bottom w:type="dxa" w:w="60"/>
              <w:right w:type="dxa" w:w="100"/>
            </w:tcMar>
          </w:tcPr>
          <w:p>
            <w:r>
              <w:rPr>
                <w:b w:val="false"/>
                <w:bCs w:val="false"/>
                <w:sz w:val="20"/>
                <w:szCs w:val="20"/>
              </w:rPr>
              <w:t xml:space="preserve">$250–499k DC × 4–5 yr</w:t>
            </w:r>
          </w:p>
        </w:tc>
        <w:tc>
          <w:tcPr>
            <w:tcW w:type="dxa" w:w="1200"/>
            <w:tcMar>
              <w:top w:type="dxa" w:w="60"/>
              <w:left w:type="dxa" w:w="100"/>
              <w:bottom w:type="dxa" w:w="60"/>
              <w:right w:type="dxa" w:w="100"/>
            </w:tcMar>
          </w:tcPr>
          <w:p>
            <w:r>
              <w:rPr>
                <w:b w:val="false"/>
                <w:bCs w:val="false"/>
                <w:sz w:val="20"/>
                <w:szCs w:val="20"/>
              </w:rPr>
              <w:t xml:space="preserve">4–5 yr</w:t>
            </w:r>
          </w:p>
        </w:tc>
        <w:tc>
          <w:tcPr>
            <w:tcW w:type="dxa" w:w="1600"/>
            <w:tcMar>
              <w:top w:type="dxa" w:w="60"/>
              <w:left w:type="dxa" w:w="100"/>
              <w:bottom w:type="dxa" w:w="60"/>
              <w:right w:type="dxa" w:w="100"/>
            </w:tcMar>
          </w:tcPr>
          <w:p>
            <w:r>
              <w:rPr>
                <w:b w:val="false"/>
                <w:bCs w:val="false"/>
                <w:sz w:val="20"/>
                <w:szCs w:val="20"/>
              </w:rPr>
              <w:t xml:space="preserve">Strong</w:t>
            </w:r>
          </w:p>
        </w:tc>
        <w:tc>
          <w:tcPr>
            <w:tcW w:type="dxa" w:w="2200"/>
            <w:tcMar>
              <w:top w:type="dxa" w:w="60"/>
              <w:left w:type="dxa" w:w="100"/>
              <w:bottom w:type="dxa" w:w="60"/>
              <w:right w:type="dxa" w:w="100"/>
            </w:tcMar>
          </w:tcPr>
          <w:p>
            <w:r>
              <w:rPr>
                <w:b w:val="false"/>
                <w:bCs w:val="false"/>
                <w:sz w:val="20"/>
                <w:szCs w:val="20"/>
              </w:rPr>
              <w:t xml:space="preserve">Hypothesis-driven research</w:t>
            </w:r>
          </w:p>
        </w:tc>
      </w:tr>
      <w:tr>
        <w:tc>
          <w:tcPr>
            <w:tcW w:type="dxa" w:w="1600"/>
            <w:tcMar>
              <w:top w:type="dxa" w:w="60"/>
              <w:left w:type="dxa" w:w="100"/>
              <w:bottom w:type="dxa" w:w="60"/>
              <w:right w:type="dxa" w:w="100"/>
            </w:tcMar>
          </w:tcPr>
          <w:p>
            <w:r>
              <w:rPr>
                <w:b w:val="false"/>
                <w:bCs w:val="false"/>
                <w:sz w:val="20"/>
                <w:szCs w:val="20"/>
              </w:rPr>
              <w:t xml:space="preserve">R15</w:t>
            </w:r>
          </w:p>
        </w:tc>
        <w:tc>
          <w:tcPr>
            <w:tcW w:type="dxa" w:w="2400"/>
            <w:tcMar>
              <w:top w:type="dxa" w:w="60"/>
              <w:left w:type="dxa" w:w="100"/>
              <w:bottom w:type="dxa" w:w="60"/>
              <w:right w:type="dxa" w:w="100"/>
            </w:tcMar>
          </w:tcPr>
          <w:p>
            <w:r>
              <w:rPr>
                <w:b w:val="false"/>
                <w:bCs w:val="false"/>
                <w:sz w:val="20"/>
                <w:szCs w:val="20"/>
              </w:rPr>
              <w:t xml:space="preserve">$300k total × 3 yr</w:t>
            </w:r>
          </w:p>
        </w:tc>
        <w:tc>
          <w:tcPr>
            <w:tcW w:type="dxa" w:w="1200"/>
            <w:tcMar>
              <w:top w:type="dxa" w:w="60"/>
              <w:left w:type="dxa" w:w="100"/>
              <w:bottom w:type="dxa" w:w="60"/>
              <w:right w:type="dxa" w:w="100"/>
            </w:tcMar>
          </w:tcPr>
          <w:p>
            <w:r>
              <w:rPr>
                <w:b w:val="false"/>
                <w:bCs w:val="false"/>
                <w:sz w:val="20"/>
                <w:szCs w:val="20"/>
              </w:rPr>
              <w:t xml:space="preserve">3 yr</w:t>
            </w:r>
          </w:p>
        </w:tc>
        <w:tc>
          <w:tcPr>
            <w:tcW w:type="dxa" w:w="1600"/>
            <w:tcMar>
              <w:top w:type="dxa" w:w="60"/>
              <w:left w:type="dxa" w:w="100"/>
              <w:bottom w:type="dxa" w:w="60"/>
              <w:right w:type="dxa" w:w="100"/>
            </w:tcMar>
          </w:tcPr>
          <w:p>
            <w:r>
              <w:rPr>
                <w:b w:val="false"/>
                <w:bCs w:val="false"/>
                <w:sz w:val="20"/>
                <w:szCs w:val="20"/>
              </w:rPr>
              <w:t xml:space="preserve">Pilot</w:t>
            </w:r>
          </w:p>
        </w:tc>
        <w:tc>
          <w:tcPr>
            <w:tcW w:type="dxa" w:w="2200"/>
            <w:tcMar>
              <w:top w:type="dxa" w:w="60"/>
              <w:left w:type="dxa" w:w="100"/>
              <w:bottom w:type="dxa" w:w="60"/>
              <w:right w:type="dxa" w:w="100"/>
            </w:tcMar>
          </w:tcPr>
          <w:p>
            <w:r>
              <w:rPr>
                <w:b w:val="false"/>
                <w:bCs w:val="false"/>
                <w:sz w:val="20"/>
                <w:szCs w:val="20"/>
              </w:rPr>
              <w:t xml:space="preserve">Resource-constrained institutions only</w:t>
            </w:r>
          </w:p>
        </w:tc>
      </w:tr>
      <w:tr>
        <w:tc>
          <w:tcPr>
            <w:tcW w:type="dxa" w:w="1600"/>
            <w:tcMar>
              <w:top w:type="dxa" w:w="60"/>
              <w:left w:type="dxa" w:w="100"/>
              <w:bottom w:type="dxa" w:w="60"/>
              <w:right w:type="dxa" w:w="100"/>
            </w:tcMar>
          </w:tcPr>
          <w:p>
            <w:r>
              <w:rPr>
                <w:b w:val="false"/>
                <w:bCs w:val="false"/>
                <w:sz w:val="20"/>
                <w:szCs w:val="20"/>
              </w:rPr>
              <w:t xml:space="preserve">R34</w:t>
            </w:r>
          </w:p>
        </w:tc>
        <w:tc>
          <w:tcPr>
            <w:tcW w:type="dxa" w:w="2400"/>
            <w:tcMar>
              <w:top w:type="dxa" w:w="60"/>
              <w:left w:type="dxa" w:w="100"/>
              <w:bottom w:type="dxa" w:w="60"/>
              <w:right w:type="dxa" w:w="100"/>
            </w:tcMar>
          </w:tcPr>
          <w:p>
            <w:r>
              <w:rPr>
                <w:b w:val="false"/>
                <w:bCs w:val="false"/>
                <w:sz w:val="20"/>
                <w:szCs w:val="20"/>
              </w:rPr>
              <w:t xml:space="preserve">$450k × 3 yr</w:t>
            </w:r>
          </w:p>
        </w:tc>
        <w:tc>
          <w:tcPr>
            <w:tcW w:type="dxa" w:w="1200"/>
            <w:tcMar>
              <w:top w:type="dxa" w:w="60"/>
              <w:left w:type="dxa" w:w="100"/>
              <w:bottom w:type="dxa" w:w="60"/>
              <w:right w:type="dxa" w:w="100"/>
            </w:tcMar>
          </w:tcPr>
          <w:p>
            <w:r>
              <w:rPr>
                <w:b w:val="false"/>
                <w:bCs w:val="false"/>
                <w:sz w:val="20"/>
                <w:szCs w:val="20"/>
              </w:rPr>
              <w:t xml:space="preserve">3 yr</w:t>
            </w:r>
          </w:p>
        </w:tc>
        <w:tc>
          <w:tcPr>
            <w:tcW w:type="dxa" w:w="1600"/>
            <w:tcMar>
              <w:top w:type="dxa" w:w="60"/>
              <w:left w:type="dxa" w:w="100"/>
              <w:bottom w:type="dxa" w:w="60"/>
              <w:right w:type="dxa" w:w="100"/>
            </w:tcMar>
          </w:tcPr>
          <w:p>
            <w:r>
              <w:rPr>
                <w:b w:val="false"/>
                <w:bCs w:val="false"/>
                <w:sz w:val="20"/>
                <w:szCs w:val="20"/>
              </w:rPr>
              <w:t xml:space="preserve">Pilot</w:t>
            </w:r>
          </w:p>
        </w:tc>
        <w:tc>
          <w:tcPr>
            <w:tcW w:type="dxa" w:w="2200"/>
            <w:tcMar>
              <w:top w:type="dxa" w:w="60"/>
              <w:left w:type="dxa" w:w="100"/>
              <w:bottom w:type="dxa" w:w="60"/>
              <w:right w:type="dxa" w:w="100"/>
            </w:tcMar>
          </w:tcPr>
          <w:p>
            <w:r>
              <w:rPr>
                <w:b w:val="false"/>
                <w:bCs w:val="false"/>
                <w:sz w:val="20"/>
                <w:szCs w:val="20"/>
              </w:rPr>
              <w:t xml:space="preserve">Clinical trial planning</w:t>
            </w:r>
          </w:p>
        </w:tc>
      </w:tr>
      <w:tr>
        <w:tc>
          <w:tcPr>
            <w:tcW w:type="dxa" w:w="1600"/>
            <w:tcMar>
              <w:top w:type="dxa" w:w="60"/>
              <w:left w:type="dxa" w:w="100"/>
              <w:bottom w:type="dxa" w:w="60"/>
              <w:right w:type="dxa" w:w="100"/>
            </w:tcMar>
          </w:tcPr>
          <w:p>
            <w:r>
              <w:rPr>
                <w:b w:val="false"/>
                <w:bCs w:val="false"/>
                <w:sz w:val="20"/>
                <w:szCs w:val="20"/>
              </w:rPr>
              <w:t xml:space="preserve">U01</w:t>
            </w:r>
          </w:p>
        </w:tc>
        <w:tc>
          <w:tcPr>
            <w:tcW w:type="dxa" w:w="2400"/>
            <w:tcMar>
              <w:top w:type="dxa" w:w="60"/>
              <w:left w:type="dxa" w:w="100"/>
              <w:bottom w:type="dxa" w:w="60"/>
              <w:right w:type="dxa" w:w="100"/>
            </w:tcMar>
          </w:tcPr>
          <w:p>
            <w:r>
              <w:rPr>
                <w:b w:val="false"/>
                <w:bCs w:val="false"/>
                <w:sz w:val="20"/>
                <w:szCs w:val="20"/>
              </w:rPr>
              <w:t xml:space="preserve">Cooperative agreement, varies</w:t>
            </w:r>
          </w:p>
        </w:tc>
        <w:tc>
          <w:tcPr>
            <w:tcW w:type="dxa" w:w="1200"/>
            <w:tcMar>
              <w:top w:type="dxa" w:w="60"/>
              <w:left w:type="dxa" w:w="100"/>
              <w:bottom w:type="dxa" w:w="60"/>
              <w:right w:type="dxa" w:w="100"/>
            </w:tcMar>
          </w:tcPr>
          <w:p>
            <w:r>
              <w:rPr>
                <w:b w:val="false"/>
                <w:bCs w:val="false"/>
                <w:sz w:val="20"/>
                <w:szCs w:val="20"/>
              </w:rPr>
              <w:t xml:space="preserve">5 yr</w:t>
            </w:r>
          </w:p>
        </w:tc>
        <w:tc>
          <w:tcPr>
            <w:tcW w:type="dxa" w:w="1600"/>
            <w:tcMar>
              <w:top w:type="dxa" w:w="60"/>
              <w:left w:type="dxa" w:w="100"/>
              <w:bottom w:type="dxa" w:w="60"/>
              <w:right w:type="dxa" w:w="100"/>
            </w:tcMar>
          </w:tcPr>
          <w:p>
            <w:r>
              <w:rPr>
                <w:b w:val="false"/>
                <w:bCs w:val="false"/>
                <w:sz w:val="20"/>
                <w:szCs w:val="20"/>
              </w:rPr>
              <w:t xml:space="preserve">Strong–validated</w:t>
            </w:r>
          </w:p>
        </w:tc>
        <w:tc>
          <w:tcPr>
            <w:tcW w:type="dxa" w:w="2200"/>
            <w:tcMar>
              <w:top w:type="dxa" w:w="60"/>
              <w:left w:type="dxa" w:w="100"/>
              <w:bottom w:type="dxa" w:w="60"/>
              <w:right w:type="dxa" w:w="100"/>
            </w:tcMar>
          </w:tcPr>
          <w:p>
            <w:r>
              <w:rPr>
                <w:b w:val="false"/>
                <w:bCs w:val="false"/>
                <w:sz w:val="20"/>
                <w:szCs w:val="20"/>
              </w:rPr>
              <w:t xml:space="preserve">Multi-site collaborative</w:t>
            </w:r>
          </w:p>
        </w:tc>
      </w:tr>
      <w:tr>
        <w:tc>
          <w:tcPr>
            <w:tcW w:type="dxa" w:w="1600"/>
            <w:tcMar>
              <w:top w:type="dxa" w:w="60"/>
              <w:left w:type="dxa" w:w="100"/>
              <w:bottom w:type="dxa" w:w="60"/>
              <w:right w:type="dxa" w:w="100"/>
            </w:tcMar>
          </w:tcPr>
          <w:p>
            <w:r>
              <w:rPr>
                <w:b w:val="false"/>
                <w:bCs w:val="false"/>
                <w:sz w:val="20"/>
                <w:szCs w:val="20"/>
              </w:rPr>
              <w:t xml:space="preserve">DP2</w:t>
            </w:r>
          </w:p>
        </w:tc>
        <w:tc>
          <w:tcPr>
            <w:tcW w:type="dxa" w:w="2400"/>
            <w:tcMar>
              <w:top w:type="dxa" w:w="60"/>
              <w:left w:type="dxa" w:w="100"/>
              <w:bottom w:type="dxa" w:w="60"/>
              <w:right w:type="dxa" w:w="100"/>
            </w:tcMar>
          </w:tcPr>
          <w:p>
            <w:r>
              <w:rPr>
                <w:b w:val="false"/>
                <w:bCs w:val="false"/>
                <w:sz w:val="20"/>
                <w:szCs w:val="20"/>
              </w:rPr>
              <w:t xml:space="preserve">$300k × 5 yr</w:t>
            </w:r>
          </w:p>
        </w:tc>
        <w:tc>
          <w:tcPr>
            <w:tcW w:type="dxa" w:w="1200"/>
            <w:tcMar>
              <w:top w:type="dxa" w:w="60"/>
              <w:left w:type="dxa" w:w="100"/>
              <w:bottom w:type="dxa" w:w="60"/>
              <w:right w:type="dxa" w:w="100"/>
            </w:tcMar>
          </w:tcPr>
          <w:p>
            <w:r>
              <w:rPr>
                <w:b w:val="false"/>
                <w:bCs w:val="false"/>
                <w:sz w:val="20"/>
                <w:szCs w:val="20"/>
              </w:rPr>
              <w:t xml:space="preserve">5 yr</w:t>
            </w:r>
          </w:p>
        </w:tc>
        <w:tc>
          <w:tcPr>
            <w:tcW w:type="dxa" w:w="1600"/>
            <w:tcMar>
              <w:top w:type="dxa" w:w="60"/>
              <w:left w:type="dxa" w:w="100"/>
              <w:bottom w:type="dxa" w:w="60"/>
              <w:right w:type="dxa" w:w="100"/>
            </w:tcMar>
          </w:tcPr>
          <w:p>
            <w:r>
              <w:rPr>
                <w:b w:val="false"/>
                <w:bCs w:val="false"/>
                <w:sz w:val="20"/>
                <w:szCs w:val="20"/>
              </w:rPr>
              <w:t xml:space="preserve">Pilot</w:t>
            </w:r>
          </w:p>
        </w:tc>
        <w:tc>
          <w:tcPr>
            <w:tcW w:type="dxa" w:w="2200"/>
            <w:tcMar>
              <w:top w:type="dxa" w:w="60"/>
              <w:left w:type="dxa" w:w="100"/>
              <w:bottom w:type="dxa" w:w="60"/>
              <w:right w:type="dxa" w:w="100"/>
            </w:tcMar>
          </w:tcPr>
          <w:p>
            <w:r>
              <w:rPr>
                <w:b w:val="false"/>
                <w:bCs w:val="false"/>
                <w:sz w:val="20"/>
                <w:szCs w:val="20"/>
              </w:rPr>
              <w:t xml:space="preserve">Early-career high-risk (New Innovator)</w:t>
            </w:r>
          </w:p>
        </w:tc>
      </w:tr>
    </w:tbl>
    <w:p>
      <w:pPr>
        <w:spacing w:after="100"/>
      </w:pPr>
      <w:r>
        <w:rPr>
          <w:sz w:val="22"/>
          <w:szCs w:val="22"/>
        </w:rPr>
        <w:t xml:space="preserve"/>
      </w:r>
    </w:p>
    <w:p>
      <w:pPr>
        <w:pStyle w:val="Heading2"/>
        <w:spacing w:after="80" w:before="200"/>
      </w:pPr>
      <w:r>
        <w:rPr>
          <w:b/>
          <w:bCs/>
          <w:color w:val="1a3a5c"/>
          <w:sz w:val="26"/>
          <w:szCs w:val="26"/>
        </w:rPr>
        <w:t xml:space="preserve">Application materials checklist (mechanism-independent)</w:t>
      </w:r>
    </w:p>
    <w:p>
      <w:pPr>
        <w:spacing w:after="100"/>
      </w:pPr>
      <w:r>
        <w:rPr>
          <w:sz w:val="22"/>
          <w:szCs w:val="22"/>
        </w:rPr>
        <w:t xml:space="preserve">Per SKILL.md Section 7 and the mandatory program-officer step, prepare before writing:</w:t>
      </w:r>
    </w:p>
    <w:p>
      <w:pPr>
        <w:pStyle w:val="ListParagraph"/>
        <w:numPr>
          <w:ilvl w:val="0"/>
          <w:numId w:val="1"/>
        </w:numPr>
        <w:spacing w:after="60"/>
      </w:pPr>
      <w:r>
        <w:rPr>
          <w:sz w:val="22"/>
          <w:szCs w:val="22"/>
        </w:rPr>
        <w:t xml:space="preserve">1-page Specific Aims draft (required for the program-officer pre-submission inquiry).</w:t>
      </w:r>
    </w:p>
    <w:p>
      <w:pPr>
        <w:pStyle w:val="ListParagraph"/>
        <w:numPr>
          <w:ilvl w:val="0"/>
          <w:numId w:val="1"/>
        </w:numPr>
        <w:spacing w:after="60"/>
      </w:pPr>
      <w:r>
        <w:rPr>
          <w:sz w:val="22"/>
          <w:szCs w:val="22"/>
        </w:rPr>
        <w:t xml:space="preserve">NIH biosketch (new NIH SciENcv format; 5 pages max).</w:t>
      </w:r>
    </w:p>
    <w:p>
      <w:pPr>
        <w:pStyle w:val="ListParagraph"/>
        <w:numPr>
          <w:ilvl w:val="0"/>
          <w:numId w:val="1"/>
        </w:numPr>
        <w:spacing w:after="60"/>
      </w:pPr>
      <w:r>
        <w:rPr>
          <w:sz w:val="22"/>
          <w:szCs w:val="22"/>
        </w:rPr>
        <w:t xml:space="preserve">3 specific questions for the program officer about (a) institute/NOSI fit, (b) mechanism choice, (c) likely study section.</w:t>
      </w:r>
    </w:p>
    <w:p>
      <w:pPr>
        <w:pStyle w:val="ListParagraph"/>
        <w:numPr>
          <w:ilvl w:val="0"/>
          <w:numId w:val="1"/>
        </w:numPr>
        <w:spacing w:after="60"/>
      </w:pPr>
      <w:r>
        <w:rPr>
          <w:sz w:val="22"/>
          <w:szCs w:val="22"/>
        </w:rPr>
        <w:t xml:space="preserve">For the full application once mechanism is chosen: Research Strategy (Significance/Innovation/Approach, 6–12 pages per mechanism), Specific Aims (1 page), Facilities &amp; Other Resources, Equipment, Budget (modular ≤$250k/yr DC or detailed), Human Subjects / Vertebrate Animals sections as applicable, Authentication Plan, Resource Sharing Plan, Project Summary/Abstract, Narrative, Bibliography, Facilities &amp; Administrative agreement, institutional eRA Commons sign-off.</w:t>
      </w:r>
    </w:p>
    <w:p>
      <w:pPr>
        <w:spacing w:after="100"/>
      </w:pPr>
      <w:r>
        <w:rPr>
          <w:i/>
          <w:iCs/>
          <w:sz w:val="22"/>
          <w:szCs w:val="22"/>
        </w:rPr>
        <w:t xml:space="preserve">Budget figures above are NIH-published canonical ranges. A specific FOA's caps override these; always verify against the actual FOA before budgeting.</w:t>
      </w:r>
    </w:p>
    <w:p>
      <w:pPr>
        <w:pStyle w:val="Heading1"/>
        <w:spacing w:after="120" w:before="300"/>
      </w:pPr>
      <w:r>
        <w:rPr>
          <w:b/>
          <w:bCs/>
          <w:color w:val="1a3a5c"/>
          <w:sz w:val="32"/>
          <w:szCs w:val="32"/>
        </w:rPr>
        <w:t xml:space="preserve">5. Funded Overlap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20"/>
              <w:left w:type="dxa" w:w="160"/>
              <w:bottom w:type="dxa" w:w="120"/>
              <w:right w:type="dxa" w:w="160"/>
            </w:tcMar>
          </w:tcPr>
          <w:p>
            <w:r>
              <w:rPr>
                <w:b/>
                <w:bCs/>
                <w:sz w:val="22"/>
                <w:szCs w:val="22"/>
              </w:rPr>
              <w:t xml:space="preserve">[GATED] </w:t>
            </w:r>
            <w:r>
              <w:rPr>
                <w:i/>
                <w:iCs/>
                <w:sz w:val="22"/>
                <w:szCs w:val="22"/>
              </w:rPr>
              <w:t xml:space="preserve">No funded projects were retrieved. The top-5 overlap table is built from RePORTER narrow-AND results. Without Q1 terms there is nothing to list; no project numbers, PIs, or abstracts are fabricated.</w:t>
            </w:r>
          </w:p>
        </w:tc>
      </w:tr>
    </w:tbl>
    <w:p>
      <w:pPr>
        <w:spacing w:after="100"/>
      </w:pPr>
      <w:r>
        <w:rPr>
          <w:sz w:val="22"/>
          <w:szCs w:val="22"/>
        </w:rPr>
        <w:t xml:space="preserve">Method that WILL run once Q1 is set:</w:t>
      </w:r>
    </w:p>
    <w:p>
      <w:pPr>
        <w:pStyle w:val="ListParagraph"/>
        <w:numPr>
          <w:ilvl w:val="0"/>
          <w:numId w:val="1"/>
        </w:numPr>
        <w:spacing w:after="60"/>
      </w:pPr>
      <w:r>
        <w:rPr>
          <w:sz w:val="22"/>
          <w:szCs w:val="22"/>
        </w:rPr>
        <w:t xml:space="preserve">Take the top 5 projects by relevance from the narrow AND response.</w:t>
      </w:r>
    </w:p>
    <w:p>
      <w:pPr>
        <w:pStyle w:val="ListParagraph"/>
        <w:numPr>
          <w:ilvl w:val="0"/>
          <w:numId w:val="1"/>
        </w:numPr>
        <w:spacing w:after="60"/>
      </w:pPr>
      <w:r>
        <w:rPr>
          <w:sz w:val="22"/>
          <w:szCs w:val="22"/>
        </w:rPr>
        <w:t xml:space="preserve">For each, list PI, project title, IC, fiscal year, and a hyperlink to https://reporter.nih.gov/project-details/&lt;id&gt;.</w:t>
      </w:r>
    </w:p>
    <w:p>
      <w:pPr>
        <w:pStyle w:val="ListParagraph"/>
        <w:numPr>
          <w:ilvl w:val="0"/>
          <w:numId w:val="1"/>
        </w:numPr>
        <w:spacing w:after="60"/>
      </w:pPr>
      <w:r>
        <w:rPr>
          <w:sz w:val="22"/>
          <w:szCs w:val="22"/>
        </w:rPr>
        <w:t xml:space="preserve">Write a differentiation paragraph naming the closest existing project and stating how the user's proposal differs (population, design, deployment, outcomes). Per the skill, this paragraph is what reviewers read before the Approach section — make it sharp.</w:t>
      </w:r>
    </w:p>
    <w:p>
      <w:pPr>
        <w:pStyle w:val="Heading1"/>
        <w:spacing w:after="120" w:before="300"/>
      </w:pPr>
      <w:r>
        <w:rPr>
          <w:b/>
          <w:bCs/>
          <w:color w:val="1a3a5c"/>
          <w:sz w:val="32"/>
          <w:szCs w:val="32"/>
        </w:rPr>
        <w:t xml:space="preserve">6. Study Sections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20"/>
              <w:left w:type="dxa" w:w="160"/>
              <w:bottom w:type="dxa" w:w="120"/>
              <w:right w:type="dxa" w:w="160"/>
            </w:tcMar>
          </w:tcPr>
          <w:p>
            <w:r>
              <w:rPr>
                <w:b/>
                <w:bCs/>
                <w:sz w:val="22"/>
                <w:szCs w:val="22"/>
              </w:rPr>
              <w:t xml:space="preserve">[GATED] </w:t>
            </w:r>
            <w:r>
              <w:rPr>
                <w:i/>
                <w:iCs/>
                <w:sz w:val="22"/>
                <w:szCs w:val="22"/>
              </w:rPr>
              <w:t xml:space="preserve">No study-section ranking was produced. Ranking is a tally of the study_section field across RePORTER results. Without results there is no ranking.</w:t>
            </w:r>
          </w:p>
        </w:tc>
      </w:tr>
    </w:tbl>
    <w:p>
      <w:pPr>
        <w:spacing w:after="100"/>
      </w:pPr>
      <w:r>
        <w:rPr>
          <w:sz w:val="22"/>
          <w:szCs w:val="22"/>
        </w:rPr>
        <w:t xml:space="preserve">Method that WILL run once Q1 is set: tally study_section across narrow+broad results, surface top-2, and write a best-match interpretation (e.g., which reviewer expertise to lean into, how to position abstract and methods for that panel).</w:t>
      </w:r>
    </w:p>
    <w:p>
      <w:pPr>
        <w:pStyle w:val="Heading1"/>
        <w:spacing w:after="120" w:before="300"/>
      </w:pPr>
      <w:r>
        <w:rPr>
          <w:b/>
          <w:bCs/>
          <w:color w:val="1a3a5c"/>
          <w:sz w:val="32"/>
          <w:szCs w:val="32"/>
        </w:rPr>
        <w:t xml:space="preserve">7. Strategic Recommendations &amp; Next Steps</w:t>
      </w:r>
    </w:p>
    <w:p>
      <w:pPr>
        <w:pStyle w:val="ListParagraph"/>
        <w:numPr>
          <w:ilvl w:val="0"/>
          <w:numId w:val="2"/>
        </w:numPr>
        <w:spacing w:after="60"/>
      </w:pPr>
      <w:r>
        <w:rPr>
          <w:b/>
          <w:bCs/>
          <w:sz w:val="22"/>
          <w:szCs w:val="22"/>
        </w:rPr>
        <w:t xml:space="preserve">Answer the six intake questions. </w:t>
      </w:r>
      <w:r>
        <w:rPr>
          <w:sz w:val="22"/>
          <w:szCs w:val="22"/>
        </w:rPr>
        <w:t xml:space="preserve">This is the unblocker. Q1 (research idea) is the root; Q2–Q6 branch from it. The questions are reproduced in the Appendix below.</w:t>
      </w:r>
    </w:p>
    <w:p>
      <w:pPr>
        <w:pStyle w:val="ListParagraph"/>
        <w:numPr>
          <w:ilvl w:val="0"/>
          <w:numId w:val="2"/>
        </w:numPr>
        <w:spacing w:after="60"/>
      </w:pPr>
      <w:r>
        <w:rPr>
          <w:b/>
          <w:bCs/>
          <w:sz w:val="22"/>
          <w:szCs w:val="22"/>
        </w:rPr>
        <w:t xml:space="preserve">Do not pick a mechanism from the table in Section 4 by career stage alone. </w:t>
      </w:r>
      <w:r>
        <w:rPr>
          <w:sz w:val="22"/>
          <w:szCs w:val="22"/>
        </w:rPr>
        <w:t xml:space="preserve">Per nih_mechanism_matching.md, mechanism = career stage × scope × preliminary data × environment. The skill's mechanism_matcher.py enforces this; common errors ("early career → K-award" regardless of data, "R01 + no prelim", "R03 + strong prelim") are flagged as warnings.</w:t>
      </w:r>
    </w:p>
    <w:p>
      <w:pPr>
        <w:pStyle w:val="ListParagraph"/>
        <w:numPr>
          <w:ilvl w:val="0"/>
          <w:numId w:val="2"/>
        </w:numPr>
        <w:spacing w:after="60"/>
      </w:pPr>
      <w:r>
        <w:rPr>
          <w:b/>
          <w:bCs/>
          <w:sz w:val="22"/>
          <w:szCs w:val="22"/>
        </w:rPr>
        <w:t xml:space="preserve">Once Q1–Q6 are in, expect the skill to (a) run 5 Consensus facet searches, (b) run 2 RePORTER POST searches over FY</w:t>
      </w:r>
      <w:r>
        <w:rPr>
          <w:sz w:val="22"/>
          <w:szCs w:val="22"/>
        </w:rPr>
        <w:t xml:space="preserve">2023</w:t>
      </w:r>
      <w:r>
        <w:rPr>
          <w:sz w:val="22"/>
          <w:szCs w:val="22"/>
        </w:rPr>
        <w:t xml:space="preserve">–</w:t>
      </w:r>
      <w:r>
        <w:rPr>
          <w:sz w:val="22"/>
          <w:szCs w:val="22"/>
        </w:rPr>
        <w:t xml:space="preserve">2026</w:t>
      </w:r>
      <w:r>
        <w:rPr>
          <w:sz w:val="22"/>
          <w:szCs w:val="22"/>
        </w:rPr>
        <w:t xml:space="preserve">, (c) tally institutes/study sections, (d) fetch any NOT-* NOSIs surfaced, (e) run mechanism_matcher.py, and (f) regenerate this DOCX with topic-specific content.</w:t>
      </w:r>
    </w:p>
    <w:p>
      <w:pPr>
        <w:pStyle w:val="ListParagraph"/>
        <w:numPr>
          <w:ilvl w:val="0"/>
          <w:numId w:val="2"/>
        </w:numPr>
        <w:spacing w:after="60"/>
      </w:pPr>
      <w:r>
        <w:rPr>
          <w:b/>
          <w:bCs/>
          <w:sz w:val="22"/>
          <w:szCs w:val="22"/>
        </w:rPr>
        <w:t xml:space="preserve">If the real topic is as sparse/conflicted as described, expect the audit log to show a Free-tier cap (~10/query) and one or more facets with 0 results. The skill will surface those explicitly rather than pad them.</w:t>
      </w:r>
    </w:p>
    <w:p>
      <w:pPr>
        <w:pStyle w:val="Heading2"/>
        <w:spacing w:after="80" w:before="200"/>
      </w:pPr>
      <w:r>
        <w:rPr>
          <w:b/>
          <w:bCs/>
          <w:color w:val="1a3a5c"/>
          <w:sz w:val="26"/>
          <w:szCs w:val="26"/>
        </w:rPr>
        <w:t xml:space="preserve">Mandatory program-officer recommendation (per SKILL.md — never skipped)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A623" w:color="auto" w:val="clear"/>
            <w:tcMar>
              <w:top w:type="dxa" w:w="120"/>
              <w:left w:type="dxa" w:w="160"/>
              <w:bottom w:type="dxa" w:w="120"/>
              <w:right w:type="dxa" w:w="160"/>
            </w:tcMar>
          </w:tcPr>
          <w:p>
            <w:r>
              <w:rPr>
                <w:b/>
                <w:bCs/>
                <w:sz w:val="22"/>
                <w:szCs w:val="22"/>
              </w:rPr>
              <w:t xml:space="preserve">Single most valuable next step: contact the program officer at the top institute BEFORE writing. </w:t>
            </w:r>
            <w:r>
              <w:rPr>
                <w:sz w:val="22"/>
                <w:szCs w:val="22"/>
              </w:rPr>
              <w:t xml:space="preserve">Find them at </w:t>
            </w:r>
            <w:hyperlink w:history="1" r:id="rIdos458s9d3vgp5xr08gyug">
              <w:r>
                <w:rPr>
                  <w:rStyle w:val="Hyperlink"/>
                  <w:color w:val="0563C1"/>
                  <w:sz w:val="22"/>
                  <w:szCs w:val="22"/>
                  <w:u w:val="single"/>
                </w:rPr>
                <w:t xml:space="preserve">NIH Institutes, Centers, and Offices</w:t>
              </w:r>
            </w:hyperlink>
            <w:r>
              <w:rPr>
                <w:sz w:val="22"/>
                <w:szCs w:val="22"/>
              </w:rPr>
              <w:t xml:space="preserve"> → your institute → Program Officers. Prepare: (1) 1-page Specific Aims, (2) NIH biosketch, (3) 3 specific questions about NOSI fit, mechanism preference, and study section. Email subject: </w:t>
            </w:r>
            <w:r>
              <w:rPr>
                <w:i/>
                <w:iCs/>
                <w:sz w:val="22"/>
                <w:szCs w:val="22"/>
              </w:rPr>
              <w:t xml:space="preserve">"Pre-application inquiry: &lt;topic&gt;"</w:t>
            </w:r>
            <w:r>
              <w:rPr>
                <w:sz w:val="22"/>
                <w:szCs w:val="22"/>
              </w:rPr>
              <w:t xml:space="preserve">. The top institute cannot be named until Q1 + RePORTER tally are run.</w:t>
            </w:r>
          </w:p>
        </w:tc>
      </w:tr>
    </w:tbl>
    <w:p>
      <w:pPr>
        <w:pStyle w:val="Heading2"/>
        <w:spacing w:after="80" w:before="200"/>
      </w:pPr>
      <w:r>
        <w:rPr>
          <w:b/>
          <w:bCs/>
          <w:color w:val="1a3a5c"/>
          <w:sz w:val="26"/>
          <w:szCs w:val="26"/>
        </w:rPr>
        <w:t xml:space="preserve">Submission timeline (work backwards)</w:t>
      </w:r>
    </w:p>
    <w:p>
      <w:pPr>
        <w:spacing w:after="100"/>
      </w:pPr>
      <w:r>
        <w:rPr>
          <w:sz w:val="22"/>
          <w:szCs w:val="22"/>
        </w:rPr>
        <w:t xml:space="preserve">Per SKILL.md: typical writing window 4–6 months before the relevant receipt date; program-officer pre-submission contact 3–4 months before; internal institutional pre-review ~6 weeks before. With the next standard R01/R21/R03 date being Oct 5, 2026, a writer targeting that cycle would have needed program-officer contact around Jun–Jul 2026; the Feb 5, 2027 cycle is the realistic near-term target for someone starting today (2026-08-10).</w:t>
      </w:r>
    </w:p>
    <w:p>
      <w:pPr>
        <w:spacing w:after="100"/>
      </w:pPr>
      <w:r>
        <w:rPr>
          <w:i/>
          <w:iCs/>
          <w:sz w:val="22"/>
          <w:szCs w:val="22"/>
        </w:rPr>
        <w:t xml:space="preserve">Timeline note is a planning inference from canonical receipt dates and the skill's stated 4–6 month writing window; it is not a grantmaker commitment.</w:t>
      </w:r>
    </w:p>
    <w:p>
      <w:pPr>
        <w:pStyle w:val="Heading2"/>
        <w:spacing w:after="80" w:before="200"/>
      </w:pPr>
      <w:r>
        <w:rPr>
          <w:b/>
          <w:bCs/>
          <w:color w:val="1a3a5c"/>
          <w:sz w:val="26"/>
          <w:szCs w:val="26"/>
        </w:rPr>
        <w:t xml:space="preserve">Stop conditions (when this run halts)</w:t>
      </w:r>
    </w:p>
    <w:p>
      <w:pPr>
        <w:pStyle w:val="ListParagraph"/>
        <w:numPr>
          <w:ilvl w:val="0"/>
          <w:numId w:val="1"/>
        </w:numPr>
        <w:spacing w:after="60"/>
      </w:pPr>
      <w:r>
        <w:rPr>
          <w:sz w:val="22"/>
          <w:szCs w:val="22"/>
        </w:rPr>
        <w:t xml:space="preserve">Q1 not answered → Phase 2A does not start (current state).</w:t>
      </w:r>
    </w:p>
    <w:p>
      <w:pPr>
        <w:pStyle w:val="ListParagraph"/>
        <w:numPr>
          <w:ilvl w:val="0"/>
          <w:numId w:val="1"/>
        </w:numPr>
        <w:spacing w:after="60"/>
      </w:pPr>
      <w:r>
        <w:rPr>
          <w:sz w:val="22"/>
          <w:szCs w:val="22"/>
        </w:rPr>
        <w:t xml:space="preserve">3 consecutive tool failures across Consensus/RePORTER/NOSI fetches → halt and alert the researcher with what is missing.</w:t>
      </w:r>
    </w:p>
    <w:p>
      <w:pPr>
        <w:pStyle w:val="ListParagraph"/>
        <w:numPr>
          <w:ilvl w:val="0"/>
          <w:numId w:val="1"/>
        </w:numPr>
        <w:spacing w:after="60"/>
      </w:pPr>
      <w:r>
        <w:rPr>
          <w:sz w:val="22"/>
          <w:szCs w:val="22"/>
        </w:rPr>
        <w:t xml:space="preserve">Consensus auth failure (401/403) → halt; tell user to check MCP connection.</w:t>
      </w:r>
    </w:p>
    <w:p>
      <w:pPr>
        <w:pStyle w:val="ListParagraph"/>
        <w:numPr>
          <w:ilvl w:val="0"/>
          <w:numId w:val="1"/>
        </w:numPr>
        <w:spacing w:after="60"/>
      </w:pPr>
      <w:r>
        <w:rPr>
          <w:sz w:val="22"/>
          <w:szCs w:val="22"/>
        </w:rPr>
        <w:t xml:space="preserve">Consensus MCP unavailable in the environment → do not substitute non-Consensus search; report the gap and ask whether to proceed with RePORTER-only (degraded) mode.</w:t>
      </w:r>
    </w:p>
    <w:p>
      <w:pPr>
        <w:pStyle w:val="ListParagraph"/>
        <w:numPr>
          <w:ilvl w:val="0"/>
          <w:numId w:val="1"/>
        </w:numPr>
        <w:spacing w:after="60"/>
      </w:pPr>
      <w:r>
        <w:rPr>
          <w:sz w:val="22"/>
          <w:szCs w:val="22"/>
        </w:rPr>
        <w:t xml:space="preserve">User declines to provide Q1 → no topic-specific report; deliver only the canonical reference (this document).</w:t>
      </w:r>
    </w:p>
    <w:p>
      <w:pPr>
        <w:pStyle w:val="Heading2"/>
        <w:spacing w:after="80" w:before="200"/>
      </w:pPr>
      <w:r>
        <w:rPr>
          <w:b/>
          <w:bCs/>
          <w:color w:val="1a3a5c"/>
          <w:sz w:val="26"/>
          <w:szCs w:val="26"/>
        </w:rPr>
        <w:t xml:space="preserve">Closing</w:t>
      </w:r>
    </w:p>
    <w:p>
      <w:pPr>
        <w:spacing w:after="100"/>
      </w:pPr>
      <w:r>
        <w:rPr>
          <w:sz w:val="22"/>
          <w:szCs w:val="22"/>
        </w:rPr>
        <w:t xml:space="preserve">Your strongest path is to answer Q1 (a 2–3 sentence research idea: question, what is new, clinical relevance) so the skill can run real Consensus + RePORTER searches. Highest-leverage action right now: draft that 2–3 sentence idea; everything else (institute, mechanism, FOA, NOSI, study section, timeline) follows from it.</w:t>
      </w:r>
    </w:p>
    <w:p>
      <w:pPr>
        <w:pStyle w:val="Heading1"/>
        <w:spacing w:after="120" w:before="300"/>
      </w:pPr>
      <w:r>
        <w:rPr>
          <w:b/>
          <w:bCs/>
          <w:color w:val="1a3a5c"/>
          <w:sz w:val="32"/>
          <w:szCs w:val="32"/>
        </w:rPr>
        <w:t xml:space="preserve">8. References</w:t>
      </w:r>
    </w:p>
    <w:p>
      <w:pPr>
        <w:spacing w:after="100"/>
      </w:pPr>
      <w:r>
        <w:rPr>
          <w:i/>
          <w:iCs/>
          <w:sz w:val="22"/>
          <w:szCs w:val="22"/>
        </w:rPr>
        <w:t xml:space="preserve">No Consensus papers were retrieved this session (Phase 2A gated). The entries below are the skill's own reference files and the NIH OER canonical pages used for the mechanism/timeline tables in Section 4. They are NOT Consensus citations and are not represented as such.</w:t>
      </w:r>
    </w:p>
    <w:p>
      <w:pPr>
        <w:pStyle w:val="ListParagraph"/>
        <w:numPr>
          <w:ilvl w:val="0"/>
          <w:numId w:val="2"/>
        </w:numPr>
        <w:spacing w:after="60"/>
      </w:pPr>
      <w:hyperlink w:history="1" r:id="rIdq2f-vp143cpax9lrbp3gz">
        <w:r>
          <w:rPr>
            <w:rStyle w:val="Hyperlink"/>
            <w:color w:val="0563C1"/>
            <w:sz w:val="22"/>
            <w:szCs w:val="22"/>
            <w:u w:val="single"/>
          </w:rPr>
          <w:t xml:space="preserve">grants/SKILL.md</w:t>
        </w:r>
      </w:hyperlink>
      <w:r>
        <w:rPr>
          <w:sz w:val="22"/>
          <w:szCs w:val="22"/>
        </w:rPr>
        <w:t xml:space="preserve"> — grants skill v1.0.0 (intake, workflow, anti-patterns, mandatory PO step).</w:t>
      </w:r>
    </w:p>
    <w:p>
      <w:pPr>
        <w:pStyle w:val="ListParagraph"/>
        <w:numPr>
          <w:ilvl w:val="0"/>
          <w:numId w:val="2"/>
        </w:numPr>
        <w:spacing w:after="60"/>
      </w:pPr>
      <w:hyperlink w:history="1" r:id="rId8eth5tyj6dqd28whulrfr">
        <w:r>
          <w:rPr>
            <w:rStyle w:val="Hyperlink"/>
            <w:color w:val="0563C1"/>
            <w:sz w:val="22"/>
            <w:szCs w:val="22"/>
            <w:u w:val="single"/>
          </w:rPr>
          <w:t xml:space="preserve">references/nih_mechanism_matching.md</w:t>
        </w:r>
      </w:hyperlink>
      <w:r>
        <w:rPr>
          <w:sz w:val="22"/>
          <w:szCs w:val="22"/>
        </w:rPr>
        <w:t xml:space="preserve"> — career × scope × prelim matrix; budget/duration table source.</w:t>
      </w:r>
    </w:p>
    <w:p>
      <w:pPr>
        <w:pStyle w:val="ListParagraph"/>
        <w:numPr>
          <w:ilvl w:val="0"/>
          <w:numId w:val="2"/>
        </w:numPr>
        <w:spacing w:after="60"/>
      </w:pPr>
      <w:hyperlink w:history="1" r:id="rIdljsrx-6wtdfvzenq4v6me">
        <w:r>
          <w:rPr>
            <w:rStyle w:val="Hyperlink"/>
            <w:color w:val="0563C1"/>
            <w:sz w:val="22"/>
            <w:szCs w:val="22"/>
            <w:u w:val="single"/>
          </w:rPr>
          <w:t xml:space="preserve">references/reporter_post_patterns.md</w:t>
        </w:r>
      </w:hyperlink>
      <w:r>
        <w:rPr>
          <w:sz w:val="22"/>
          <w:szCs w:val="22"/>
        </w:rPr>
        <w:t xml:space="preserve"> — RePORTER POST canon, plan-tier detection, error handling.</w:t>
      </w:r>
    </w:p>
    <w:p>
      <w:pPr>
        <w:pStyle w:val="ListParagraph"/>
        <w:numPr>
          <w:ilvl w:val="0"/>
          <w:numId w:val="2"/>
        </w:numPr>
        <w:spacing w:after="60"/>
      </w:pPr>
      <w:hyperlink w:history="1" r:id="rIdlk4p3ih6as7nbz0uea0_j">
        <w:r>
          <w:rPr>
            <w:rStyle w:val="Hyperlink"/>
            <w:color w:val="0563C1"/>
            <w:sz w:val="22"/>
            <w:szCs w:val="22"/>
            <w:u w:val="single"/>
          </w:rPr>
          <w:t xml:space="preserve">references/docx_9_sections.md</w:t>
        </w:r>
      </w:hyperlink>
      <w:r>
        <w:rPr>
          <w:sz w:val="22"/>
          <w:szCs w:val="22"/>
        </w:rPr>
        <w:t xml:space="preserve"> — 9-section DOCX spec and styling used for this file.</w:t>
      </w:r>
    </w:p>
    <w:p>
      <w:pPr>
        <w:pStyle w:val="ListParagraph"/>
        <w:numPr>
          <w:ilvl w:val="0"/>
          <w:numId w:val="2"/>
        </w:numPr>
        <w:spacing w:after="60"/>
      </w:pPr>
      <w:hyperlink w:history="1" r:id="rIdhzg7nyst6qnneec2l_0lx">
        <w:r>
          <w:rPr>
            <w:rStyle w:val="Hyperlink"/>
            <w:color w:val="0563C1"/>
            <w:sz w:val="22"/>
            <w:szCs w:val="22"/>
            <w:u w:val="single"/>
          </w:rPr>
          <w:t xml:space="preserve">NIH OER — Types of Grant Programs</w:t>
        </w:r>
      </w:hyperlink>
      <w:r>
        <w:rPr>
          <w:sz w:val="22"/>
          <w:szCs w:val="22"/>
        </w:rPr>
        <w:t xml:space="preserve"> — authoritative mechanism definitions and budget ranges.</w:t>
      </w:r>
    </w:p>
    <w:p>
      <w:pPr>
        <w:pStyle w:val="ListParagraph"/>
        <w:numPr>
          <w:ilvl w:val="0"/>
          <w:numId w:val="2"/>
        </w:numPr>
        <w:spacing w:after="60"/>
      </w:pPr>
      <w:hyperlink w:history="1" r:id="rIdso2bgfxn53fuja5k3aiqn">
        <w:r>
          <w:rPr>
            <w:rStyle w:val="Hyperlink"/>
            <w:color w:val="0563C1"/>
            <w:sz w:val="22"/>
            <w:szCs w:val="22"/>
            <w:u w:val="single"/>
          </w:rPr>
          <w:t xml:space="preserve">NIH Guide for Grants and Contracts</w:t>
        </w:r>
      </w:hyperlink>
      <w:r>
        <w:rPr>
          <w:sz w:val="22"/>
          <w:szCs w:val="22"/>
        </w:rPr>
        <w:t xml:space="preserve"> — FOA / NOSI URL structure and naming conventions.</w:t>
      </w:r>
    </w:p>
    <w:p>
      <w:pPr>
        <w:pStyle w:val="ListParagraph"/>
        <w:numPr>
          <w:ilvl w:val="0"/>
          <w:numId w:val="2"/>
        </w:numPr>
        <w:spacing w:after="60"/>
      </w:pPr>
      <w:hyperlink w:history="1" r:id="rIdfjyn-qitrr4yoyyj3_ngd">
        <w:r>
          <w:rPr>
            <w:rStyle w:val="Hyperlink"/>
            <w:color w:val="0563C1"/>
            <w:sz w:val="22"/>
            <w:szCs w:val="22"/>
            <w:u w:val="single"/>
          </w:rPr>
          <w:t xml:space="preserve">NIH RePORTER API v2</w:t>
        </w:r>
      </w:hyperlink>
      <w:r>
        <w:rPr>
          <w:sz w:val="22"/>
          <w:szCs w:val="22"/>
        </w:rPr>
        <w:t xml:space="preserve"> — POST endpoint used for institute/study-section/project search.</w:t>
      </w:r>
    </w:p>
    <w:p>
      <w:pPr>
        <w:pStyle w:val="ListParagraph"/>
        <w:numPr>
          <w:ilvl w:val="0"/>
          <w:numId w:val="2"/>
        </w:numPr>
        <w:spacing w:after="60"/>
      </w:pPr>
      <w:hyperlink w:history="1" r:id="rIdomcxyfgl7nvklnikirivg">
        <w:r>
          <w:rPr>
            <w:rStyle w:val="Hyperlink"/>
            <w:color w:val="0563C1"/>
            <w:sz w:val="22"/>
            <w:szCs w:val="22"/>
            <w:u w:val="single"/>
          </w:rPr>
          <w:t xml:space="preserve">NIH Institutes, Centers, and Offices</w:t>
        </w:r>
      </w:hyperlink>
      <w:r>
        <w:rPr>
          <w:sz w:val="22"/>
          <w:szCs w:val="22"/>
        </w:rPr>
        <w:t xml:space="preserve"> — program-officer directory entry point.</w:t>
      </w:r>
    </w:p>
    <w:p>
      <w:pPr>
        <w:pStyle w:val="Heading1"/>
        <w:spacing w:after="120" w:before="300"/>
      </w:pPr>
      <w:r>
        <w:rPr>
          <w:b/>
          <w:bCs/>
          <w:color w:val="1a3a5c"/>
          <w:sz w:val="32"/>
          <w:szCs w:val="32"/>
        </w:rPr>
        <w:t xml:space="preserve">9. Audit Log</w:t>
      </w:r>
    </w:p>
    <w:p>
      <w:pPr>
        <w:pStyle w:val="Heading2"/>
        <w:spacing w:after="80" w:before="200"/>
      </w:pPr>
      <w:r>
        <w:rPr>
          <w:b/>
          <w:bCs/>
          <w:color w:val="1a3a5c"/>
          <w:sz w:val="26"/>
          <w:szCs w:val="26"/>
        </w:rPr>
        <w:t xml:space="preserve">Consensus searches</w:t>
      </w:r>
    </w:p>
    <w:tbl>
      <w:tblPr>
        <w:tblW w:type="auto" w:w="100"/>
        <w:tblBorders>
          <w:top w:val="single" w:color="1a3a5c" w:sz="4"/>
          <w:left w:val="single" w:color="1a3a5c" w:sz="4"/>
          <w:bottom w:val="single" w:color="1a3a5c" w:sz="4"/>
          <w:right w:val="single" w:color="1a3a5c" w:sz="4"/>
          <w:insideH w:val="single" w:color="999999" w:sz="2"/>
          <w:insideV w:val="single" w:color="999999" w:sz="2"/>
        </w:tblBorders>
      </w:tblPr>
      <w:tblGrid>
        <w:gridCol w:w="600"/>
        <w:gridCol w:w="1800"/>
        <w:gridCol w:w="3600"/>
        <w:gridCol w:w="1600"/>
        <w:gridCol w:w="1000"/>
      </w:tblGrid>
      <w:tr>
        <w:trPr>
          <w:tblHeader/>
        </w:trPr>
        <w:tc>
          <w:tcPr>
            <w:tcW w:type="dxa" w:w="600"/>
            <w:shd w:fill="e8f0f8" w:color="auto" w:val="clear"/>
            <w:tcMar>
              <w:top w:type="dxa" w:w="60"/>
              <w:left w:type="dxa" w:w="100"/>
              <w:bottom w:type="dxa" w:w="60"/>
              <w:right w:type="dxa" w:w="100"/>
            </w:tcMar>
          </w:tcPr>
          <w:p>
            <w:r>
              <w:rPr>
                <w:b/>
                <w:bCs/>
                <w:color w:val="1a3a5c"/>
                <w:sz w:val="20"/>
                <w:szCs w:val="20"/>
              </w:rPr>
              <w:t xml:space="preserve">#</w:t>
            </w:r>
          </w:p>
        </w:tc>
        <w:tc>
          <w:tcPr>
            <w:tcW w:type="dxa" w:w="1800"/>
            <w:shd w:fill="e8f0f8" w:color="auto" w:val="clear"/>
            <w:tcMar>
              <w:top w:type="dxa" w:w="60"/>
              <w:left w:type="dxa" w:w="100"/>
              <w:bottom w:type="dxa" w:w="60"/>
              <w:right w:type="dxa" w:w="100"/>
            </w:tcMar>
          </w:tcPr>
          <w:p>
            <w:r>
              <w:rPr>
                <w:b/>
                <w:bCs/>
                <w:color w:val="1a3a5c"/>
                <w:sz w:val="20"/>
                <w:szCs w:val="20"/>
              </w:rPr>
              <w:t xml:space="preserve">Facet</w:t>
            </w:r>
          </w:p>
        </w:tc>
        <w:tc>
          <w:tcPr>
            <w:tcW w:type="dxa" w:w="3600"/>
            <w:shd w:fill="e8f0f8" w:color="auto" w:val="clear"/>
            <w:tcMar>
              <w:top w:type="dxa" w:w="60"/>
              <w:left w:type="dxa" w:w="100"/>
              <w:bottom w:type="dxa" w:w="60"/>
              <w:right w:type="dxa" w:w="100"/>
            </w:tcMar>
          </w:tcPr>
          <w:p>
            <w:r>
              <w:rPr>
                <w:b/>
                <w:bCs/>
                <w:color w:val="1a3a5c"/>
                <w:sz w:val="20"/>
                <w:szCs w:val="20"/>
              </w:rPr>
              <w:t xml:space="preserve">Query</w:t>
            </w:r>
          </w:p>
        </w:tc>
        <w:tc>
          <w:tcPr>
            <w:tcW w:type="dxa" w:w="1600"/>
            <w:shd w:fill="e8f0f8" w:color="auto" w:val="clear"/>
            <w:tcMar>
              <w:top w:type="dxa" w:w="60"/>
              <w:left w:type="dxa" w:w="100"/>
              <w:bottom w:type="dxa" w:w="60"/>
              <w:right w:type="dxa" w:w="100"/>
            </w:tcMar>
          </w:tcPr>
          <w:p>
            <w:r>
              <w:rPr>
                <w:b/>
                <w:bCs/>
                <w:color w:val="1a3a5c"/>
                <w:sz w:val="20"/>
                <w:szCs w:val="20"/>
              </w:rPr>
              <w:t xml:space="preserve">Results returned</w:t>
            </w:r>
          </w:p>
        </w:tc>
        <w:tc>
          <w:tcPr>
            <w:tcW w:type="dxa" w:w="1000"/>
            <w:shd w:fill="e8f0f8" w:color="auto" w:val="clear"/>
            <w:tcMar>
              <w:top w:type="dxa" w:w="60"/>
              <w:left w:type="dxa" w:w="100"/>
              <w:bottom w:type="dxa" w:w="60"/>
              <w:right w:type="dxa" w:w="100"/>
            </w:tcMar>
          </w:tcPr>
          <w:p>
            <w:r>
              <w:rPr>
                <w:b/>
                <w:bCs/>
                <w:color w:val="1a3a5c"/>
                <w:sz w:val="20"/>
                <w:szCs w:val="20"/>
              </w:rPr>
              <w:t xml:space="preserve">Cited</w:t>
            </w:r>
          </w:p>
        </w:tc>
      </w:tr>
      <w:tr>
        <w:tc>
          <w:tcPr>
            <w:tcW w:type="dxa" w:w="600"/>
            <w:tcMar>
              <w:top w:type="dxa" w:w="60"/>
              <w:left w:type="dxa" w:w="100"/>
              <w:bottom w:type="dxa" w:w="60"/>
              <w:right w:type="dxa" w:w="100"/>
            </w:tcMar>
          </w:tcPr>
          <w:p>
            <w:r>
              <w:rPr>
                <w:b w:val="false"/>
                <w:bCs w:val="false"/>
                <w:sz w:val="20"/>
                <w:szCs w:val="20"/>
              </w:rPr>
              <w:t xml:space="preserve">—</w:t>
            </w:r>
          </w:p>
        </w:tc>
        <w:tc>
          <w:tcPr>
            <w:tcW w:type="dxa" w:w="1800"/>
            <w:tcMar>
              <w:top w:type="dxa" w:w="60"/>
              <w:left w:type="dxa" w:w="100"/>
              <w:bottom w:type="dxa" w:w="60"/>
              <w:right w:type="dxa" w:w="100"/>
            </w:tcMar>
          </w:tcPr>
          <w:p>
            <w:r>
              <w:rPr>
                <w:b w:val="false"/>
                <w:bCs w:val="false"/>
                <w:sz w:val="20"/>
                <w:szCs w:val="20"/>
              </w:rPr>
              <w:t xml:space="preserve">(not run)</w:t>
            </w:r>
          </w:p>
        </w:tc>
        <w:tc>
          <w:tcPr>
            <w:tcW w:type="dxa" w:w="3600"/>
            <w:tcMar>
              <w:top w:type="dxa" w:w="60"/>
              <w:left w:type="dxa" w:w="100"/>
              <w:bottom w:type="dxa" w:w="60"/>
              <w:right w:type="dxa" w:w="100"/>
            </w:tcMar>
          </w:tcPr>
          <w:p>
            <w:r>
              <w:rPr>
                <w:b w:val="false"/>
                <w:bCs w:val="false"/>
                <w:sz w:val="20"/>
                <w:szCs w:val="20"/>
              </w:rPr>
              <w:t xml:space="preserve">(gated on Q1)</w:t>
            </w:r>
          </w:p>
        </w:tc>
        <w:tc>
          <w:tcPr>
            <w:tcW w:type="dxa" w:w="1600"/>
            <w:tcMar>
              <w:top w:type="dxa" w:w="60"/>
              <w:left w:type="dxa" w:w="100"/>
              <w:bottom w:type="dxa" w:w="60"/>
              <w:right w:type="dxa" w:w="100"/>
            </w:tcMar>
          </w:tcPr>
          <w:p>
            <w:r>
              <w:rPr>
                <w:b w:val="false"/>
                <w:bCs w:val="false"/>
                <w:sz w:val="20"/>
                <w:szCs w:val="20"/>
              </w:rPr>
              <w:t xml:space="preserve">0</w:t>
            </w:r>
          </w:p>
        </w:tc>
        <w:tc>
          <w:tcPr>
            <w:tcW w:type="dxa" w:w="1000"/>
            <w:tcMar>
              <w:top w:type="dxa" w:w="60"/>
              <w:left w:type="dxa" w:w="100"/>
              <w:bottom w:type="dxa" w:w="60"/>
              <w:right w:type="dxa" w:w="100"/>
            </w:tcMar>
          </w:tcPr>
          <w:p>
            <w:r>
              <w:rPr>
                <w:b w:val="false"/>
                <w:bCs w:val="false"/>
                <w:sz w:val="20"/>
                <w:szCs w:val="20"/>
              </w:rPr>
              <w:t xml:space="preserve">0</w:t>
            </w:r>
          </w:p>
        </w:tc>
      </w:tr>
    </w:tbl>
    <w:p>
      <w:pPr>
        <w:spacing w:after="100"/>
      </w:pPr>
      <w:r>
        <w:rPr>
          <w:i/>
          <w:iCs/>
          <w:sz w:val="22"/>
          <w:szCs w:val="22"/>
        </w:rPr>
        <w:t xml:space="preserve">Plan tier: not detected (no Consensus calls issued). Consensus MCP is not available in this environment; this is a tooling gap, not a rate-limit event.</w:t>
      </w:r>
    </w:p>
    <w:p>
      <w:pPr>
        <w:pStyle w:val="Heading2"/>
        <w:spacing w:after="80" w:before="200"/>
      </w:pPr>
      <w:r>
        <w:rPr>
          <w:b/>
          <w:bCs/>
          <w:color w:val="1a3a5c"/>
          <w:sz w:val="26"/>
          <w:szCs w:val="26"/>
        </w:rPr>
        <w:t xml:space="preserve">RePORTER searches</w:t>
      </w:r>
    </w:p>
    <w:tbl>
      <w:tblPr>
        <w:tblW w:type="auto" w:w="100"/>
        <w:tblBorders>
          <w:top w:val="single" w:color="1a3a5c" w:sz="4"/>
          <w:left w:val="single" w:color="1a3a5c" w:sz="4"/>
          <w:bottom w:val="single" w:color="1a3a5c" w:sz="4"/>
          <w:right w:val="single" w:color="1a3a5c" w:sz="4"/>
          <w:insideH w:val="single" w:color="999999" w:sz="2"/>
          <w:insideV w:val="single" w:color="999999" w:sz="2"/>
        </w:tblBorders>
      </w:tblPr>
      <w:tblGrid>
        <w:gridCol w:w="600"/>
        <w:gridCol w:w="2400"/>
        <w:gridCol w:w="3000"/>
        <w:gridCol w:w="1400"/>
        <w:gridCol w:w="1200"/>
      </w:tblGrid>
      <w:tr>
        <w:trPr>
          <w:tblHeader/>
        </w:trPr>
        <w:tc>
          <w:tcPr>
            <w:tcW w:type="dxa" w:w="600"/>
            <w:shd w:fill="e8f0f8" w:color="auto" w:val="clear"/>
            <w:tcMar>
              <w:top w:type="dxa" w:w="60"/>
              <w:left w:type="dxa" w:w="100"/>
              <w:bottom w:type="dxa" w:w="60"/>
              <w:right w:type="dxa" w:w="100"/>
            </w:tcMar>
          </w:tcPr>
          <w:p>
            <w:r>
              <w:rPr>
                <w:b/>
                <w:bCs/>
                <w:color w:val="1a3a5c"/>
                <w:sz w:val="20"/>
                <w:szCs w:val="20"/>
              </w:rPr>
              <w:t xml:space="preserve">#</w:t>
            </w:r>
          </w:p>
        </w:tc>
        <w:tc>
          <w:tcPr>
            <w:tcW w:type="dxa" w:w="2400"/>
            <w:shd w:fill="e8f0f8" w:color="auto" w:val="clear"/>
            <w:tcMar>
              <w:top w:type="dxa" w:w="60"/>
              <w:left w:type="dxa" w:w="100"/>
              <w:bottom w:type="dxa" w:w="60"/>
              <w:right w:type="dxa" w:w="100"/>
            </w:tcMar>
          </w:tcPr>
          <w:p>
            <w:r>
              <w:rPr>
                <w:b/>
                <w:bCs/>
                <w:color w:val="1a3a5c"/>
                <w:sz w:val="20"/>
                <w:szCs w:val="20"/>
              </w:rPr>
              <w:t xml:space="preserve">Type</w:t>
            </w:r>
          </w:p>
        </w:tc>
        <w:tc>
          <w:tcPr>
            <w:tcW w:type="dxa" w:w="3000"/>
            <w:shd w:fill="e8f0f8" w:color="auto" w:val="clear"/>
            <w:tcMar>
              <w:top w:type="dxa" w:w="60"/>
              <w:left w:type="dxa" w:w="100"/>
              <w:bottom w:type="dxa" w:w="60"/>
              <w:right w:type="dxa" w:w="100"/>
            </w:tcMar>
          </w:tcPr>
          <w:p>
            <w:r>
              <w:rPr>
                <w:b/>
                <w:bCs/>
                <w:color w:val="1a3a5c"/>
                <w:sz w:val="20"/>
                <w:szCs w:val="20"/>
              </w:rPr>
              <w:t xml:space="preserve">Search text</w:t>
            </w:r>
          </w:p>
        </w:tc>
        <w:tc>
          <w:tcPr>
            <w:tcW w:type="dxa" w:w="1400"/>
            <w:shd w:fill="e8f0f8" w:color="auto" w:val="clear"/>
            <w:tcMar>
              <w:top w:type="dxa" w:w="60"/>
              <w:left w:type="dxa" w:w="100"/>
              <w:bottom w:type="dxa" w:w="60"/>
              <w:right w:type="dxa" w:w="100"/>
            </w:tcMar>
          </w:tcPr>
          <w:p>
            <w:r>
              <w:rPr>
                <w:b/>
                <w:bCs/>
                <w:color w:val="1a3a5c"/>
                <w:sz w:val="20"/>
                <w:szCs w:val="20"/>
              </w:rPr>
              <w:t xml:space="preserve">Window</w:t>
            </w:r>
          </w:p>
        </w:tc>
        <w:tc>
          <w:tcPr>
            <w:tcW w:type="dxa" w:w="1200"/>
            <w:shd w:fill="e8f0f8" w:color="auto" w:val="clear"/>
            <w:tcMar>
              <w:top w:type="dxa" w:w="60"/>
              <w:left w:type="dxa" w:w="100"/>
              <w:bottom w:type="dxa" w:w="60"/>
              <w:right w:type="dxa" w:w="100"/>
            </w:tcMar>
          </w:tcPr>
          <w:p>
            <w:r>
              <w:rPr>
                <w:b/>
                <w:bCs/>
                <w:color w:val="1a3a5c"/>
                <w:sz w:val="20"/>
                <w:szCs w:val="20"/>
              </w:rPr>
              <w:t xml:space="preserve">Projects</w:t>
            </w:r>
          </w:p>
        </w:tc>
      </w:tr>
      <w:tr>
        <w:tc>
          <w:tcPr>
            <w:tcW w:type="dxa" w:w="600"/>
            <w:tcMar>
              <w:top w:type="dxa" w:w="60"/>
              <w:left w:type="dxa" w:w="100"/>
              <w:bottom w:type="dxa" w:w="60"/>
              <w:right w:type="dxa" w:w="100"/>
            </w:tcMar>
          </w:tcPr>
          <w:p>
            <w:r>
              <w:rPr>
                <w:b w:val="false"/>
                <w:bCs w:val="false"/>
                <w:sz w:val="20"/>
                <w:szCs w:val="20"/>
              </w:rPr>
              <w:t xml:space="preserve">1</w:t>
            </w:r>
          </w:p>
        </w:tc>
        <w:tc>
          <w:tcPr>
            <w:tcW w:type="dxa" w:w="2400"/>
            <w:tcMar>
              <w:top w:type="dxa" w:w="60"/>
              <w:left w:type="dxa" w:w="100"/>
              <w:bottom w:type="dxa" w:w="60"/>
              <w:right w:type="dxa" w:w="100"/>
            </w:tcMar>
          </w:tcPr>
          <w:p>
            <w:r>
              <w:rPr>
                <w:b w:val="false"/>
                <w:bCs w:val="false"/>
                <w:sz w:val="20"/>
                <w:szCs w:val="20"/>
              </w:rPr>
              <w:t xml:space="preserve">connectivity_probe (NOT a substantive search)</w:t>
            </w:r>
          </w:p>
        </w:tc>
        <w:tc>
          <w:tcPr>
            <w:tcW w:type="dxa" w:w="3000"/>
            <w:tcMar>
              <w:top w:type="dxa" w:w="60"/>
              <w:left w:type="dxa" w:w="100"/>
              <w:bottom w:type="dxa" w:w="60"/>
              <w:right w:type="dxa" w:w="100"/>
            </w:tcMar>
          </w:tcPr>
          <w:p>
            <w:r>
              <w:rPr>
                <w:b w:val="false"/>
                <w:bCs w:val="false"/>
                <w:sz w:val="20"/>
                <w:szCs w:val="20"/>
              </w:rPr>
              <w:t xml:space="preserve">"connectivity probe zzzqqq"</w:t>
            </w:r>
          </w:p>
        </w:tc>
        <w:tc>
          <w:tcPr>
            <w:tcW w:type="dxa" w:w="1400"/>
            <w:tcMar>
              <w:top w:type="dxa" w:w="60"/>
              <w:left w:type="dxa" w:w="100"/>
              <w:bottom w:type="dxa" w:w="60"/>
              <w:right w:type="dxa" w:w="100"/>
            </w:tcMar>
          </w:tcPr>
          <w:p>
            <w:r>
              <w:rPr>
                <w:b w:val="false"/>
                <w:bCs w:val="false"/>
                <w:sz w:val="20"/>
                <w:szCs w:val="20"/>
              </w:rPr>
              <w:t xml:space="preserve">FY2026</w:t>
            </w:r>
          </w:p>
        </w:tc>
        <w:tc>
          <w:tcPr>
            <w:tcW w:type="dxa" w:w="1200"/>
            <w:tcMar>
              <w:top w:type="dxa" w:w="60"/>
              <w:left w:type="dxa" w:w="100"/>
              <w:bottom w:type="dxa" w:w="60"/>
              <w:right w:type="dxa" w:w="100"/>
            </w:tcMar>
          </w:tcPr>
          <w:p>
            <w:r>
              <w:rPr>
                <w:b w:val="false"/>
                <w:bCs w:val="false"/>
                <w:sz w:val="20"/>
                <w:szCs w:val="20"/>
              </w:rPr>
              <w:t xml:space="preserve">0</w:t>
            </w:r>
          </w:p>
        </w:tc>
      </w:tr>
    </w:tbl>
    <w:p>
      <w:pPr>
        <w:spacing w:after="100"/>
      </w:pPr>
      <w:r>
        <w:rPr>
          <w:i/>
          <w:iCs/>
          <w:sz w:val="22"/>
          <w:szCs w:val="22"/>
        </w:rPr>
        <w:t xml:space="preserve">The probe used a nonsense term to confirm endpoint reachability; its 0-hit result is expected and is NOT counted as a narrow-AND or broad-OR search for the user's topic. No narrow/broad substantive searches were run because Q1 terms do not exist.</w:t>
      </w:r>
    </w:p>
    <w:p>
      <w:pPr>
        <w:pStyle w:val="Heading2"/>
        <w:spacing w:after="80" w:before="200"/>
      </w:pPr>
      <w:r>
        <w:rPr>
          <w:b/>
          <w:bCs/>
          <w:color w:val="1a3a5c"/>
          <w:sz w:val="26"/>
          <w:szCs w:val="26"/>
        </w:rPr>
        <w:t xml:space="preserve">NOSI fetches</w:t>
      </w:r>
    </w:p>
    <w:tbl>
      <w:tblPr>
        <w:tblW w:type="auto" w:w="100"/>
        <w:tblBorders>
          <w:top w:val="single" w:color="1a3a5c" w:sz="4"/>
          <w:left w:val="single" w:color="1a3a5c" w:sz="4"/>
          <w:bottom w:val="single" w:color="1a3a5c" w:sz="4"/>
          <w:right w:val="single" w:color="1a3a5c" w:sz="4"/>
          <w:insideH w:val="single" w:color="999999" w:sz="2"/>
          <w:insideV w:val="single" w:color="999999" w:sz="2"/>
        </w:tblBorders>
      </w:tblPr>
      <w:tblGrid>
        <w:gridCol w:w="2400"/>
        <w:gridCol w:w="1800"/>
        <w:gridCol w:w="4800"/>
      </w:tblGrid>
      <w:tr>
        <w:trPr>
          <w:tblHeader/>
        </w:trPr>
        <w:tc>
          <w:tcPr>
            <w:tcW w:type="dxa" w:w="2400"/>
            <w:shd w:fill="e8f0f8" w:color="auto" w:val="clear"/>
            <w:tcMar>
              <w:top w:type="dxa" w:w="60"/>
              <w:left w:type="dxa" w:w="100"/>
              <w:bottom w:type="dxa" w:w="60"/>
              <w:right w:type="dxa" w:w="100"/>
            </w:tcMar>
          </w:tcPr>
          <w:p>
            <w:r>
              <w:rPr>
                <w:b/>
                <w:bCs/>
                <w:color w:val="1a3a5c"/>
                <w:sz w:val="20"/>
                <w:szCs w:val="20"/>
              </w:rPr>
              <w:t xml:space="preserve">NOSI</w:t>
            </w:r>
          </w:p>
        </w:tc>
        <w:tc>
          <w:tcPr>
            <w:tcW w:type="dxa" w:w="1800"/>
            <w:shd w:fill="e8f0f8" w:color="auto" w:val="clear"/>
            <w:tcMar>
              <w:top w:type="dxa" w:w="60"/>
              <w:left w:type="dxa" w:w="100"/>
              <w:bottom w:type="dxa" w:w="60"/>
              <w:right w:type="dxa" w:w="100"/>
            </w:tcMar>
          </w:tcPr>
          <w:p>
            <w:r>
              <w:rPr>
                <w:b/>
                <w:bCs/>
                <w:color w:val="1a3a5c"/>
                <w:sz w:val="20"/>
                <w:szCs w:val="20"/>
              </w:rPr>
              <w:t xml:space="preserve">Status</w:t>
            </w:r>
          </w:p>
        </w:tc>
        <w:tc>
          <w:tcPr>
            <w:tcW w:type="dxa" w:w="4800"/>
            <w:shd w:fill="e8f0f8" w:color="auto" w:val="clear"/>
            <w:tcMar>
              <w:top w:type="dxa" w:w="60"/>
              <w:left w:type="dxa" w:w="100"/>
              <w:bottom w:type="dxa" w:w="60"/>
              <w:right w:type="dxa" w:w="100"/>
            </w:tcMar>
          </w:tcPr>
          <w:p>
            <w:r>
              <w:rPr>
                <w:b/>
                <w:bCs/>
                <w:color w:val="1a3a5c"/>
                <w:sz w:val="20"/>
                <w:szCs w:val="20"/>
              </w:rPr>
              <w:t xml:space="preserve">URL</w:t>
            </w:r>
          </w:p>
        </w:tc>
      </w:tr>
      <w:tr>
        <w:tc>
          <w:tcPr>
            <w:tcW w:type="dxa" w:w="2400"/>
            <w:tcMar>
              <w:top w:type="dxa" w:w="60"/>
              <w:left w:type="dxa" w:w="100"/>
              <w:bottom w:type="dxa" w:w="60"/>
              <w:right w:type="dxa" w:w="100"/>
            </w:tcMar>
          </w:tcPr>
          <w:p>
            <w:r>
              <w:rPr>
                <w:b w:val="false"/>
                <w:bCs w:val="false"/>
                <w:sz w:val="20"/>
                <w:szCs w:val="20"/>
              </w:rPr>
              <w:t xml:space="preserve">(none discovered)</w:t>
            </w:r>
          </w:p>
        </w:tc>
        <w:tc>
          <w:tcPr>
            <w:tcW w:type="dxa" w:w="1800"/>
            <w:tcMar>
              <w:top w:type="dxa" w:w="60"/>
              <w:left w:type="dxa" w:w="100"/>
              <w:bottom w:type="dxa" w:w="60"/>
              <w:right w:type="dxa" w:w="100"/>
            </w:tcMar>
          </w:tcPr>
          <w:p>
            <w:r>
              <w:rPr>
                <w:b w:val="false"/>
                <w:bCs w:val="false"/>
                <w:sz w:val="20"/>
                <w:szCs w:val="20"/>
              </w:rPr>
              <w:t xml:space="preserve">n/a</w:t>
            </w:r>
          </w:p>
        </w:tc>
        <w:tc>
          <w:tcPr>
            <w:tcW w:type="dxa" w:w="4800"/>
            <w:tcMar>
              <w:top w:type="dxa" w:w="60"/>
              <w:left w:type="dxa" w:w="100"/>
              <w:bottom w:type="dxa" w:w="60"/>
              <w:right w:type="dxa" w:w="100"/>
            </w:tcMar>
          </w:tcPr>
          <w:p>
            <w:r>
              <w:rPr>
                <w:b w:val="false"/>
                <w:bCs w:val="false"/>
                <w:sz w:val="20"/>
                <w:szCs w:val="20"/>
              </w:rPr>
              <w:t xml:space="preserve">n/a — no RePORTER substantive results to parse NOT-* numbers from</w:t>
            </w:r>
          </w:p>
        </w:tc>
      </w:tr>
    </w:tbl>
    <w:p>
      <w:pPr>
        <w:pStyle w:val="Heading2"/>
        <w:spacing w:after="80" w:before="200"/>
      </w:pPr>
      <w:r>
        <w:rPr>
          <w:b/>
          <w:bCs/>
          <w:color w:val="1a3a5c"/>
          <w:sz w:val="26"/>
          <w:szCs w:val="26"/>
        </w:rPr>
        <w:t xml:space="preserve">Tooling verification</w:t>
      </w:r>
    </w:p>
    <w:tbl>
      <w:tblPr>
        <w:tblW w:type="auto" w:w="100"/>
        <w:tblBorders>
          <w:top w:val="single" w:color="1a3a5c" w:sz="4"/>
          <w:left w:val="single" w:color="1a3a5c" w:sz="4"/>
          <w:bottom w:val="single" w:color="1a3a5c" w:sz="4"/>
          <w:right w:val="single" w:color="1a3a5c" w:sz="4"/>
          <w:insideH w:val="single" w:color="999999" w:sz="2"/>
          <w:insideV w:val="single" w:color="999999" w:sz="2"/>
        </w:tblBorders>
      </w:tblPr>
      <w:tblGrid>
        <w:gridCol w:w="2200"/>
        <w:gridCol w:w="1200"/>
        <w:gridCol w:w="5600"/>
      </w:tblGrid>
      <w:tr>
        <w:trPr>
          <w:tblHeader/>
        </w:trPr>
        <w:tc>
          <w:tcPr>
            <w:tcW w:type="dxa" w:w="2200"/>
            <w:shd w:fill="e8f0f8" w:color="auto" w:val="clear"/>
            <w:tcMar>
              <w:top w:type="dxa" w:w="60"/>
              <w:left w:type="dxa" w:w="100"/>
              <w:bottom w:type="dxa" w:w="60"/>
              <w:right w:type="dxa" w:w="100"/>
            </w:tcMar>
          </w:tcPr>
          <w:p>
            <w:r>
              <w:rPr>
                <w:b/>
                <w:bCs/>
                <w:color w:val="1a3a5c"/>
                <w:sz w:val="20"/>
                <w:szCs w:val="20"/>
              </w:rPr>
              <w:t xml:space="preserve">Component</w:t>
            </w:r>
          </w:p>
        </w:tc>
        <w:tc>
          <w:tcPr>
            <w:tcW w:type="dxa" w:w="1200"/>
            <w:shd w:fill="e8f0f8" w:color="auto" w:val="clear"/>
            <w:tcMar>
              <w:top w:type="dxa" w:w="60"/>
              <w:left w:type="dxa" w:w="100"/>
              <w:bottom w:type="dxa" w:w="60"/>
              <w:right w:type="dxa" w:w="100"/>
            </w:tcMar>
          </w:tcPr>
          <w:p>
            <w:r>
              <w:rPr>
                <w:b/>
                <w:bCs/>
                <w:color w:val="1a3a5c"/>
                <w:sz w:val="20"/>
                <w:szCs w:val="20"/>
              </w:rPr>
              <w:t xml:space="preserve">Status</w:t>
            </w:r>
          </w:p>
        </w:tc>
        <w:tc>
          <w:tcPr>
            <w:tcW w:type="dxa" w:w="5600"/>
            <w:shd w:fill="e8f0f8" w:color="auto" w:val="clear"/>
            <w:tcMar>
              <w:top w:type="dxa" w:w="60"/>
              <w:left w:type="dxa" w:w="100"/>
              <w:bottom w:type="dxa" w:w="60"/>
              <w:right w:type="dxa" w:w="100"/>
            </w:tcMar>
          </w:tcPr>
          <w:p>
            <w:r>
              <w:rPr>
                <w:b/>
                <w:bCs/>
                <w:color w:val="1a3a5c"/>
                <w:sz w:val="20"/>
                <w:szCs w:val="20"/>
              </w:rPr>
              <w:t xml:space="preserve">Evidence</w:t>
            </w:r>
          </w:p>
        </w:tc>
      </w:tr>
      <w:tr>
        <w:tc>
          <w:tcPr>
            <w:tcW w:type="dxa" w:w="2200"/>
            <w:tcMar>
              <w:top w:type="dxa" w:w="60"/>
              <w:left w:type="dxa" w:w="100"/>
              <w:bottom w:type="dxa" w:w="60"/>
              <w:right w:type="dxa" w:w="100"/>
            </w:tcMar>
          </w:tcPr>
          <w:p>
            <w:r>
              <w:rPr>
                <w:b w:val="false"/>
                <w:bCs w:val="false"/>
                <w:sz w:val="20"/>
                <w:szCs w:val="20"/>
              </w:rPr>
              <w:t xml:space="preserve">Python 3 scripts</w:t>
            </w:r>
          </w:p>
        </w:tc>
        <w:tc>
          <w:tcPr>
            <w:tcW w:type="dxa" w:w="1200"/>
            <w:tcMar>
              <w:top w:type="dxa" w:w="60"/>
              <w:left w:type="dxa" w:w="100"/>
              <w:bottom w:type="dxa" w:w="60"/>
              <w:right w:type="dxa" w:w="100"/>
            </w:tcMar>
          </w:tcPr>
          <w:p>
            <w:r>
              <w:rPr>
                <w:b w:val="false"/>
                <w:bCs w:val="false"/>
                <w:sz w:val="20"/>
                <w:szCs w:val="20"/>
              </w:rPr>
              <w:t xml:space="preserve">OK</w:t>
            </w:r>
          </w:p>
        </w:tc>
        <w:tc>
          <w:tcPr>
            <w:tcW w:type="dxa" w:w="5600"/>
            <w:tcMar>
              <w:top w:type="dxa" w:w="60"/>
              <w:left w:type="dxa" w:w="100"/>
              <w:bottom w:type="dxa" w:w="60"/>
              <w:right w:type="dxa" w:w="100"/>
            </w:tcMar>
          </w:tcPr>
          <w:p>
            <w:r>
              <w:rPr>
                <w:b w:val="false"/>
                <w:bCs w:val="false"/>
                <w:sz w:val="20"/>
                <w:szCs w:val="20"/>
              </w:rPr>
              <w:t xml:space="preserve">fiscal_year_calculator.py returned FY2026, window [2023,2024,2025,2026]; mechanism_matcher.py --sample returned 4 recommendations with no warnings.</w:t>
            </w:r>
          </w:p>
        </w:tc>
      </w:tr>
      <w:tr>
        <w:tc>
          <w:tcPr>
            <w:tcW w:type="dxa" w:w="2200"/>
            <w:tcMar>
              <w:top w:type="dxa" w:w="60"/>
              <w:left w:type="dxa" w:w="100"/>
              <w:bottom w:type="dxa" w:w="60"/>
              <w:right w:type="dxa" w:w="100"/>
            </w:tcMar>
          </w:tcPr>
          <w:p>
            <w:r>
              <w:rPr>
                <w:b w:val="false"/>
                <w:bCs w:val="false"/>
                <w:sz w:val="20"/>
                <w:szCs w:val="20"/>
              </w:rPr>
              <w:t xml:space="preserve">RePORTER POST endpoint</w:t>
            </w:r>
          </w:p>
        </w:tc>
        <w:tc>
          <w:tcPr>
            <w:tcW w:type="dxa" w:w="1200"/>
            <w:tcMar>
              <w:top w:type="dxa" w:w="60"/>
              <w:left w:type="dxa" w:w="100"/>
              <w:bottom w:type="dxa" w:w="60"/>
              <w:right w:type="dxa" w:w="100"/>
            </w:tcMar>
          </w:tcPr>
          <w:p>
            <w:r>
              <w:rPr>
                <w:b w:val="false"/>
                <w:bCs w:val="false"/>
                <w:sz w:val="20"/>
                <w:szCs w:val="20"/>
              </w:rPr>
              <w:t xml:space="preserve">OK</w:t>
            </w:r>
          </w:p>
        </w:tc>
        <w:tc>
          <w:tcPr>
            <w:tcW w:type="dxa" w:w="5600"/>
            <w:tcMar>
              <w:top w:type="dxa" w:w="60"/>
              <w:left w:type="dxa" w:w="100"/>
              <w:bottom w:type="dxa" w:w="60"/>
              <w:right w:type="dxa" w:w="100"/>
            </w:tcMar>
          </w:tcPr>
          <w:p>
            <w:r>
              <w:rPr>
                <w:b w:val="false"/>
                <w:bCs w:val="false"/>
                <w:sz w:val="20"/>
                <w:szCs w:val="20"/>
              </w:rPr>
              <w:t xml:space="preserve">curl POST to api.reporter.nih.gov/v2/projects/search returned HTTP 200 with well-formed JSON meta+results.</w:t>
            </w:r>
          </w:p>
        </w:tc>
      </w:tr>
      <w:tr>
        <w:tc>
          <w:tcPr>
            <w:tcW w:type="dxa" w:w="2200"/>
            <w:tcMar>
              <w:top w:type="dxa" w:w="60"/>
              <w:left w:type="dxa" w:w="100"/>
              <w:bottom w:type="dxa" w:w="60"/>
              <w:right w:type="dxa" w:w="100"/>
            </w:tcMar>
          </w:tcPr>
          <w:p>
            <w:r>
              <w:rPr>
                <w:b w:val="false"/>
                <w:bCs w:val="false"/>
                <w:sz w:val="20"/>
                <w:szCs w:val="20"/>
              </w:rPr>
              <w:t xml:space="preserve">Node.js + docx</w:t>
            </w:r>
          </w:p>
        </w:tc>
        <w:tc>
          <w:tcPr>
            <w:tcW w:type="dxa" w:w="1200"/>
            <w:tcMar>
              <w:top w:type="dxa" w:w="60"/>
              <w:left w:type="dxa" w:w="100"/>
              <w:bottom w:type="dxa" w:w="60"/>
              <w:right w:type="dxa" w:w="100"/>
            </w:tcMar>
          </w:tcPr>
          <w:p>
            <w:r>
              <w:rPr>
                <w:b w:val="false"/>
                <w:bCs w:val="false"/>
                <w:sz w:val="20"/>
                <w:szCs w:val="20"/>
              </w:rPr>
              <w:t xml:space="preserve">OK</w:t>
            </w:r>
          </w:p>
        </w:tc>
        <w:tc>
          <w:tcPr>
            <w:tcW w:type="dxa" w:w="5600"/>
            <w:tcMar>
              <w:top w:type="dxa" w:w="60"/>
              <w:left w:type="dxa" w:w="100"/>
              <w:bottom w:type="dxa" w:w="60"/>
              <w:right w:type="dxa" w:w="100"/>
            </w:tcMar>
          </w:tcPr>
          <w:p>
            <w:r>
              <w:rPr>
                <w:b w:val="false"/>
                <w:bCs w:val="false"/>
                <w:sz w:val="20"/>
                <w:szCs w:val="20"/>
              </w:rPr>
              <w:t xml:space="preserve">node v20.19.2; docx package installed locally in output/node_modules; this DOCX generated by it.</w:t>
            </w:r>
          </w:p>
        </w:tc>
      </w:tr>
      <w:tr>
        <w:tc>
          <w:tcPr>
            <w:tcW w:type="dxa" w:w="2200"/>
            <w:tcMar>
              <w:top w:type="dxa" w:w="60"/>
              <w:left w:type="dxa" w:w="100"/>
              <w:bottom w:type="dxa" w:w="60"/>
              <w:right w:type="dxa" w:w="100"/>
            </w:tcMar>
          </w:tcPr>
          <w:p>
            <w:r>
              <w:rPr>
                <w:b w:val="false"/>
                <w:bCs w:val="false"/>
                <w:sz w:val="20"/>
                <w:szCs w:val="20"/>
              </w:rPr>
              <w:t xml:space="preserve">Consensus MCP</w:t>
            </w:r>
          </w:p>
        </w:tc>
        <w:tc>
          <w:tcPr>
            <w:tcW w:type="dxa" w:w="1200"/>
            <w:tcMar>
              <w:top w:type="dxa" w:w="60"/>
              <w:left w:type="dxa" w:w="100"/>
              <w:bottom w:type="dxa" w:w="60"/>
              <w:right w:type="dxa" w:w="100"/>
            </w:tcMar>
          </w:tcPr>
          <w:p>
            <w:r>
              <w:rPr>
                <w:b w:val="false"/>
                <w:bCs w:val="false"/>
                <w:sz w:val="20"/>
                <w:szCs w:val="20"/>
              </w:rPr>
              <w:t xml:space="preserve">MISSING</w:t>
            </w:r>
          </w:p>
        </w:tc>
        <w:tc>
          <w:tcPr>
            <w:tcW w:type="dxa" w:w="5600"/>
            <w:tcMar>
              <w:top w:type="dxa" w:w="60"/>
              <w:left w:type="dxa" w:w="100"/>
              <w:bottom w:type="dxa" w:w="60"/>
              <w:right w:type="dxa" w:w="100"/>
            </w:tcMar>
          </w:tcPr>
          <w:p>
            <w:r>
              <w:rPr>
                <w:b w:val="false"/>
                <w:bCs w:val="false"/>
                <w:sz w:val="20"/>
                <w:szCs w:val="20"/>
              </w:rPr>
              <w:t xml:space="preserve">No Consensus MCP tool is registered in this environment. Phase 2A cannot run as specified. Not substituted with general_search/scholar_search (different source, different URL scheme).</w:t>
            </w:r>
          </w:p>
        </w:tc>
      </w:tr>
      <w:tr>
        <w:tc>
          <w:tcPr>
            <w:tcW w:type="dxa" w:w="2200"/>
            <w:tcMar>
              <w:top w:type="dxa" w:w="60"/>
              <w:left w:type="dxa" w:w="100"/>
              <w:bottom w:type="dxa" w:w="60"/>
              <w:right w:type="dxa" w:w="100"/>
            </w:tcMar>
          </w:tcPr>
          <w:p>
            <w:r>
              <w:rPr>
                <w:b w:val="false"/>
                <w:bCs w:val="false"/>
                <w:sz w:val="20"/>
                <w:szCs w:val="20"/>
              </w:rPr>
              <w:t xml:space="preserve">citation_tracker session</w:t>
            </w:r>
          </w:p>
        </w:tc>
        <w:tc>
          <w:tcPr>
            <w:tcW w:type="dxa" w:w="1200"/>
            <w:tcMar>
              <w:top w:type="dxa" w:w="60"/>
              <w:left w:type="dxa" w:w="100"/>
              <w:bottom w:type="dxa" w:w="60"/>
              <w:right w:type="dxa" w:w="100"/>
            </w:tcMar>
          </w:tcPr>
          <w:p>
            <w:r>
              <w:rPr>
                <w:b w:val="false"/>
                <w:bCs w:val="false"/>
                <w:sz w:val="20"/>
                <w:szCs w:val="20"/>
              </w:rPr>
              <w:t xml:space="preserve">OK</w:t>
            </w:r>
          </w:p>
        </w:tc>
        <w:tc>
          <w:tcPr>
            <w:tcW w:type="dxa" w:w="5600"/>
            <w:tcMar>
              <w:top w:type="dxa" w:w="60"/>
              <w:left w:type="dxa" w:w="100"/>
              <w:bottom w:type="dxa" w:w="60"/>
              <w:right w:type="dxa" w:w="100"/>
            </w:tcMar>
          </w:tcPr>
          <w:p>
            <w:r>
              <w:rPr>
                <w:b w:val="false"/>
                <w:bCs w:val="false"/>
                <w:sz w:val="20"/>
                <w:szCs w:val="20"/>
              </w:rPr>
              <w:t xml:space="preserve">Session grants-20260810-boundary created at ~2026-08-10T08:35Z; counts below reflect this run.</w:t>
            </w:r>
          </w:p>
        </w:tc>
      </w:tr>
    </w:tbl>
    <w:p>
      <w:pPr>
        <w:pStyle w:val="Heading2"/>
        <w:spacing w:after="80" w:before="200"/>
      </w:pPr>
      <w:r>
        <w:rPr>
          <w:b/>
          <w:bCs/>
          <w:color w:val="1a3a5c"/>
          <w:sz w:val="26"/>
          <w:szCs w:val="26"/>
        </w:rPr>
        <w:t xml:space="preserve">Three counts</w:t>
      </w:r>
    </w:p>
    <w:p>
      <w:pPr>
        <w:spacing w:after="100"/>
      </w:pPr>
      <w:r>
        <w:rPr>
          <w:sz w:val="22"/>
          <w:szCs w:val="22"/>
        </w:rPr>
        <w:t xml:space="preserve">Queries sent: 1 (Consensus 0, RePORTER 1 connectivity probe). Results received: 0 (Consensus 0 + RePORTER 0 substantive). Results cited: 0 (Consensus 0 + RePORTER 0). NOSI fetches: 0/0.</w:t>
      </w:r>
    </w:p>
    <w:p>
      <w:pPr>
        <w:spacing w:after="100"/>
      </w:pPr>
      <w:r>
        <w:rPr>
          <w:i/>
          <w:iCs/>
          <w:sz w:val="22"/>
          <w:szCs w:val="22"/>
        </w:rPr>
        <w:t xml:space="preserve">Per skill integrity rules, "queries sent / results shown / results cited" are three separate numbers and are never conflated. The connectivity probe is disclosed but not counted as a substantive query.</w:t>
      </w:r>
    </w:p>
    <w:p>
      <w:pPr>
        <w:pStyle w:val="Heading2"/>
        <w:spacing w:after="80" w:before="200"/>
      </w:pPr>
      <w:r>
        <w:rPr>
          <w:b/>
          <w:bCs/>
          <w:color w:val="1a3a5c"/>
          <w:sz w:val="26"/>
          <w:szCs w:val="26"/>
        </w:rPr>
        <w:t xml:space="preserve">Failed / blocked steps</w:t>
      </w:r>
    </w:p>
    <w:p>
      <w:pPr>
        <w:pStyle w:val="ListParagraph"/>
        <w:numPr>
          <w:ilvl w:val="0"/>
          <w:numId w:val="1"/>
        </w:numPr>
        <w:spacing w:after="60"/>
      </w:pPr>
      <w:r>
        <w:rPr>
          <w:sz w:val="22"/>
          <w:szCs w:val="22"/>
        </w:rPr>
        <w:t xml:space="preserve">Phase 2A (5 Consensus facet searches): not started — Q1 not provided; Consensus MCP also unavailable.</w:t>
      </w:r>
    </w:p>
    <w:p>
      <w:pPr>
        <w:pStyle w:val="ListParagraph"/>
        <w:numPr>
          <w:ilvl w:val="0"/>
          <w:numId w:val="1"/>
        </w:numPr>
        <w:spacing w:after="60"/>
      </w:pPr>
      <w:r>
        <w:rPr>
          <w:sz w:val="22"/>
          <w:szCs w:val="22"/>
        </w:rPr>
        <w:t xml:space="preserve">Phase 2B (RePORTER narrow+broad): not started — Q1 terms not provided.</w:t>
      </w:r>
    </w:p>
    <w:p>
      <w:pPr>
        <w:pStyle w:val="ListParagraph"/>
        <w:numPr>
          <w:ilvl w:val="0"/>
          <w:numId w:val="1"/>
        </w:numPr>
        <w:spacing w:after="60"/>
      </w:pPr>
      <w:r>
        <w:rPr>
          <w:sz w:val="22"/>
          <w:szCs w:val="22"/>
        </w:rPr>
        <w:t xml:space="preserve">NOSI discovery: not started — depends on Phase 2B results.</w:t>
      </w:r>
    </w:p>
    <w:p>
      <w:pPr>
        <w:pStyle w:val="ListParagraph"/>
        <w:numPr>
          <w:ilvl w:val="0"/>
          <w:numId w:val="1"/>
        </w:numPr>
        <w:spacing w:after="60"/>
      </w:pPr>
      <w:r>
        <w:rPr>
          <w:sz w:val="22"/>
          <w:szCs w:val="22"/>
        </w:rPr>
        <w:t xml:space="preserve">mechanism_matcher.py for the user's actual inputs: not run — Q2/Q3/Q4/scope not provided. The --sample run is a smoke test only.</w:t>
      </w:r>
    </w:p>
    <w:p>
      <w:pPr>
        <w:pStyle w:val="Heading2"/>
        <w:spacing w:after="80" w:before="200"/>
      </w:pPr>
      <w:r>
        <w:rPr>
          <w:b/>
          <w:bCs/>
          <w:color w:val="1a3a5c"/>
          <w:sz w:val="26"/>
          <w:szCs w:val="26"/>
        </w:rPr>
        <w:t xml:space="preserve">Self-check against SKILL.md</w:t>
      </w:r>
    </w:p>
    <w:p>
      <w:pPr>
        <w:pStyle w:val="ListParagraph"/>
        <w:numPr>
          <w:ilvl w:val="0"/>
          <w:numId w:val="1"/>
        </w:numPr>
        <w:spacing w:after="60"/>
      </w:pPr>
      <w:r>
        <w:rPr>
          <w:sz w:val="22"/>
          <w:szCs w:val="22"/>
        </w:rPr>
        <w:t xml:space="preserve">Intake gate enforced (Q1–Q6 not answered → Phase 2 not entered). PASS.</w:t>
      </w:r>
    </w:p>
    <w:p>
      <w:pPr>
        <w:pStyle w:val="ListParagraph"/>
        <w:numPr>
          <w:ilvl w:val="0"/>
          <w:numId w:val="1"/>
        </w:numPr>
        <w:spacing w:after="60"/>
      </w:pPr>
      <w:r>
        <w:rPr>
          <w:sz w:val="22"/>
          <w:szCs w:val="22"/>
        </w:rPr>
        <w:t xml:space="preserve">No papers, NOSI numbers, FOA numbers, project numbers, PIs, or statistics fabricated. PASS.</w:t>
      </w:r>
    </w:p>
    <w:p>
      <w:pPr>
        <w:pStyle w:val="ListParagraph"/>
        <w:numPr>
          <w:ilvl w:val="0"/>
          <w:numId w:val="1"/>
        </w:numPr>
        <w:spacing w:after="60"/>
      </w:pPr>
      <w:r>
        <w:rPr>
          <w:sz w:val="22"/>
          <w:szCs w:val="22"/>
        </w:rPr>
        <w:t xml:space="preserve">Fiscal year computed at runtime via fiscal_year_calculator.py (not hardcoded). PASS.</w:t>
      </w:r>
    </w:p>
    <w:p>
      <w:pPr>
        <w:pStyle w:val="ListParagraph"/>
        <w:numPr>
          <w:ilvl w:val="0"/>
          <w:numId w:val="1"/>
        </w:numPr>
        <w:spacing w:after="60"/>
      </w:pPr>
      <w:r>
        <w:rPr>
          <w:sz w:val="22"/>
          <w:szCs w:val="22"/>
        </w:rPr>
        <w:t xml:space="preserve">RePORTER queried via POST + curl (not web_fetch GET). PASS for the probe; substantive searches deferred.</w:t>
      </w:r>
    </w:p>
    <w:p>
      <w:pPr>
        <w:pStyle w:val="ListParagraph"/>
        <w:numPr>
          <w:ilvl w:val="0"/>
          <w:numId w:val="1"/>
        </w:numPr>
        <w:spacing w:after="60"/>
      </w:pPr>
      <w:r>
        <w:rPr>
          <w:sz w:val="22"/>
          <w:szCs w:val="22"/>
        </w:rPr>
        <w:t xml:space="preserve">Mandatory program-officer recommendation included in Section 7. PASS (with top institute honestly marked as not-yet-determinable).</w:t>
      </w:r>
    </w:p>
    <w:p>
      <w:pPr>
        <w:pStyle w:val="ListParagraph"/>
        <w:numPr>
          <w:ilvl w:val="0"/>
          <w:numId w:val="1"/>
        </w:numPr>
        <w:spacing w:after="60"/>
      </w:pPr>
      <w:r>
        <w:rPr>
          <w:sz w:val="22"/>
          <w:szCs w:val="22"/>
        </w:rPr>
        <w:t xml:space="preserve">Audit log present with three separate counts. PASS.</w:t>
      </w:r>
    </w:p>
    <w:p>
      <w:pPr>
        <w:pStyle w:val="ListParagraph"/>
        <w:numPr>
          <w:ilvl w:val="0"/>
          <w:numId w:val="1"/>
        </w:numPr>
        <w:spacing w:after="60"/>
      </w:pPr>
      <w:r>
        <w:rPr>
          <w:sz w:val="22"/>
          <w:szCs w:val="22"/>
        </w:rPr>
        <w:t xml:space="preserve">DOCX saved to grants_&lt;topic-slug&gt;_&lt;date&gt;.docx pattern; topic slug is "intake-gated" because no topic exists. PASS.</w:t>
      </w:r>
    </w:p>
    <w:p>
      <w:pPr>
        <w:pStyle w:val="ListParagraph"/>
        <w:numPr>
          <w:ilvl w:val="0"/>
          <w:numId w:val="1"/>
        </w:numPr>
        <w:spacing w:after="60"/>
      </w:pPr>
      <w:r>
        <w:rPr>
          <w:sz w:val="22"/>
          <w:szCs w:val="22"/>
        </w:rPr>
        <w:t xml:space="preserve">DOCX validated as a well-formed ZIP/DOCX after save (checked post-write).</w:t>
      </w:r>
    </w:p>
    <w:p>
      <w:pPr>
        <w:pStyle w:val="ListParagraph"/>
        <w:numPr>
          <w:ilvl w:val="0"/>
          <w:numId w:val="1"/>
        </w:numPr>
        <w:spacing w:after="60"/>
      </w:pPr>
      <w:r>
        <w:rPr>
          <w:sz w:val="22"/>
          <w:szCs w:val="22"/>
        </w:rPr>
        <w:t xml:space="preserve">Non-NIH funders (PCORI, DOD CDMRP, VA, foundations): out of scope per SKILL.md; none recommended. PASS.</w:t>
      </w:r>
    </w:p>
    <w:p>
      <w:pPr>
        <w:pStyle w:val="Heading1"/>
        <w:spacing w:after="120" w:before="300"/>
      </w:pPr>
      <w:r>
        <w:rPr>
          <w:b/>
          <w:bCs/>
          <w:color w:val="1a3a5c"/>
          <w:sz w:val="32"/>
          <w:szCs w:val="32"/>
        </w:rPr>
        <w:t xml:space="preserve">Appendix: The Six Intake Questions (verbatim from SKILL.md)</w:t>
      </w:r>
    </w:p>
    <w:p>
      <w:pPr>
        <w:spacing w:after="100"/>
      </w:pPr>
      <w:r>
        <w:rPr>
          <w:b/>
          <w:bCs/>
          <w:sz w:val="22"/>
          <w:szCs w:val="22"/>
        </w:rPr>
        <w:t xml:space="preserve">Q1 (root) — Research idea: </w:t>
      </w:r>
      <w:r>
        <w:rPr>
          <w:sz w:val="22"/>
          <w:szCs w:val="22"/>
        </w:rPr>
        <w:t xml:space="preserve">Describe the research idea in 2–3 sentences. What is the question, what is new, and what is the clinical relevance? Vague answers ("AI for healthcare", "biomarkers for disease X") are rejected.</w:t>
      </w:r>
    </w:p>
    <w:p>
      <w:pPr>
        <w:spacing w:after="100"/>
      </w:pPr>
      <w:r>
        <w:rPr>
          <w:b/>
          <w:bCs/>
          <w:sz w:val="22"/>
          <w:szCs w:val="22"/>
        </w:rPr>
        <w:t xml:space="preserve">Q2 — Career stage: </w:t>
      </w:r>
      <w:r>
        <w:rPr>
          <w:sz w:val="22"/>
          <w:szCs w:val="22"/>
        </w:rPr>
        <w:t xml:space="preserve">(1) Pre-doctoral, (2) Postdoctoral fellow, (3) Early career, (4) Independent investigator, (5) Senior PI.</w:t>
      </w:r>
    </w:p>
    <w:p>
      <w:pPr>
        <w:spacing w:after="100"/>
      </w:pPr>
      <w:r>
        <w:rPr>
          <w:b/>
          <w:bCs/>
          <w:sz w:val="22"/>
          <w:szCs w:val="22"/>
        </w:rPr>
        <w:t xml:space="preserve">Q3 — Preliminary data: </w:t>
      </w:r>
      <w:r>
        <w:rPr>
          <w:sz w:val="22"/>
          <w:szCs w:val="22"/>
        </w:rPr>
        <w:t xml:space="preserve">(1) None, (2) Pilot data, (3) Strong preliminary, (4) Validated and ready.</w:t>
      </w:r>
    </w:p>
    <w:p>
      <w:pPr>
        <w:spacing w:after="100"/>
      </w:pPr>
      <w:r>
        <w:rPr>
          <w:b/>
          <w:bCs/>
          <w:sz w:val="22"/>
          <w:szCs w:val="22"/>
        </w:rPr>
        <w:t xml:space="preserve">Q4 — Environment: </w:t>
      </w:r>
      <w:r>
        <w:rPr>
          <w:sz w:val="22"/>
          <w:szCs w:val="22"/>
        </w:rPr>
        <w:t xml:space="preserve">(1) R01-eligible, (2) Mid-tier, (3) Resource-constrained, (4) Industry-collaborative.</w:t>
      </w:r>
    </w:p>
    <w:p>
      <w:pPr>
        <w:spacing w:after="100"/>
      </w:pPr>
      <w:r>
        <w:rPr>
          <w:b/>
          <w:bCs/>
          <w:sz w:val="22"/>
          <w:szCs w:val="22"/>
        </w:rPr>
        <w:t xml:space="preserve">Q5 — Submission posture: </w:t>
      </w:r>
      <w:r>
        <w:rPr>
          <w:sz w:val="22"/>
          <w:szCs w:val="22"/>
        </w:rPr>
        <w:t xml:space="preserve">(1) New application, (2) Resubmission (A1), (3) Exploring.</w:t>
      </w:r>
    </w:p>
    <w:p>
      <w:pPr>
        <w:spacing w:after="100"/>
      </w:pPr>
      <w:r>
        <w:rPr>
          <w:b/>
          <w:bCs/>
          <w:sz w:val="22"/>
          <w:szCs w:val="22"/>
        </w:rPr>
        <w:t xml:space="preserve">Q6 — Known institute targets: </w:t>
      </w:r>
      <w:r>
        <w:rPr>
          <w:sz w:val="22"/>
          <w:szCs w:val="22"/>
        </w:rPr>
        <w:t xml:space="preserve">List NIH institute names (NCI/NHLBI/NIMH/…) or "no preference — find the right 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458s9d3vgp5xr08gyug" Type="http://schemas.openxmlformats.org/officeDocument/2006/relationships/hyperlink" Target="https://www.nih.gov/institutes-nih/list-nih-institutes-centers-offices" TargetMode="External"/><Relationship Id="rIdq2f-vp143cpax9lrbp3gz" Type="http://schemas.openxmlformats.org/officeDocument/2006/relationships/hyperlink" Target="file:///Users/bytedance/Doubao/chats/2026-08-10/new-chat-89/grants/grants/SKILL.md" TargetMode="External"/><Relationship Id="rId8eth5tyj6dqd28whulrfr" Type="http://schemas.openxmlformats.org/officeDocument/2006/relationships/hyperlink" Target="file:///Users/bytedance/Doubao/chats/2026-08-10/new-chat-89/grants/grants/references/nih_mechanism_matching.md" TargetMode="External"/><Relationship Id="rIdljsrx-6wtdfvzenq4v6me" Type="http://schemas.openxmlformats.org/officeDocument/2006/relationships/hyperlink" Target="file:///Users/bytedance/Doubao/chats/2026-08-10/new-chat-89/grants/grants/references/reporter_post_patterns.md" TargetMode="External"/><Relationship Id="rIdlk4p3ih6as7nbz0uea0_j" Type="http://schemas.openxmlformats.org/officeDocument/2006/relationships/hyperlink" Target="file:///Users/bytedance/Doubao/chats/2026-08-10/new-chat-89/grants/grants/references/docx_9_sections.md" TargetMode="External"/><Relationship Id="rIdhzg7nyst6qnneec2l_0lx" Type="http://schemas.openxmlformats.org/officeDocument/2006/relationships/hyperlink" Target="https://grants.nih.gov/grants/funding/funding_program.htm" TargetMode="External"/><Relationship Id="rIdso2bgfxn53fuja5k3aiqn" Type="http://schemas.openxmlformats.org/officeDocument/2006/relationships/hyperlink" Target="https://grants.nih.gov/grants/guide" TargetMode="External"/><Relationship Id="rIdfjyn-qitrr4yoyyj3_ngd" Type="http://schemas.openxmlformats.org/officeDocument/2006/relationships/hyperlink" Target="https://api.reporter.nih.gov/" TargetMode="External"/><Relationship Id="rIdomcxyfgl7nvklnikirivg" Type="http://schemas.openxmlformats.org/officeDocument/2006/relationships/hyperlink" Target="https://www.nih.gov/institutes-nih/list-nih-institutes-centers-office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 Funding Strategy: Boundary &amp; Edge-Case Report</dc:title>
  <dc:creator>grants-skill v1.0.0</dc:creator>
  <dc:description>Honest gated report — Phase 1 intake not complete; no Phase 2 searches run.</dc:description>
  <cp:lastModifiedBy>Un-named</cp:lastModifiedBy>
  <cp:revision>1</cp:revision>
  <dcterms:created xsi:type="dcterms:W3CDTF">2026-08-10T08:39:22.352Z</dcterms:created>
  <dcterms:modified xsi:type="dcterms:W3CDTF">2026-08-10T08:39:22.423Z</dcterms:modified>
</cp:coreProperties>
</file>

<file path=docProps/custom.xml><?xml version="1.0" encoding="utf-8"?>
<Properties xmlns="http://schemas.openxmlformats.org/officeDocument/2006/custom-properties" xmlns:vt="http://schemas.openxmlformats.org/officeDocument/2006/docPropsVTypes"/>
</file>