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a5c"/>
          <w:sz w:val="48"/>
          <w:szCs w:val="48"/>
        </w:rPr>
        <w:t xml:space="preserve">Patent Novelty Search Report</w:t>
      </w:r>
    </w:p>
    <w:p>
      <w:pPr>
        <w:spacing w:after="60"/>
        <w:jc w:val="center"/>
      </w:pPr>
      <w:r>
        <w:rPr>
          <w:rFonts w:ascii="Arial" w:cs="Arial" w:eastAsia="Arial" w:hAnsi="Arial"/>
          <w:color w:val="666666"/>
          <w:sz w:val="28"/>
          <w:szCs w:val="28"/>
        </w:rPr>
        <w:t xml:space="preserve">Battery-Free Bimetallic Cup Lid with Steam-Pressure Color-Change Burn Warning</w:t>
      </w:r>
    </w:p>
    <w:p>
      <w:pPr>
        <w:spacing w:after="200"/>
        <w:jc w:val="center"/>
      </w:pPr>
      <w:r>
        <w:rPr>
          <w:rFonts w:ascii="Arial" w:cs="Arial" w:eastAsia="Arial" w:hAnsi="Arial"/>
          <w:color w:val="666666"/>
          <w:sz w:val="22"/>
          <w:szCs w:val="22"/>
        </w:rPr>
        <w:t xml:space="preserve">Date: 2026-08-08  |  Sub-use case: Novelty Search  |  Jurisdictions: US, EP  |  Risk tolerance: Signal-gathering (medium)</w:t>
      </w:r>
    </w:p>
    <w:p>
      <w:pPr>
        <w:pStyle w:val="Heading1"/>
        <w:spacing w:after="150" w:before="300"/>
      </w:pPr>
      <w:r>
        <w:rPr>
          <w:rFonts w:ascii="Arial" w:cs="Arial" w:eastAsia="Arial" w:hAnsi="Arial"/>
          <w:b/>
          <w:bCs/>
          <w:color w:val="1a3a5c"/>
          <w:sz w:val="32"/>
          <w:szCs w:val="32"/>
        </w:rPr>
        <w:t xml:space="preserve">1. Executive Summary &amp; Verdict</w:t>
      </w:r>
    </w:p>
    <w:p>
      <w:pPr>
        <w:shd w:fill="d4edda" w:color="auto" w:val="clear"/>
        <w:spacing w:after="200" w:before="200"/>
      </w:pPr>
      <w:r>
        <w:rPr>
          <w:rFonts w:ascii="Arial" w:cs="Arial" w:eastAsia="Arial" w:hAnsi="Arial"/>
          <w:b/>
          <w:bCs/>
          <w:color w:val="155724"/>
          <w:sz w:val="36"/>
          <w:szCs w:val="36"/>
        </w:rPr>
        <w:t xml:space="preserve">VERDICT:  POTENTIALLY NOVEL</w:t>
      </w:r>
    </w:p>
    <w:p>
      <w:pPr>
        <w:spacing w:after="120"/>
      </w:pPr>
      <w:r>
        <w:rPr>
          <w:rFonts w:ascii="Arial" w:cs="Arial" w:eastAsia="Arial" w:hAnsi="Arial"/>
          <w:sz w:val="24"/>
          <w:szCs w:val="24"/>
        </w:rPr>
        <w:t xml:space="preserve">This verdict is a technical assessment based on claim-text overlap between the described invention and the patents found in this session's searches. It is not a legal opinion of novelty.</w:t>
      </w:r>
    </w:p>
    <w:p>
      <w:pPr>
        <w:pStyle w:val="Heading2"/>
        <w:spacing w:after="150" w:before="300"/>
      </w:pPr>
      <w:r>
        <w:rPr>
          <w:rFonts w:ascii="Arial" w:cs="Arial" w:eastAsia="Arial" w:hAnsi="Arial"/>
          <w:b/>
          <w:bCs/>
          <w:color w:val="1a3a5c"/>
          <w:sz w:val="26"/>
          <w:szCs w:val="26"/>
        </w:rPr>
        <w:t xml:space="preserve">Key Findings</w:t>
      </w:r>
    </w:p>
    <w:p>
      <w:pPr>
        <w:pStyle w:val="ListParagraph"/>
        <w:numPr>
          <w:ilvl w:val="0"/>
          <w:numId w:val="1"/>
        </w:numPr>
        <w:spacing w:after="80"/>
      </w:pPr>
      <w:r>
        <w:rPr>
          <w:rFonts w:ascii="Arial" w:cs="Arial" w:eastAsia="Arial" w:hAnsi="Arial"/>
          <w:b w:val="false"/>
          <w:bCs w:val="false"/>
          <w:sz w:val="24"/>
          <w:szCs w:val="24"/>
        </w:rPr>
        <w:t xml:space="preserve">No single prior-art patent was found that discloses all elements of the claimed combination: a reusable cup lid using bimetallic mechanical actuation driven by in-cup steam pressure to change the top-surface color for burn warning.</w:t>
      </w:r>
    </w:p>
    <w:p>
      <w:pPr>
        <w:pStyle w:val="ListParagraph"/>
        <w:numPr>
          <w:ilvl w:val="0"/>
          <w:numId w:val="1"/>
        </w:numPr>
        <w:spacing w:after="80"/>
      </w:pPr>
      <w:r>
        <w:rPr>
          <w:rFonts w:ascii="Arial" w:cs="Arial" w:eastAsia="Arial" w:hAnsi="Arial"/>
          <w:b w:val="false"/>
          <w:bCs w:val="false"/>
          <w:sz w:val="24"/>
          <w:szCs w:val="24"/>
        </w:rPr>
        <w:t xml:space="preserve">The closest prior art is US2866338 (Muncheryan, 1953/1958), which teaches a bimetallic spiral element inside a closure cap with a rotating colored dial — but it uses conducted heat through a metal plate (not steam pressure), targets baby bottles (not hot-beverage cup lids), and uses a rotating dial behind a window (not top-surface color change).</w:t>
      </w:r>
    </w:p>
    <w:p>
      <w:pPr>
        <w:pStyle w:val="ListParagraph"/>
        <w:numPr>
          <w:ilvl w:val="0"/>
          <w:numId w:val="1"/>
        </w:numPr>
        <w:spacing w:after="80"/>
      </w:pPr>
      <w:r>
        <w:rPr>
          <w:rFonts w:ascii="Arial" w:cs="Arial" w:eastAsia="Arial" w:hAnsi="Arial"/>
          <w:b w:val="false"/>
          <w:bCs w:val="false"/>
          <w:sz w:val="24"/>
          <w:szCs w:val="24"/>
        </w:rPr>
        <w:t xml:space="preserve">Several patents teach beverage-lid temperature indication using thermochromic chemistry (US20050178773A1, US6579006B1, US5720555A) — these are disposable or chemistry-based, not bimetallic/mechanical, and not steam-pressure driven.</w:t>
      </w:r>
    </w:p>
    <w:p>
      <w:pPr>
        <w:pStyle w:val="ListParagraph"/>
        <w:numPr>
          <w:ilvl w:val="0"/>
          <w:numId w:val="1"/>
        </w:numPr>
        <w:spacing w:after="80"/>
      </w:pPr>
      <w:r>
        <w:rPr>
          <w:rFonts w:ascii="Arial" w:cs="Arial" w:eastAsia="Arial" w:hAnsi="Arial"/>
          <w:b w:val="false"/>
          <w:bCs w:val="false"/>
          <w:sz w:val="24"/>
          <w:szCs w:val="24"/>
        </w:rPr>
        <w:t xml:space="preserve">The steam-pressure actuation mechanism appears to be the most distinctive element; no located patent uses vapor/steam pressure inside the cup to actuate a bimetallic indicator on a reusable lid.</w:t>
      </w:r>
    </w:p>
    <w:p>
      <w:pPr>
        <w:pStyle w:val="ListParagraph"/>
        <w:numPr>
          <w:ilvl w:val="0"/>
          <w:numId w:val="1"/>
        </w:numPr>
        <w:spacing w:after="80"/>
      </w:pPr>
      <w:r>
        <w:rPr>
          <w:rFonts w:ascii="Arial" w:cs="Arial" w:eastAsia="Arial" w:hAnsi="Arial"/>
          <w:b w:val="false"/>
          <w:bCs w:val="false"/>
          <w:sz w:val="24"/>
          <w:szCs w:val="24"/>
        </w:rPr>
        <w:t xml:space="preserve">All seven cited patents are expired, abandoned, ceased, or pending — none currently assert an active granted claim that reads on the full combination (note: pending US20240377264A1 is low-relevance).</w:t>
      </w:r>
    </w:p>
    <w:p>
      <w:pPr>
        <w:pStyle w:val="Heading2"/>
        <w:spacing w:after="150" w:before="300"/>
      </w:pPr>
      <w:r>
        <w:rPr>
          <w:rFonts w:ascii="Arial" w:cs="Arial" w:eastAsia="Arial" w:hAnsi="Arial"/>
          <w:b/>
          <w:bCs/>
          <w:color w:val="1a3a5c"/>
          <w:sz w:val="26"/>
          <w:szCs w:val="26"/>
        </w:rPr>
        <w:t xml:space="preserve">Claim-Text Overlap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0f8" w:color="auto" w:val="clear"/>
          </w:tcPr>
          <w:p>
            <w:r>
              <w:rPr>
                <w:rFonts w:ascii="Arial" w:cs="Arial" w:eastAsia="Arial" w:hAnsi="Arial"/>
                <w:b/>
                <w:bCs/>
                <w:color w:val="1a3a5c"/>
                <w:sz w:val="22"/>
                <w:szCs w:val="22"/>
              </w:rPr>
              <w:t xml:space="preserve">Patent</w:t>
            </w:r>
          </w:p>
        </w:tc>
        <w:tc>
          <w:tcPr>
            <w:shd w:fill="e8f0f8" w:color="auto" w:val="clear"/>
          </w:tcPr>
          <w:p>
            <w:r>
              <w:rPr>
                <w:rFonts w:ascii="Arial" w:cs="Arial" w:eastAsia="Arial" w:hAnsi="Arial"/>
                <w:b/>
                <w:bCs/>
                <w:color w:val="1a3a5c"/>
                <w:sz w:val="22"/>
                <w:szCs w:val="22"/>
              </w:rPr>
              <w:t xml:space="preserve">Overlap</w:t>
            </w:r>
          </w:p>
        </w:tc>
        <w:tc>
          <w:tcPr>
            <w:shd w:fill="e8f0f8" w:color="auto" w:val="clear"/>
          </w:tcPr>
          <w:p>
            <w:r>
              <w:rPr>
                <w:rFonts w:ascii="Arial" w:cs="Arial" w:eastAsia="Arial" w:hAnsi="Arial"/>
                <w:b/>
                <w:bCs/>
                <w:color w:val="1a3a5c"/>
                <w:sz w:val="22"/>
                <w:szCs w:val="22"/>
              </w:rPr>
              <w:t xml:space="preserve">Primary Distinction</w:t>
            </w:r>
          </w:p>
        </w:tc>
      </w:tr>
      <w:tr>
        <w:tc>
          <w:p>
            <w:r>
              <w:rPr>
                <w:rFonts w:ascii="Arial" w:cs="Arial" w:eastAsia="Arial" w:hAnsi="Arial"/>
                <w:b w:val="false"/>
                <w:bCs w:val="false"/>
                <w:color w:val="000000"/>
                <w:sz w:val="20"/>
                <w:szCs w:val="20"/>
              </w:rPr>
              <w:t xml:space="preserve">US2866338</w:t>
            </w:r>
          </w:p>
        </w:tc>
        <w:tc>
          <w:p>
            <w:r>
              <w:rPr>
                <w:rFonts w:ascii="Arial" w:cs="Arial" w:eastAsia="Arial" w:hAnsi="Arial"/>
                <w:b w:val="false"/>
                <w:bCs w:val="false"/>
                <w:color w:val="000000"/>
                <w:sz w:val="20"/>
                <w:szCs w:val="20"/>
              </w:rPr>
              <w:t xml:space="preserve">~50%</w:t>
            </w:r>
          </w:p>
        </w:tc>
        <w:tc>
          <w:p>
            <w:r>
              <w:rPr>
                <w:rFonts w:ascii="Arial" w:cs="Arial" w:eastAsia="Arial" w:hAnsi="Arial"/>
                <w:b w:val="false"/>
                <w:bCs w:val="false"/>
                <w:color w:val="000000"/>
                <w:sz w:val="20"/>
                <w:szCs w:val="20"/>
              </w:rPr>
              <w:t xml:space="preserve">Conducted heat, not steam pressure; baby bottle cap</w:t>
            </w:r>
          </w:p>
        </w:tc>
      </w:tr>
      <w:tr>
        <w:tc>
          <w:p>
            <w:r>
              <w:rPr>
                <w:rFonts w:ascii="Arial" w:cs="Arial" w:eastAsia="Arial" w:hAnsi="Arial"/>
                <w:b w:val="false"/>
                <w:bCs w:val="false"/>
                <w:color w:val="000000"/>
                <w:sz w:val="20"/>
                <w:szCs w:val="20"/>
              </w:rPr>
              <w:t xml:space="preserve">US2953921A</w:t>
            </w:r>
          </w:p>
        </w:tc>
        <w:tc>
          <w:p>
            <w:r>
              <w:rPr>
                <w:rFonts w:ascii="Arial" w:cs="Arial" w:eastAsia="Arial" w:hAnsi="Arial"/>
                <w:b w:val="false"/>
                <w:bCs w:val="false"/>
                <w:color w:val="000000"/>
                <w:sz w:val="20"/>
                <w:szCs w:val="20"/>
              </w:rPr>
              <w:t xml:space="preserve">~45%</w:t>
            </w:r>
          </w:p>
        </w:tc>
        <w:tc>
          <w:p>
            <w:r>
              <w:rPr>
                <w:rFonts w:ascii="Arial" w:cs="Arial" w:eastAsia="Arial" w:hAnsi="Arial"/>
                <w:b w:val="false"/>
                <w:bCs w:val="false"/>
                <w:color w:val="000000"/>
                <w:sz w:val="20"/>
                <w:szCs w:val="20"/>
              </w:rPr>
              <w:t xml:space="preserve">Same family; bimetallic strip, conducted heat</w:t>
            </w:r>
          </w:p>
        </w:tc>
      </w:tr>
      <w:tr>
        <w:tc>
          <w:p>
            <w:r>
              <w:rPr>
                <w:rFonts w:ascii="Arial" w:cs="Arial" w:eastAsia="Arial" w:hAnsi="Arial"/>
                <w:b w:val="false"/>
                <w:bCs w:val="false"/>
                <w:color w:val="000000"/>
                <w:sz w:val="20"/>
                <w:szCs w:val="20"/>
              </w:rPr>
              <w:t xml:space="preserve">US5720555A</w:t>
            </w:r>
          </w:p>
        </w:tc>
        <w:tc>
          <w:p>
            <w:r>
              <w:rPr>
                <w:rFonts w:ascii="Arial" w:cs="Arial" w:eastAsia="Arial" w:hAnsi="Arial"/>
                <w:b w:val="false"/>
                <w:bCs w:val="false"/>
                <w:color w:val="000000"/>
                <w:sz w:val="20"/>
                <w:szCs w:val="20"/>
              </w:rPr>
              <w:t xml:space="preserve">~40%</w:t>
            </w:r>
          </w:p>
        </w:tc>
        <w:tc>
          <w:p>
            <w:r>
              <w:rPr>
                <w:rFonts w:ascii="Arial" w:cs="Arial" w:eastAsia="Arial" w:hAnsi="Arial"/>
                <w:b w:val="false"/>
                <w:bCs w:val="false"/>
                <w:color w:val="000000"/>
                <w:sz w:val="20"/>
                <w:szCs w:val="20"/>
              </w:rPr>
              <w:t xml:space="preserve">Thermochromic + pop-up; not bimetallic; not steam</w:t>
            </w:r>
          </w:p>
        </w:tc>
      </w:tr>
      <w:tr>
        <w:tc>
          <w:p>
            <w:r>
              <w:rPr>
                <w:rFonts w:ascii="Arial" w:cs="Arial" w:eastAsia="Arial" w:hAnsi="Arial"/>
                <w:b w:val="false"/>
                <w:bCs w:val="false"/>
                <w:color w:val="000000"/>
                <w:sz w:val="20"/>
                <w:szCs w:val="20"/>
              </w:rPr>
              <w:t xml:space="preserve">US6579006B1</w:t>
            </w:r>
          </w:p>
        </w:tc>
        <w:tc>
          <w:p>
            <w:r>
              <w:rPr>
                <w:rFonts w:ascii="Arial" w:cs="Arial" w:eastAsia="Arial" w:hAnsi="Arial"/>
                <w:b w:val="false"/>
                <w:bCs w:val="false"/>
                <w:color w:val="000000"/>
                <w:sz w:val="20"/>
                <w:szCs w:val="20"/>
              </w:rPr>
              <w:t xml:space="preserve">~35%</w:t>
            </w:r>
          </w:p>
        </w:tc>
        <w:tc>
          <w:p>
            <w:r>
              <w:rPr>
                <w:rFonts w:ascii="Arial" w:cs="Arial" w:eastAsia="Arial" w:hAnsi="Arial"/>
                <w:b w:val="false"/>
                <w:bCs w:val="false"/>
                <w:color w:val="000000"/>
                <w:sz w:val="20"/>
                <w:szCs w:val="20"/>
              </w:rPr>
              <w:t xml:space="preserve">Thermochromic ink; liquid-contact depression</w:t>
            </w:r>
          </w:p>
        </w:tc>
      </w:tr>
      <w:tr>
        <w:tc>
          <w:p>
            <w:r>
              <w:rPr>
                <w:rFonts w:ascii="Arial" w:cs="Arial" w:eastAsia="Arial" w:hAnsi="Arial"/>
                <w:b w:val="false"/>
                <w:bCs w:val="false"/>
                <w:color w:val="000000"/>
                <w:sz w:val="20"/>
                <w:szCs w:val="20"/>
              </w:rPr>
              <w:t xml:space="preserve">US20050178773A1</w:t>
            </w:r>
          </w:p>
        </w:tc>
        <w:tc>
          <w:p>
            <w:r>
              <w:rPr>
                <w:rFonts w:ascii="Arial" w:cs="Arial" w:eastAsia="Arial" w:hAnsi="Arial"/>
                <w:b w:val="false"/>
                <w:bCs w:val="false"/>
                <w:color w:val="000000"/>
                <w:sz w:val="20"/>
                <w:szCs w:val="20"/>
              </w:rPr>
              <w:t xml:space="preserve">~35%</w:t>
            </w:r>
          </w:p>
        </w:tc>
        <w:tc>
          <w:p>
            <w:r>
              <w:rPr>
                <w:rFonts w:ascii="Arial" w:cs="Arial" w:eastAsia="Arial" w:hAnsi="Arial"/>
                <w:b w:val="false"/>
                <w:bCs w:val="false"/>
                <w:color w:val="000000"/>
                <w:sz w:val="20"/>
                <w:szCs w:val="20"/>
              </w:rPr>
              <w:t xml:space="preserve">Disposable; thermochromic tab; liquid probe</w:t>
            </w:r>
          </w:p>
        </w:tc>
      </w:tr>
      <w:tr>
        <w:tc>
          <w:p>
            <w:r>
              <w:rPr>
                <w:rFonts w:ascii="Arial" w:cs="Arial" w:eastAsia="Arial" w:hAnsi="Arial"/>
                <w:b w:val="false"/>
                <w:bCs w:val="false"/>
                <w:color w:val="000000"/>
                <w:sz w:val="20"/>
                <w:szCs w:val="20"/>
              </w:rPr>
              <w:t xml:space="preserve">EP2181688A1</w:t>
            </w:r>
          </w:p>
        </w:tc>
        <w:tc>
          <w:p>
            <w:r>
              <w:rPr>
                <w:rFonts w:ascii="Arial" w:cs="Arial" w:eastAsia="Arial" w:hAnsi="Arial"/>
                <w:b w:val="false"/>
                <w:bCs w:val="false"/>
                <w:color w:val="000000"/>
                <w:sz w:val="20"/>
                <w:szCs w:val="20"/>
              </w:rPr>
              <w:t xml:space="preserve">~15%</w:t>
            </w:r>
          </w:p>
        </w:tc>
        <w:tc>
          <w:p>
            <w:r>
              <w:rPr>
                <w:rFonts w:ascii="Arial" w:cs="Arial" w:eastAsia="Arial" w:hAnsi="Arial"/>
                <w:b w:val="false"/>
                <w:bCs w:val="false"/>
                <w:color w:val="000000"/>
                <w:sz w:val="20"/>
                <w:szCs w:val="20"/>
              </w:rPr>
              <w:t xml:space="preserve">Side-wall thermometer; not a lid</w:t>
            </w:r>
          </w:p>
        </w:tc>
      </w:tr>
      <w:tr>
        <w:tc>
          <w:p>
            <w:r>
              <w:rPr>
                <w:rFonts w:ascii="Arial" w:cs="Arial" w:eastAsia="Arial" w:hAnsi="Arial"/>
                <w:b w:val="false"/>
                <w:bCs w:val="false"/>
                <w:color w:val="000000"/>
                <w:sz w:val="20"/>
                <w:szCs w:val="20"/>
              </w:rPr>
              <w:t xml:space="preserve">US20240377264A1</w:t>
            </w:r>
          </w:p>
        </w:tc>
        <w:tc>
          <w:p>
            <w:r>
              <w:rPr>
                <w:rFonts w:ascii="Arial" w:cs="Arial" w:eastAsia="Arial" w:hAnsi="Arial"/>
                <w:b w:val="false"/>
                <w:bCs w:val="false"/>
                <w:color w:val="000000"/>
                <w:sz w:val="20"/>
                <w:szCs w:val="20"/>
              </w:rPr>
              <w:t xml:space="preserve">~10%</w:t>
            </w:r>
          </w:p>
        </w:tc>
        <w:tc>
          <w:p>
            <w:r>
              <w:rPr>
                <w:rFonts w:ascii="Arial" w:cs="Arial" w:eastAsia="Arial" w:hAnsi="Arial"/>
                <w:b w:val="false"/>
                <w:bCs w:val="false"/>
                <w:color w:val="000000"/>
                <w:sz w:val="20"/>
                <w:szCs w:val="20"/>
              </w:rPr>
              <w:t xml:space="preserve">Ink label for wine bottles; not a lid</w:t>
            </w:r>
          </w:p>
        </w:tc>
      </w:tr>
    </w:tbl>
    <w:p>
      <w:pPr>
        <w:shd w:fill="fff3cd" w:color="auto" w:val="clear"/>
        <w:spacing w:after="80" w:before="200"/>
      </w:pPr>
      <w:r>
        <w:rPr>
          <w:rFonts w:ascii="Arial" w:cs="Arial" w:eastAsia="Arial" w:hAnsi="Arial"/>
          <w:b/>
          <w:bCs/>
          <w:color w:val="cc0000"/>
          <w:sz w:val="22"/>
          <w:szCs w:val="22"/>
        </w:rPr>
        <w:t xml:space="preserve">⚖️ Legal Disclaimer: This document is search signal, not legal advice. The verdict (NOVEL / POTENTIALLY NOVEL / NOT NOVEL) is a technical assessment based on the patents found in this session's tool calls. Patent novelty and freedom-to-operate determinations have legal consequences and require qualified counsel.</w:t>
      </w:r>
    </w:p>
    <w:p>
      <w:pPr>
        <w:shd w:fill="fff3cd" w:color="auto" w:val="clear"/>
        <w:spacing w:after="60"/>
      </w:pPr>
      <w:r>
        <w:rPr>
          <w:rFonts w:ascii="Arial" w:cs="Arial" w:eastAsia="Arial" w:hAnsi="Arial"/>
          <w:sz w:val="22"/>
          <w:szCs w:val="22"/>
        </w:rPr>
        <w:t xml:space="preserve">Before any filing or licensing decision:</w:t>
      </w:r>
    </w:p>
    <w:p>
      <w:pPr>
        <w:shd w:fill="fff3cd" w:color="auto" w:val="clear"/>
        <w:spacing w:after="40"/>
      </w:pPr>
      <w:r>
        <w:rPr>
          <w:rFonts w:ascii="Arial" w:cs="Arial" w:eastAsia="Arial" w:hAnsi="Arial"/>
          <w:sz w:val="22"/>
          <w:szCs w:val="22"/>
        </w:rPr>
        <w:t xml:space="preserve">• Consult a registered patent attorney in your jurisdiction(s)</w:t>
      </w:r>
    </w:p>
    <w:p>
      <w:pPr>
        <w:shd w:fill="fff3cd" w:color="auto" w:val="clear"/>
        <w:spacing w:after="40"/>
      </w:pPr>
      <w:r>
        <w:rPr>
          <w:rFonts w:ascii="Arial" w:cs="Arial" w:eastAsia="Arial" w:hAnsi="Arial"/>
          <w:sz w:val="22"/>
          <w:szCs w:val="22"/>
        </w:rPr>
        <w:t xml:space="preserve">• Provide them this dossier as starting material; they will conduct independent verification + opinion</w:t>
      </w:r>
    </w:p>
    <w:p>
      <w:pPr>
        <w:shd w:fill="fff3cd" w:color="auto" w:val="clear"/>
        <w:spacing w:after="100"/>
      </w:pPr>
      <w:r>
        <w:rPr>
          <w:rFonts w:ascii="Arial" w:cs="Arial" w:eastAsia="Arial" w:hAnsi="Arial"/>
          <w:sz w:val="22"/>
          <w:szCs w:val="22"/>
        </w:rPr>
        <w:t xml:space="preserve">• Their opinion is privileged and admissible; this skill's output is neither. The skill does not establish attorney-client privilege.</w:t>
      </w:r>
    </w:p>
    <w:p>
      <w:pPr>
        <w:pStyle w:val="Heading1"/>
        <w:spacing w:after="150" w:before="300"/>
      </w:pPr>
      <w:r>
        <w:rPr>
          <w:rFonts w:ascii="Arial" w:cs="Arial" w:eastAsia="Arial" w:hAnsi="Arial"/>
          <w:b/>
          <w:bCs/>
          <w:color w:val="1a3a5c"/>
          <w:sz w:val="32"/>
          <w:szCs w:val="32"/>
        </w:rPr>
        <w:t xml:space="preserve">2. Closest Prior Art (Ranked by Relevance)</w:t>
      </w:r>
    </w:p>
    <w:p>
      <w:pPr>
        <w:spacing w:after="120"/>
      </w:pPr>
      <w:r>
        <w:rPr>
          <w:rFonts w:ascii="Arial" w:cs="Arial" w:eastAsia="Arial" w:hAnsi="Arial"/>
          <w:sz w:val="24"/>
          <w:szCs w:val="24"/>
        </w:rPr>
        <w:t xml:space="preserve">The following seven patents (six families after deduplication) were found and verified in this session's searches. Each is cited with hyperlinked patent number, full date hierarchy, independent claim 1, and relevance rationale.</w:t>
      </w:r>
    </w:p>
    <w:p>
      <w:pPr>
        <w:pStyle w:val="Heading2"/>
        <w:spacing w:after="150" w:before="300"/>
      </w:pPr>
      <w:r>
        <w:rPr>
          <w:rFonts w:ascii="Arial" w:cs="Arial" w:eastAsia="Arial" w:hAnsi="Arial"/>
          <w:b/>
          <w:bCs/>
          <w:color w:val="1a3a5c"/>
          <w:sz w:val="26"/>
          <w:szCs w:val="26"/>
        </w:rPr>
        <w:t xml:space="preserve">1. Temperature-indicating device and closure cap</w:t>
      </w:r>
    </w:p>
    <w:p>
      <w:pPr>
        <w:spacing w:after="80"/>
      </w:pPr>
      <w:r>
        <w:rPr>
          <w:rFonts w:ascii="Arial" w:cs="Arial" w:eastAsia="Arial" w:hAnsi="Arial"/>
          <w:b/>
          <w:bCs/>
          <w:sz w:val="24"/>
          <w:szCs w:val="24"/>
        </w:rPr>
        <w:t xml:space="preserve">Patent: </w:t>
      </w:r>
      <w:hyperlink w:history="1" r:id="rIdmkqkyb_q6ja8iatwqxp2x">
        <w:r>
          <w:rPr>
            <w:rStyle w:val="Hyperlink"/>
            <w:rFonts w:ascii="Arial" w:cs="Arial" w:eastAsia="Arial" w:hAnsi="Arial"/>
            <w:color w:val="0563c1"/>
            <w:sz w:val="24"/>
            <w:szCs w:val="24"/>
            <w:u w:val="single"/>
          </w:rPr>
          <w:t xml:space="preserve">US2866338</w:t>
        </w:r>
      </w:hyperlink>
      <w:r>
        <w:rPr>
          <w:rFonts w:ascii="Arial" w:cs="Arial" w:eastAsia="Arial" w:hAnsi="Arial"/>
          <w:sz w:val="24"/>
          <w:szCs w:val="24"/>
        </w:rPr>
        <w:t xml:space="preserve">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1953-08-31</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1953-08-31</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1958-12-30</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1958-12-30</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Hrand M. Muncheryan (Individual)</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Expired - Lifetime</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Hrand M. Muncheryan</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B65D 79/02; US Cl. 73-343</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"A temperature-indicating device and closure cap, comprising an annulus adapted to be secured on a nursing milk bottle and having an internal flange providing a centrally located aperture, a cap member having a dome with a magnifying window therein, the end opposite said dome being closed by a cover plate hermetically sealed thereon, forming a chamber therein, a pin axially extending between said cover plate and said dome, a thermostatic element spirally disposed around said pin and having one end secured to said pin and its other end to an indicating dial transversely disposed in said chamber between said window and said thermostatic element, said indicating dial having a plurality of colored areas consecutively arranged thereon and being rotative, by means of said thermostatic element, around said pin and relative to the window…"</w:t>
      </w:r>
    </w:p>
    <w:p>
      <w:pPr>
        <w:spacing w:before="80"/>
      </w:pPr>
      <w:r>
        <w:rPr>
          <w:rFonts w:ascii="Arial" w:cs="Arial" w:eastAsia="Arial" w:hAnsi="Arial"/>
          <w:b/>
          <w:bCs/>
          <w:sz w:val="24"/>
          <w:szCs w:val="24"/>
        </w:rPr>
        <w:t xml:space="preserve">Relevance Score: ~50%</w:t>
      </w:r>
    </w:p>
    <w:p>
      <w:pPr>
        <w:spacing w:after="120"/>
      </w:pPr>
      <w:r>
        <w:rPr>
          <w:rFonts w:ascii="Arial" w:cs="Arial" w:eastAsia="Arial" w:hAnsi="Arial"/>
          <w:sz w:val="24"/>
          <w:szCs w:val="24"/>
        </w:rPr>
        <w:t xml:space="preserve">Closest prior art. Teaches bimetallic spiral thermostatic element inside a closure cap with rotating colored dial (blue/green/red) behind magnifying window — battery-free, mechanical, reusable. Key differences: (1) heat conducted through metal cover plate, NOT steam pressure; (2) designed for nursing bottles, not reusable hot-beverage cup lids; (3) rotating dial behind window, not top-surface color change; (4) general temperature indication, not specific burn warning.</w:t>
      </w:r>
    </w:p>
    <w:p>
      <w:pPr>
        <w:pStyle w:val="Heading2"/>
        <w:spacing w:after="150" w:before="300"/>
      </w:pPr>
      <w:r>
        <w:rPr>
          <w:rFonts w:ascii="Arial" w:cs="Arial" w:eastAsia="Arial" w:hAnsi="Arial"/>
          <w:b/>
          <w:bCs/>
          <w:color w:val="1a3a5c"/>
          <w:sz w:val="26"/>
          <w:szCs w:val="26"/>
        </w:rPr>
        <w:t xml:space="preserve">2. Temperature-indicating device and closure cap (continuation)</w:t>
      </w:r>
    </w:p>
    <w:p>
      <w:pPr>
        <w:spacing w:after="80"/>
      </w:pPr>
      <w:r>
        <w:rPr>
          <w:rFonts w:ascii="Arial" w:cs="Arial" w:eastAsia="Arial" w:hAnsi="Arial"/>
          <w:b/>
          <w:bCs/>
          <w:sz w:val="24"/>
          <w:szCs w:val="24"/>
        </w:rPr>
        <w:t xml:space="preserve">Patent: </w:t>
      </w:r>
      <w:hyperlink w:history="1" r:id="rIdqiss8njtvwnuhhrzz6yn_">
        <w:r>
          <w:rPr>
            <w:rStyle w:val="Hyperlink"/>
            <w:rFonts w:ascii="Arial" w:cs="Arial" w:eastAsia="Arial" w:hAnsi="Arial"/>
            <w:color w:val="0563c1"/>
            <w:sz w:val="24"/>
            <w:szCs w:val="24"/>
            <w:u w:val="single"/>
          </w:rPr>
          <w:t xml:space="preserve">US2953921A</w:t>
        </w:r>
      </w:hyperlink>
      <w:r>
        <w:rPr>
          <w:rFonts w:ascii="Arial" w:cs="Arial" w:eastAsia="Arial" w:hAnsi="Arial"/>
          <w:sz w:val="24"/>
          <w:szCs w:val="24"/>
        </w:rPr>
        <w:t xml:space="preserve">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1957-06-24</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1957-06-24</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1960-09-27</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1960-09-27</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Hrand M. Muncheryan (Individual)</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Expired - Lifetime</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Hrand M. Muncheryan</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B65D 79/02 (family member of US2866338)</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"A temperature-indicating device and closure cap, comprising an annular housing provided with an apertured closure at one end and adapted to be secured on a baby-nursing milk bottle, a thermoconductive circular plate having a centrally recessed portion with engagement means provided thereon being disposed within said annular housing in abutment therewith… and a cylindrical plug having a temperature indicator disposed in the apertured portion of said closure… a thermosensitive element confined within said chamber… resilient means to bias said flanged end against said thermosensitive element so as to form a reciprocating motion under changes of temperature to indicate the temperature condition of the contents of said milk bottle."</w:t>
      </w:r>
    </w:p>
    <w:p>
      <w:pPr>
        <w:spacing w:before="80"/>
      </w:pPr>
      <w:r>
        <w:rPr>
          <w:rFonts w:ascii="Arial" w:cs="Arial" w:eastAsia="Arial" w:hAnsi="Arial"/>
          <w:b/>
          <w:bCs/>
          <w:sz w:val="24"/>
          <w:szCs w:val="24"/>
        </w:rPr>
        <w:t xml:space="preserve">Relevance Score: ~45%</w:t>
      </w:r>
    </w:p>
    <w:p>
      <w:pPr>
        <w:spacing w:after="120"/>
      </w:pPr>
      <w:r>
        <w:rPr>
          <w:rFonts w:ascii="Arial" w:cs="Arial" w:eastAsia="Arial" w:hAnsi="Arial"/>
          <w:sz w:val="24"/>
          <w:szCs w:val="24"/>
        </w:rPr>
        <w:t xml:space="preserve">Family member (continuation-in-part) of US2866338 by same inventor. Uses bimetallic strip thermosensitive element that drives a reciprocating/piston-style color-banded indicator protruding through the cap aperture. Same actuation principle (conducted heat, not steam pressure), same baby-bottle context. Adds alternative bimetallic strip configuration but does not change the fundamental distinctions from the claimed invention.</w:t>
      </w:r>
    </w:p>
    <w:p>
      <w:pPr>
        <w:pStyle w:val="Heading2"/>
        <w:spacing w:after="150" w:before="300"/>
      </w:pPr>
      <w:r>
        <w:rPr>
          <w:rFonts w:ascii="Arial" w:cs="Arial" w:eastAsia="Arial" w:hAnsi="Arial"/>
          <w:b/>
          <w:bCs/>
          <w:color w:val="1a3a5c"/>
          <w:sz w:val="26"/>
          <w:szCs w:val="26"/>
        </w:rPr>
        <w:t xml:space="preserve">3. Temperature indicating container and lid apparatus</w:t>
      </w:r>
    </w:p>
    <w:p>
      <w:pPr>
        <w:spacing w:after="80"/>
      </w:pPr>
      <w:r>
        <w:rPr>
          <w:rFonts w:ascii="Arial" w:cs="Arial" w:eastAsia="Arial" w:hAnsi="Arial"/>
          <w:b/>
          <w:bCs/>
          <w:sz w:val="24"/>
          <w:szCs w:val="24"/>
        </w:rPr>
        <w:t xml:space="preserve">Patent: </w:t>
      </w:r>
      <w:hyperlink w:history="1" r:id="rIdrjf7uacwsdyuct_vw3zui">
        <w:r>
          <w:rPr>
            <w:rStyle w:val="Hyperlink"/>
            <w:rFonts w:ascii="Arial" w:cs="Arial" w:eastAsia="Arial" w:hAnsi="Arial"/>
            <w:color w:val="0563c1"/>
            <w:sz w:val="24"/>
            <w:szCs w:val="24"/>
            <w:u w:val="single"/>
          </w:rPr>
          <w:t xml:space="preserve">US5720555A</w:t>
        </w:r>
      </w:hyperlink>
      <w:r>
        <w:rPr>
          <w:rFonts w:ascii="Arial" w:cs="Arial" w:eastAsia="Arial" w:hAnsi="Arial"/>
          <w:sz w:val="24"/>
          <w:szCs w:val="24"/>
        </w:rPr>
        <w:t xml:space="preserve">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1996-05-24</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1996-05-24</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1998-02-24</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1998-02-24</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James N. Elele (Individual)</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Expired - Fee Related</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James N. Elele</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Not classified in B65D 79/02</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"A temperature indicating container apparatus, comprising: an inner container portion made from substantially heat insulative material, wherein said inner container portion includes an inside, material-containing surface and an outside surface, a thermochromic-substance-containing portion juxtaposed against said outside surface of said inner container portion, such that color changes of said thermochromic-substance-containing portion can be seen; a lid assembly which includes: a lid portion for covering said inner container portion and said thermochromic-substance-containing portion, wherein said lid assembly further includes a heat-responsive orientation-changeable signal assembly connected to a top surface of said lid portion."</w:t>
      </w:r>
    </w:p>
    <w:p>
      <w:pPr>
        <w:spacing w:before="80"/>
      </w:pPr>
      <w:r>
        <w:rPr>
          <w:rFonts w:ascii="Arial" w:cs="Arial" w:eastAsia="Arial" w:hAnsi="Arial"/>
          <w:b/>
          <w:bCs/>
          <w:sz w:val="24"/>
          <w:szCs w:val="24"/>
        </w:rPr>
        <w:t xml:space="preserve">Relevance Score: ~40%</w:t>
      </w:r>
    </w:p>
    <w:p>
      <w:pPr>
        <w:spacing w:after="120"/>
      </w:pPr>
      <w:r>
        <w:rPr>
          <w:rFonts w:ascii="Arial" w:cs="Arial" w:eastAsia="Arial" w:hAnsi="Arial"/>
          <w:sz w:val="24"/>
          <w:szCs w:val="24"/>
        </w:rPr>
        <w:t xml:space="preserve">Teaches container + lid with thermochromic jacket AND a heat-responsive pop-up signal on lid top. The orientation-changeable signal uses heat-softening adhesive or shape-memory plastic — a mechanical/thermal actuator, but NOT bimetallic. Actuation is by conducted heat through lid, not steam pressure. Covers 'hot' warning on lid top surface but relies on thermochromic chemistry, not bimetallic mechanical color change.</w:t>
      </w:r>
    </w:p>
    <w:p>
      <w:pPr>
        <w:pStyle w:val="Heading2"/>
        <w:spacing w:after="150" w:before="300"/>
      </w:pPr>
      <w:r>
        <w:rPr>
          <w:rFonts w:ascii="Arial" w:cs="Arial" w:eastAsia="Arial" w:hAnsi="Arial"/>
          <w:b/>
          <w:bCs/>
          <w:color w:val="1a3a5c"/>
          <w:sz w:val="26"/>
          <w:szCs w:val="26"/>
        </w:rPr>
        <w:t xml:space="preserve">4. Thermochromic method and device for use relative to a product container</w:t>
      </w:r>
    </w:p>
    <w:p>
      <w:pPr>
        <w:spacing w:after="80"/>
      </w:pPr>
      <w:r>
        <w:rPr>
          <w:rFonts w:ascii="Arial" w:cs="Arial" w:eastAsia="Arial" w:hAnsi="Arial"/>
          <w:b/>
          <w:bCs/>
          <w:sz w:val="24"/>
          <w:szCs w:val="24"/>
        </w:rPr>
        <w:t xml:space="preserve">Patent: </w:t>
      </w:r>
      <w:hyperlink w:history="1" r:id="rIdpy8ommqpcwig8oqksgrje">
        <w:r>
          <w:rPr>
            <w:rStyle w:val="Hyperlink"/>
            <w:rFonts w:ascii="Arial" w:cs="Arial" w:eastAsia="Arial" w:hAnsi="Arial"/>
            <w:color w:val="0563c1"/>
            <w:sz w:val="24"/>
            <w:szCs w:val="24"/>
            <w:u w:val="single"/>
          </w:rPr>
          <w:t xml:space="preserve">US6579006B1</w:t>
        </w:r>
      </w:hyperlink>
      <w:r>
        <w:rPr>
          <w:rFonts w:ascii="Arial" w:cs="Arial" w:eastAsia="Arial" w:hAnsi="Arial"/>
          <w:sz w:val="24"/>
          <w:szCs w:val="24"/>
        </w:rPr>
        <w:t xml:space="preserve">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2000-08-25</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2000-08-25</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2003-06-17</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2003-06-17</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Blake Pariseau (Individual)</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Expired - Lifetime</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Blake Pariseau</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Not classified in B65D 79/02</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"A thermochromic device for use relative to a product container that provides a thermochromic indication of a temperature of a volume of product that is retained within an open inner volume of the product container, the thermochromic device comprising: a first image display for displaying a given first image; a second image display for displaying a given second image wherein the second image display comprises a layer of thermochromic material with an active temperature range over which the second image becomes visible; at least an upper surface of a product container wherein the upper surface has a top side and a bottom side; a depression in the top side of the upper surface of the product container; wherein the depression projects beyond at least an adjacent portion of the bottom side of the upper surface; wherein the first and second image displays are applied to the upper surface of the product container with the first and second image displays at least partially applied within the depression."</w:t>
      </w:r>
    </w:p>
    <w:p>
      <w:pPr>
        <w:spacing w:before="80"/>
      </w:pPr>
      <w:r>
        <w:rPr>
          <w:rFonts w:ascii="Arial" w:cs="Arial" w:eastAsia="Arial" w:hAnsi="Arial"/>
          <w:b/>
          <w:bCs/>
          <w:sz w:val="24"/>
          <w:szCs w:val="24"/>
        </w:rPr>
        <w:t xml:space="preserve">Relevance Score: ~35%</w:t>
      </w:r>
    </w:p>
    <w:p>
      <w:pPr>
        <w:spacing w:after="120"/>
      </w:pPr>
      <w:r>
        <w:rPr>
          <w:rFonts w:ascii="Arial" w:cs="Arial" w:eastAsia="Arial" w:hAnsi="Arial"/>
          <w:sz w:val="24"/>
          <w:szCs w:val="24"/>
        </w:rPr>
        <w:t xml:space="preserve">Explicitly covers thermochromic image displays on a removable lid for coffee cups/soup bowls to indicate 'potentially dangerous hot' via red color. Layered thermochromic inks in a depression that dips into liquid. Key gaps: NOT bimetallic/mechanical, NOT steam-pressure driven (liquid-contact depression), NOT reusable in the claimed sense (disposable containers). Strong on burn-warning + lid-top color change, weak on mechanical/steam-pressure elements.</w:t>
      </w:r>
    </w:p>
    <w:p>
      <w:pPr>
        <w:pStyle w:val="Heading2"/>
        <w:spacing w:after="150" w:before="300"/>
      </w:pPr>
      <w:r>
        <w:rPr>
          <w:rFonts w:ascii="Arial" w:cs="Arial" w:eastAsia="Arial" w:hAnsi="Arial"/>
          <w:b/>
          <w:bCs/>
          <w:color w:val="1a3a5c"/>
          <w:sz w:val="26"/>
          <w:szCs w:val="26"/>
        </w:rPr>
        <w:t xml:space="preserve">5. Temperature-indicating disposable lid for beverage container</w:t>
      </w:r>
    </w:p>
    <w:p>
      <w:pPr>
        <w:spacing w:after="80"/>
      </w:pPr>
      <w:r>
        <w:rPr>
          <w:rFonts w:ascii="Arial" w:cs="Arial" w:eastAsia="Arial" w:hAnsi="Arial"/>
          <w:b/>
          <w:bCs/>
          <w:sz w:val="24"/>
          <w:szCs w:val="24"/>
        </w:rPr>
        <w:t xml:space="preserve">Patent: </w:t>
      </w:r>
      <w:hyperlink w:history="1" r:id="rIdwkdfalbb8v6qxcn8coh4p">
        <w:r>
          <w:rPr>
            <w:rStyle w:val="Hyperlink"/>
            <w:rFonts w:ascii="Arial" w:cs="Arial" w:eastAsia="Arial" w:hAnsi="Arial"/>
            <w:color w:val="0563c1"/>
            <w:sz w:val="24"/>
            <w:szCs w:val="24"/>
            <w:u w:val="single"/>
          </w:rPr>
          <w:t xml:space="preserve">US20050178773A1</w:t>
        </w:r>
      </w:hyperlink>
      <w:r>
        <w:rPr>
          <w:rFonts w:ascii="Arial" w:cs="Arial" w:eastAsia="Arial" w:hAnsi="Arial"/>
          <w:sz w:val="24"/>
          <w:szCs w:val="24"/>
        </w:rPr>
        <w:t xml:space="preserve">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2004-02-17</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2004-02-17</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2005-08-18</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Not granted (Abandoned)</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Kim Sena, Mark McKitrick, Suzanne Sena (Individual)</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Abandoned</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Kim Sena; Mark McKitrick; Suzanne Sena</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Not classified in B65D 79/02</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"A temperature-indicating apparatus adapted for use with a liquid container and a lid receivable at an upper portion of said container, said apparatus comprising: recessed means associated with a planar surface of said lid, said recessed means having temperature threshold means for indicating the temperature of a liquid contacting said threshold means, relative to a threshold temperature."</w:t>
      </w:r>
    </w:p>
    <w:p>
      <w:pPr>
        <w:spacing w:before="80"/>
      </w:pPr>
      <w:r>
        <w:rPr>
          <w:rFonts w:ascii="Arial" w:cs="Arial" w:eastAsia="Arial" w:hAnsi="Arial"/>
          <w:b/>
          <w:bCs/>
          <w:sz w:val="24"/>
          <w:szCs w:val="24"/>
        </w:rPr>
        <w:t xml:space="preserve">Relevance Score: ~35%</w:t>
      </w:r>
    </w:p>
    <w:p>
      <w:pPr>
        <w:spacing w:after="120"/>
      </w:pPr>
      <w:r>
        <w:rPr>
          <w:rFonts w:ascii="Arial" w:cs="Arial" w:eastAsia="Arial" w:hAnsi="Arial"/>
          <w:sz w:val="24"/>
          <w:szCs w:val="24"/>
        </w:rPr>
        <w:t xml:space="preserve">Directly addresses beverage-container lid with hot-warning color change for burn prevention. Uses a non-permeable tapered cylindrical protrusion extending into liquid with a thermochromic tab at distal end. Key gaps: disposable (not reusable), chemical/thermochromic (not bimetallic/mechanical), liquid-contact probe (not steam pressure). Abandoned application — no granted claims, but published specification is still prior art as of its publication date.</w:t>
      </w:r>
    </w:p>
    <w:p>
      <w:pPr>
        <w:pStyle w:val="Heading2"/>
        <w:spacing w:after="150" w:before="300"/>
      </w:pPr>
      <w:r>
        <w:rPr>
          <w:rFonts w:ascii="Arial" w:cs="Arial" w:eastAsia="Arial" w:hAnsi="Arial"/>
          <w:b/>
          <w:bCs/>
          <w:color w:val="1a3a5c"/>
          <w:sz w:val="26"/>
          <w:szCs w:val="26"/>
        </w:rPr>
        <w:t xml:space="preserve">6. Baby feeding bottle with temperature indicator</w:t>
      </w:r>
    </w:p>
    <w:p>
      <w:pPr>
        <w:spacing w:after="80"/>
      </w:pPr>
      <w:r>
        <w:rPr>
          <w:rFonts w:ascii="Arial" w:cs="Arial" w:eastAsia="Arial" w:hAnsi="Arial"/>
          <w:b/>
          <w:bCs/>
          <w:sz w:val="24"/>
          <w:szCs w:val="24"/>
        </w:rPr>
        <w:t xml:space="preserve">Patent: </w:t>
      </w:r>
      <w:hyperlink w:history="1" r:id="rIdxrmkzyptxy2n4snzvrqyc">
        <w:r>
          <w:rPr>
            <w:rStyle w:val="Hyperlink"/>
            <w:rFonts w:ascii="Arial" w:cs="Arial" w:eastAsia="Arial" w:hAnsi="Arial"/>
            <w:color w:val="0563c1"/>
            <w:sz w:val="24"/>
            <w:szCs w:val="24"/>
            <w:u w:val="single"/>
          </w:rPr>
          <w:t xml:space="preserve">EP2181688A1</w:t>
        </w:r>
      </w:hyperlink>
      <w:r>
        <w:rPr>
          <w:rFonts w:ascii="Arial" w:cs="Arial" w:eastAsia="Arial" w:hAnsi="Arial"/>
          <w:sz w:val="24"/>
          <w:szCs w:val="24"/>
        </w:rPr>
        <w:t xml:space="preserve">  (EP)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2008-08-08</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2008-08-08</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2010-05-05</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Not granted (Ceased)</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Koninklijke Philips Electronics N.V.</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Ceased</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(designation not yet filed)</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Not classified in B65D 79/02</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"Food container, comprising: a hollow vessel comprising an integral side wall, an end wall and being open at the other end; a thermometer disposed on the side wall, said thermometer having temperature indications in a selected temperature range around a target temperature; wherein the temperature indications of the selected temperature range are arranged on a non-linear scale, having the highest accuracy in a first range around the target temperature, and having a lower accuracy in a second range below the target temperature and in a third range above the target temperature."</w:t>
      </w:r>
    </w:p>
    <w:p>
      <w:pPr>
        <w:spacing w:before="80"/>
      </w:pPr>
      <w:r>
        <w:rPr>
          <w:rFonts w:ascii="Arial" w:cs="Arial" w:eastAsia="Arial" w:hAnsi="Arial"/>
          <w:b/>
          <w:bCs/>
          <w:sz w:val="24"/>
          <w:szCs w:val="24"/>
        </w:rPr>
        <w:t xml:space="preserve">Relevance Score: ~15%</w:t>
      </w:r>
    </w:p>
    <w:p>
      <w:pPr>
        <w:spacing w:after="120"/>
      </w:pPr>
      <w:r>
        <w:rPr>
          <w:rFonts w:ascii="Arial" w:cs="Arial" w:eastAsia="Arial" w:hAnsi="Arial"/>
          <w:sz w:val="24"/>
          <w:szCs w:val="24"/>
        </w:rPr>
        <w:t xml:space="preserve">EP prior art showing temperature indication on baby bottles. Thermometer is on side wall (not lid), uses liquid crystal strip or thermochromic/leuco dye (not bimetallic), and targets 37°C feeding temperature (not burn warning for hot beverages). Low relevance but confirms the European landscape for beverage-container temperature indicators.</w:t>
      </w:r>
    </w:p>
    <w:p>
      <w:pPr>
        <w:pStyle w:val="Heading2"/>
        <w:spacing w:after="150" w:before="300"/>
      </w:pPr>
      <w:r>
        <w:rPr>
          <w:rFonts w:ascii="Arial" w:cs="Arial" w:eastAsia="Arial" w:hAnsi="Arial"/>
          <w:b/>
          <w:bCs/>
          <w:color w:val="1a3a5c"/>
          <w:sz w:val="26"/>
          <w:szCs w:val="26"/>
        </w:rPr>
        <w:t xml:space="preserve">7. Temperature Monitoring and Indicator Label System for Beverage Containers</w:t>
      </w:r>
    </w:p>
    <w:p>
      <w:pPr>
        <w:spacing w:after="80"/>
      </w:pPr>
      <w:r>
        <w:rPr>
          <w:rFonts w:ascii="Arial" w:cs="Arial" w:eastAsia="Arial" w:hAnsi="Arial"/>
          <w:b/>
          <w:bCs/>
          <w:sz w:val="24"/>
          <w:szCs w:val="24"/>
        </w:rPr>
        <w:t xml:space="preserve">Patent: </w:t>
      </w:r>
      <w:hyperlink w:history="1" r:id="rIddqfni76bxzzuogtnmtund">
        <w:r>
          <w:rPr>
            <w:rStyle w:val="Hyperlink"/>
            <w:rFonts w:ascii="Arial" w:cs="Arial" w:eastAsia="Arial" w:hAnsi="Arial"/>
            <w:color w:val="0563c1"/>
            <w:sz w:val="24"/>
            <w:szCs w:val="24"/>
            <w:u w:val="single"/>
          </w:rPr>
          <w:t xml:space="preserve">US20240377264A1</w:t>
        </w:r>
      </w:hyperlink>
      <w:r>
        <w:rPr>
          <w:rFonts w:ascii="Arial" w:cs="Arial" w:eastAsia="Arial" w:hAnsi="Arial"/>
          <w:sz w:val="24"/>
          <w:szCs w:val="24"/>
        </w:rPr>
        <w:t xml:space="preserve">  (US)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f0f8" w:color="auto" w:val="clear"/>
          </w:tcPr>
          <w:p>
            <w:r>
              <w:rPr>
                <w:rFonts w:ascii="Arial" w:cs="Arial" w:eastAsia="Arial" w:hAnsi="Arial"/>
                <w:b/>
                <w:bCs/>
                <w:color w:val="1a3a5c"/>
                <w:sz w:val="22"/>
                <w:szCs w:val="22"/>
              </w:rPr>
              <w:t xml:space="preserve">Priority Date</w:t>
            </w:r>
          </w:p>
        </w:tc>
        <w:tc>
          <w:tcPr>
            <w:tcW w:type="pct" w:w="25%"/>
          </w:tcPr>
          <w:p>
            <w:r>
              <w:rPr>
                <w:rFonts w:ascii="Arial" w:cs="Arial" w:eastAsia="Arial" w:hAnsi="Arial"/>
                <w:b w:val="false"/>
                <w:bCs w:val="false"/>
                <w:color w:val="000000"/>
                <w:sz w:val="20"/>
                <w:szCs w:val="20"/>
              </w:rPr>
              <w:t xml:space="preserve">2024-05-10</w:t>
            </w:r>
          </w:p>
        </w:tc>
        <w:tc>
          <w:tcPr>
            <w:tcW w:type="pct" w:w="25%"/>
            <w:shd w:fill="e8f0f8" w:color="auto" w:val="clear"/>
          </w:tcPr>
          <w:p>
            <w:r>
              <w:rPr>
                <w:rFonts w:ascii="Arial" w:cs="Arial" w:eastAsia="Arial" w:hAnsi="Arial"/>
                <w:b/>
                <w:bCs/>
                <w:color w:val="1a3a5c"/>
                <w:sz w:val="22"/>
                <w:szCs w:val="22"/>
              </w:rPr>
              <w:t xml:space="preserve">Filing Date</w:t>
            </w:r>
          </w:p>
        </w:tc>
        <w:tc>
          <w:tcPr>
            <w:tcW w:type="pct" w:w="25%"/>
          </w:tcPr>
          <w:p>
            <w:r>
              <w:rPr>
                <w:rFonts w:ascii="Arial" w:cs="Arial" w:eastAsia="Arial" w:hAnsi="Arial"/>
                <w:b w:val="false"/>
                <w:bCs w:val="false"/>
                <w:color w:val="000000"/>
                <w:sz w:val="20"/>
                <w:szCs w:val="20"/>
              </w:rPr>
              <w:t xml:space="preserve">2024-05-10</w:t>
            </w:r>
          </w:p>
        </w:tc>
      </w:tr>
      <w:tr>
        <w:tc>
          <w:tcPr>
            <w:shd w:fill="e8f0f8" w:color="auto" w:val="clear"/>
          </w:tcPr>
          <w:p>
            <w:r>
              <w:rPr>
                <w:rFonts w:ascii="Arial" w:cs="Arial" w:eastAsia="Arial" w:hAnsi="Arial"/>
                <w:b/>
                <w:bCs/>
                <w:color w:val="1a3a5c"/>
                <w:sz w:val="22"/>
                <w:szCs w:val="22"/>
              </w:rPr>
              <w:t xml:space="preserve">Publication Date</w:t>
            </w:r>
          </w:p>
        </w:tc>
        <w:tc>
          <w:p>
            <w:r>
              <w:rPr>
                <w:rFonts w:ascii="Arial" w:cs="Arial" w:eastAsia="Arial" w:hAnsi="Arial"/>
                <w:b w:val="false"/>
                <w:bCs w:val="false"/>
                <w:color w:val="000000"/>
                <w:sz w:val="20"/>
                <w:szCs w:val="20"/>
              </w:rPr>
              <w:t xml:space="preserve">2024-11-14</w:t>
            </w:r>
          </w:p>
        </w:tc>
        <w:tc>
          <w:tcPr>
            <w:shd w:fill="e8f0f8" w:color="auto" w:val="clear"/>
          </w:tcPr>
          <w:p>
            <w:r>
              <w:rPr>
                <w:rFonts w:ascii="Arial" w:cs="Arial" w:eastAsia="Arial" w:hAnsi="Arial"/>
                <w:b/>
                <w:bCs/>
                <w:color w:val="1a3a5c"/>
                <w:sz w:val="22"/>
                <w:szCs w:val="22"/>
              </w:rPr>
              <w:t xml:space="preserve">Grant Date</w:t>
            </w:r>
          </w:p>
        </w:tc>
        <w:tc>
          <w:p>
            <w:r>
              <w:rPr>
                <w:rFonts w:ascii="Arial" w:cs="Arial" w:eastAsia="Arial" w:hAnsi="Arial"/>
                <w:b w:val="false"/>
                <w:bCs w:val="false"/>
                <w:color w:val="000000"/>
                <w:sz w:val="20"/>
                <w:szCs w:val="20"/>
              </w:rPr>
              <w:t xml:space="preserve">Pending</w:t>
            </w:r>
          </w:p>
        </w:tc>
      </w:tr>
      <w:tr>
        <w:tc>
          <w:tcPr>
            <w:shd w:fill="e8f0f8" w:color="auto" w:val="clear"/>
          </w:tcPr>
          <w:p>
            <w:r>
              <w:rPr>
                <w:rFonts w:ascii="Arial" w:cs="Arial" w:eastAsia="Arial" w:hAnsi="Arial"/>
                <w:b/>
                <w:bCs/>
                <w:color w:val="1a3a5c"/>
                <w:sz w:val="22"/>
                <w:szCs w:val="22"/>
              </w:rPr>
              <w:t xml:space="preserve">Assignee</w:t>
            </w:r>
          </w:p>
        </w:tc>
        <w:tc>
          <w:p>
            <w:r>
              <w:rPr>
                <w:rFonts w:ascii="Arial" w:cs="Arial" w:eastAsia="Arial" w:hAnsi="Arial"/>
                <w:b w:val="false"/>
                <w:bCs w:val="false"/>
                <w:color w:val="000000"/>
                <w:sz w:val="20"/>
                <w:szCs w:val="20"/>
              </w:rPr>
              <w:t xml:space="preserve">Alison Cary Eldred; Timothy Stuart Lunceford (Individual)</w:t>
            </w:r>
          </w:p>
        </w:tc>
        <w:tc>
          <w:tcPr>
            <w:shd w:fill="e8f0f8" w:color="auto" w:val="clear"/>
          </w:tcPr>
          <w:p>
            <w:r>
              <w:rPr>
                <w:rFonts w:ascii="Arial" w:cs="Arial" w:eastAsia="Arial" w:hAnsi="Arial"/>
                <w:b/>
                <w:bCs/>
                <w:color w:val="1a3a5c"/>
                <w:sz w:val="22"/>
                <w:szCs w:val="22"/>
              </w:rPr>
              <w:t xml:space="preserve">Status</w:t>
            </w:r>
          </w:p>
        </w:tc>
        <w:tc>
          <w:p>
            <w:r>
              <w:rPr>
                <w:rFonts w:ascii="Arial" w:cs="Arial" w:eastAsia="Arial" w:hAnsi="Arial"/>
                <w:b w:val="false"/>
                <w:bCs w:val="false"/>
                <w:color w:val="000000"/>
                <w:sz w:val="20"/>
                <w:szCs w:val="20"/>
              </w:rPr>
              <w:t xml:space="preserve">Pending</w:t>
            </w:r>
          </w:p>
        </w:tc>
      </w:tr>
      <w:tr>
        <w:tc>
          <w:tcPr>
            <w:shd w:fill="e8f0f8" w:color="auto" w:val="clear"/>
          </w:tcPr>
          <w:p>
            <w:r>
              <w:rPr>
                <w:rFonts w:ascii="Arial" w:cs="Arial" w:eastAsia="Arial" w:hAnsi="Arial"/>
                <w:b/>
                <w:bCs/>
                <w:color w:val="1a3a5c"/>
                <w:sz w:val="22"/>
                <w:szCs w:val="22"/>
              </w:rPr>
              <w:t xml:space="preserve">Inventor(s)</w:t>
            </w:r>
          </w:p>
        </w:tc>
        <w:tc>
          <w:p>
            <w:r>
              <w:rPr>
                <w:rFonts w:ascii="Arial" w:cs="Arial" w:eastAsia="Arial" w:hAnsi="Arial"/>
                <w:b w:val="false"/>
                <w:bCs w:val="false"/>
                <w:color w:val="000000"/>
                <w:sz w:val="20"/>
                <w:szCs w:val="20"/>
              </w:rPr>
              <w:t xml:space="preserve">Alison Cary Eldred; Timothy Stuart Lunceford</w:t>
            </w:r>
          </w:p>
        </w:tc>
        <w:tc>
          <w:tcPr>
            <w:shd w:fill="e8f0f8" w:color="auto" w:val="clear"/>
          </w:tcPr>
          <w:p>
            <w:r>
              <w:rPr>
                <w:rFonts w:ascii="Arial" w:cs="Arial" w:eastAsia="Arial" w:hAnsi="Arial"/>
                <w:b/>
                <w:bCs/>
                <w:color w:val="1a3a5c"/>
                <w:sz w:val="22"/>
                <w:szCs w:val="22"/>
              </w:rPr>
              <w:t xml:space="preserve">CPC/Class</w:t>
            </w:r>
          </w:p>
        </w:tc>
        <w:tc>
          <w:p>
            <w:r>
              <w:rPr>
                <w:rFonts w:ascii="Arial" w:cs="Arial" w:eastAsia="Arial" w:hAnsi="Arial"/>
                <w:b w:val="false"/>
                <w:bCs w:val="false"/>
                <w:color w:val="000000"/>
                <w:sz w:val="20"/>
                <w:szCs w:val="20"/>
              </w:rPr>
              <w:t xml:space="preserve">G01K 11/16</w:t>
            </w:r>
          </w:p>
        </w:tc>
      </w:tr>
    </w:tbl>
    <w:p>
      <w:pPr>
        <w:spacing w:before="100"/>
      </w:pPr>
      <w:r>
        <w:rPr>
          <w:rFonts w:ascii="Arial" w:cs="Arial" w:eastAsia="Arial" w:hAnsi="Arial"/>
          <w:b/>
          <w:bCs/>
          <w:color w:val="1a3a5c"/>
          <w:sz w:val="24"/>
          <w:szCs w:val="24"/>
        </w:rPr>
        <w:t xml:space="preserve">Independent Claim 1:</w:t>
      </w:r>
    </w:p>
    <w:p>
      <w:pPr>
        <w:spacing w:after="100"/>
        <w:ind w:left="400"/>
      </w:pPr>
      <w:r>
        <w:rPr>
          <w:rFonts w:ascii="Arial" w:cs="Arial" w:eastAsia="Arial" w:hAnsi="Arial"/>
          <w:i/>
          <w:iCs/>
          <w:color w:val="666666"/>
          <w:sz w:val="22"/>
          <w:szCs w:val="22"/>
        </w:rPr>
        <w:t xml:space="preserve">"A temperature monitoring and notifying system for reflecting the temperature of wine within a wine bottle relative to a desired temperature for consuming the wine, the system comprising: a substrate affixed to a beverage container; a first temperature sensitive ink affixed to or integral with the substrate, the first temperature sensitive ink being calibrated to change its appearance when a first desired temperature has been reached; and a second temperature sensitive ink affixed to or integral with the substrate, the second temperature sensitive ink being calibrated to change its appearance when a second desired temperature has been reached."</w:t>
      </w:r>
    </w:p>
    <w:p>
      <w:pPr>
        <w:spacing w:before="80"/>
      </w:pPr>
      <w:r>
        <w:rPr>
          <w:rFonts w:ascii="Arial" w:cs="Arial" w:eastAsia="Arial" w:hAnsi="Arial"/>
          <w:b/>
          <w:bCs/>
          <w:sz w:val="24"/>
          <w:szCs w:val="24"/>
        </w:rPr>
        <w:t xml:space="preserve">Relevance Score: ~10%</w:t>
      </w:r>
    </w:p>
    <w:p>
      <w:pPr>
        <w:spacing w:after="120"/>
      </w:pPr>
      <w:r>
        <w:rPr>
          <w:rFonts w:ascii="Arial" w:cs="Arial" w:eastAsia="Arial" w:hAnsi="Arial"/>
          <w:sz w:val="24"/>
          <w:szCs w:val="24"/>
        </w:rPr>
        <w:t xml:space="preserve">Recent pending application for thermochromic ink labels on beverage containers (primarily wine bottles). Not a lid, not bimetallic, not steam-pressure, not burn-warning (optimal serving temperature). Included to show the field continues to pursue thermochromic-label approaches rather than mechanical bimetallic solutions.</w:t>
      </w:r>
    </w:p>
    <w:p>
      <w:pPr>
        <w:pStyle w:val="Heading1"/>
        <w:spacing w:after="150" w:before="300"/>
      </w:pPr>
      <w:r>
        <w:rPr>
          <w:rFonts w:ascii="Arial" w:cs="Arial" w:eastAsia="Arial" w:hAnsi="Arial"/>
          <w:b/>
          <w:bCs/>
          <w:color w:val="1a3a5c"/>
          <w:sz w:val="32"/>
          <w:szCs w:val="32"/>
        </w:rPr>
        <w:t xml:space="preserve">3. Patent Landscape</w:t>
      </w:r>
    </w:p>
    <w:p>
      <w:pPr>
        <w:spacing w:after="120"/>
      </w:pPr>
      <w:r>
        <w:rPr>
          <w:rFonts w:ascii="Arial" w:cs="Arial" w:eastAsia="Arial" w:hAnsi="Arial"/>
          <w:sz w:val="24"/>
          <w:szCs w:val="24"/>
        </w:rPr>
        <w:t xml:space="preserve">This section provides a brief landscape overview for context. For a novelty search, the focus is on the closest prior art (Section 2); the landscape is abbreviated.</w:t>
      </w:r>
    </w:p>
    <w:p>
      <w:pPr>
        <w:pStyle w:val="Heading2"/>
        <w:spacing w:after="150" w:before="300"/>
      </w:pPr>
      <w:r>
        <w:rPr>
          <w:rFonts w:ascii="Arial" w:cs="Arial" w:eastAsia="Arial" w:hAnsi="Arial"/>
          <w:b/>
          <w:bCs/>
          <w:color w:val="1a3a5c"/>
          <w:sz w:val="26"/>
          <w:szCs w:val="26"/>
        </w:rPr>
        <w:t xml:space="preserve">Top Assignees / Inventors</w:t>
      </w:r>
    </w:p>
    <w:p>
      <w:pPr>
        <w:pStyle w:val="ListParagraph"/>
        <w:numPr>
          <w:ilvl w:val="0"/>
          <w:numId w:val="1"/>
        </w:numPr>
        <w:spacing w:after="80"/>
      </w:pPr>
      <w:r>
        <w:rPr>
          <w:rFonts w:ascii="Arial" w:cs="Arial" w:eastAsia="Arial" w:hAnsi="Arial"/>
          <w:b w:val="false"/>
          <w:bCs w:val="false"/>
          <w:sz w:val="24"/>
          <w:szCs w:val="24"/>
        </w:rPr>
        <w:t xml:space="preserve">Individual inventors dominate this space — no large corporate assignee was found holding a dominant portfolio in bimetallic or mechanical temperature-indicating cup lids.</w:t>
      </w:r>
    </w:p>
    <w:p>
      <w:pPr>
        <w:pStyle w:val="ListParagraph"/>
        <w:numPr>
          <w:ilvl w:val="0"/>
          <w:numId w:val="1"/>
        </w:numPr>
        <w:spacing w:after="80"/>
      </w:pPr>
      <w:r>
        <w:rPr>
          <w:rFonts w:ascii="Arial" w:cs="Arial" w:eastAsia="Arial" w:hAnsi="Arial"/>
          <w:b w:val="false"/>
          <w:bCs w:val="false"/>
          <w:sz w:val="24"/>
          <w:szCs w:val="24"/>
        </w:rPr>
        <w:t xml:space="preserve">Koninklijke Philips (EP) is the only major corporate entity found, but their patent targets baby-bottle side-wall thermometers, not lids.</w:t>
      </w:r>
    </w:p>
    <w:p>
      <w:pPr>
        <w:pStyle w:val="ListParagraph"/>
        <w:numPr>
          <w:ilvl w:val="0"/>
          <w:numId w:val="1"/>
        </w:numPr>
        <w:spacing w:after="80"/>
      </w:pPr>
      <w:r>
        <w:rPr>
          <w:rFonts w:ascii="Arial" w:cs="Arial" w:eastAsia="Arial" w:hAnsi="Arial"/>
          <w:b w:val="false"/>
          <w:bCs w:val="false"/>
          <w:sz w:val="24"/>
          <w:szCs w:val="24"/>
        </w:rPr>
        <w:t xml:space="preserve">Hrand M. Muncheryan's 1950s family (US2866338 + US2953921A) remains the seminal bimetallic-closure-cap art, now long expired.</w:t>
      </w:r>
    </w:p>
    <w:p>
      <w:pPr>
        <w:pStyle w:val="Heading2"/>
        <w:spacing w:after="150" w:before="300"/>
      </w:pPr>
      <w:r>
        <w:rPr>
          <w:rFonts w:ascii="Arial" w:cs="Arial" w:eastAsia="Arial" w:hAnsi="Arial"/>
          <w:b/>
          <w:bCs/>
          <w:color w:val="1a3a5c"/>
          <w:sz w:val="26"/>
          <w:szCs w:val="26"/>
        </w:rPr>
        <w:t xml:space="preserve">CPC Class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0f8" w:color="auto" w:val="clear"/>
          </w:tcPr>
          <w:p>
            <w:r>
              <w:rPr>
                <w:rFonts w:ascii="Arial" w:cs="Arial" w:eastAsia="Arial" w:hAnsi="Arial"/>
                <w:b/>
                <w:bCs/>
                <w:color w:val="1a3a5c"/>
                <w:sz w:val="22"/>
                <w:szCs w:val="22"/>
              </w:rPr>
              <w:t xml:space="preserve">CPC/IPC Class</w:t>
            </w:r>
          </w:p>
        </w:tc>
        <w:tc>
          <w:tcPr>
            <w:shd w:fill="e8f0f8" w:color="auto" w:val="clear"/>
          </w:tcPr>
          <w:p>
            <w:r>
              <w:rPr>
                <w:rFonts w:ascii="Arial" w:cs="Arial" w:eastAsia="Arial" w:hAnsi="Arial"/>
                <w:b/>
                <w:bCs/>
                <w:color w:val="1a3a5c"/>
                <w:sz w:val="22"/>
                <w:szCs w:val="22"/>
              </w:rPr>
              <w:t xml:space="preserve">Description</w:t>
            </w:r>
          </w:p>
        </w:tc>
        <w:tc>
          <w:tcPr>
            <w:shd w:fill="e8f0f8" w:color="auto" w:val="clear"/>
          </w:tcPr>
          <w:p>
            <w:r>
              <w:rPr>
                <w:rFonts w:ascii="Arial" w:cs="Arial" w:eastAsia="Arial" w:hAnsi="Arial"/>
                <w:b/>
                <w:bCs/>
                <w:color w:val="1a3a5c"/>
                <w:sz w:val="22"/>
                <w:szCs w:val="22"/>
              </w:rPr>
              <w:t xml:space="preserve">Hits</w:t>
            </w:r>
          </w:p>
        </w:tc>
      </w:tr>
      <w:tr>
        <w:tc>
          <w:p>
            <w:r>
              <w:rPr>
                <w:rFonts w:ascii="Arial" w:cs="Arial" w:eastAsia="Arial" w:hAnsi="Arial"/>
                <w:b w:val="false"/>
                <w:bCs w:val="false"/>
                <w:color w:val="000000"/>
                <w:sz w:val="20"/>
                <w:szCs w:val="20"/>
              </w:rPr>
              <w:t xml:space="preserve">B65D 79/02</w:t>
            </w:r>
          </w:p>
        </w:tc>
        <w:tc>
          <w:p>
            <w:r>
              <w:rPr>
                <w:rFonts w:ascii="Arial" w:cs="Arial" w:eastAsia="Arial" w:hAnsi="Arial"/>
                <w:b w:val="false"/>
                <w:bCs w:val="false"/>
                <w:color w:val="000000"/>
                <w:sz w:val="20"/>
                <w:szCs w:val="20"/>
              </w:rPr>
              <w:t xml:space="preserve">Arrangements/devices for indicating incorrect storage or transport</w:t>
            </w:r>
          </w:p>
        </w:tc>
        <w:tc>
          <w:p>
            <w:r>
              <w:rPr>
                <w:rFonts w:ascii="Arial" w:cs="Arial" w:eastAsia="Arial" w:hAnsi="Arial"/>
                <w:b w:val="false"/>
                <w:bCs w:val="false"/>
                <w:color w:val="000000"/>
                <w:sz w:val="20"/>
                <w:szCs w:val="20"/>
              </w:rPr>
              <w:t xml:space="preserve">2 (Muncheryan family)</w:t>
            </w:r>
          </w:p>
        </w:tc>
      </w:tr>
      <w:tr>
        <w:tc>
          <w:p>
            <w:r>
              <w:rPr>
                <w:rFonts w:ascii="Arial" w:cs="Arial" w:eastAsia="Arial" w:hAnsi="Arial"/>
                <w:b w:val="false"/>
                <w:bCs w:val="false"/>
                <w:color w:val="000000"/>
                <w:sz w:val="20"/>
                <w:szCs w:val="20"/>
              </w:rPr>
              <w:t xml:space="preserve">G01K 11/16</w:t>
            </w:r>
          </w:p>
        </w:tc>
        <w:tc>
          <w:p>
            <w:r>
              <w:rPr>
                <w:rFonts w:ascii="Arial" w:cs="Arial" w:eastAsia="Arial" w:hAnsi="Arial"/>
                <w:b w:val="false"/>
                <w:bCs w:val="false"/>
                <w:color w:val="000000"/>
                <w:sz w:val="20"/>
                <w:szCs w:val="20"/>
              </w:rPr>
              <w:t xml:space="preserve">Thermometers with thermochromic materials</w:t>
            </w:r>
          </w:p>
        </w:tc>
        <w:tc>
          <w:p>
            <w:r>
              <w:rPr>
                <w:rFonts w:ascii="Arial" w:cs="Arial" w:eastAsia="Arial" w:hAnsi="Arial"/>
                <w:b w:val="false"/>
                <w:bCs w:val="false"/>
                <w:color w:val="000000"/>
                <w:sz w:val="20"/>
                <w:szCs w:val="20"/>
              </w:rPr>
              <w:t xml:space="preserve">1 (Eldred/Lunceford)</w:t>
            </w:r>
          </w:p>
        </w:tc>
      </w:tr>
      <w:tr>
        <w:tc>
          <w:p>
            <w:r>
              <w:rPr>
                <w:rFonts w:ascii="Arial" w:cs="Arial" w:eastAsia="Arial" w:hAnsi="Arial"/>
                <w:b w:val="false"/>
                <w:bCs w:val="false"/>
                <w:color w:val="000000"/>
                <w:sz w:val="20"/>
                <w:szCs w:val="20"/>
              </w:rPr>
              <w:t xml:space="preserve">B65D 43/02</w:t>
            </w:r>
          </w:p>
        </w:tc>
        <w:tc>
          <w:p>
            <w:r>
              <w:rPr>
                <w:rFonts w:ascii="Arial" w:cs="Arial" w:eastAsia="Arial" w:hAnsi="Arial"/>
                <w:b w:val="false"/>
                <w:bCs w:val="false"/>
                <w:color w:val="000000"/>
                <w:sz w:val="20"/>
                <w:szCs w:val="20"/>
              </w:rPr>
              <w:t xml:space="preserve">Lids/covers for rigid containers</w:t>
            </w:r>
          </w:p>
        </w:tc>
        <w:tc>
          <w:p>
            <w:r>
              <w:rPr>
                <w:rFonts w:ascii="Arial" w:cs="Arial" w:eastAsia="Arial" w:hAnsi="Arial"/>
                <w:b w:val="false"/>
                <w:bCs w:val="false"/>
                <w:color w:val="000000"/>
                <w:sz w:val="20"/>
                <w:szCs w:val="20"/>
              </w:rPr>
              <w:t xml:space="preserve">1 (Mäkelä, not temp-indicating)</w:t>
            </w:r>
          </w:p>
        </w:tc>
      </w:tr>
      <w:tr>
        <w:tc>
          <w:p>
            <w:r>
              <w:rPr>
                <w:rFonts w:ascii="Arial" w:cs="Arial" w:eastAsia="Arial" w:hAnsi="Arial"/>
                <w:b w:val="false"/>
                <w:bCs w:val="false"/>
                <w:color w:val="000000"/>
                <w:sz w:val="20"/>
                <w:szCs w:val="20"/>
              </w:rPr>
              <w:t xml:space="preserve">(unclassified)</w:t>
            </w:r>
          </w:p>
        </w:tc>
        <w:tc>
          <w:p>
            <w:r>
              <w:rPr>
                <w:rFonts w:ascii="Arial" w:cs="Arial" w:eastAsia="Arial" w:hAnsi="Arial"/>
                <w:b w:val="false"/>
                <w:bCs w:val="false"/>
                <w:color w:val="000000"/>
                <w:sz w:val="20"/>
                <w:szCs w:val="20"/>
              </w:rPr>
              <w:t xml:space="preserve">Thermochromic lid/container patents not in B65D 79/02</w:t>
            </w:r>
          </w:p>
        </w:tc>
        <w:tc>
          <w:p>
            <w:r>
              <w:rPr>
                <w:rFonts w:ascii="Arial" w:cs="Arial" w:eastAsia="Arial" w:hAnsi="Arial"/>
                <w:b w:val="false"/>
                <w:bCs w:val="false"/>
                <w:color w:val="000000"/>
                <w:sz w:val="20"/>
                <w:szCs w:val="20"/>
              </w:rPr>
              <w:t xml:space="preserve">3 (Elele, Pariseau, Sena)</w:t>
            </w:r>
          </w:p>
        </w:tc>
      </w:tr>
    </w:tbl>
    <w:p>
      <w:pPr>
        <w:spacing w:after="120"/>
      </w:pPr>
      <w:r>
        <w:rPr>
          <w:rFonts w:ascii="Arial" w:cs="Arial" w:eastAsia="Arial" w:hAnsi="Arial"/>
          <w:sz w:val="24"/>
          <w:szCs w:val="24"/>
        </w:rPr>
        <w:t xml:space="preserve">Note: The mandatory CPC class-restricted search (B65D 79/02) confirmed that US2866338 and its family remain the dominant bimetallic closure-cap art in that class. No additional bimetallic cup-lid patents were found in B65D 79/02 beyond the Muncheryan family.</w:t>
      </w:r>
    </w:p>
    <w:p>
      <w:pPr>
        <w:pStyle w:val="Heading1"/>
        <w:spacing w:after="150" w:before="300"/>
      </w:pPr>
      <w:r>
        <w:rPr>
          <w:rFonts w:ascii="Arial" w:cs="Arial" w:eastAsia="Arial" w:hAnsi="Arial"/>
          <w:b/>
          <w:bCs/>
          <w:color w:val="1a3a5c"/>
          <w:sz w:val="32"/>
          <w:szCs w:val="32"/>
        </w:rPr>
        <w:t xml:space="preserve">4. Citation Graph Signals</w:t>
      </w:r>
    </w:p>
    <w:p>
      <w:pPr>
        <w:spacing w:after="120"/>
      </w:pPr>
      <w:r>
        <w:rPr>
          <w:rFonts w:ascii="Arial" w:cs="Arial" w:eastAsia="Arial" w:hAnsi="Arial"/>
          <w:sz w:val="24"/>
          <w:szCs w:val="24"/>
        </w:rPr>
        <w:t xml:space="preserve">Lens.org citation graph analysis was skipped because no Lens.org API key (BYOK) was provided. This is a known limitation of the current run.</w:t>
      </w:r>
    </w:p>
    <w:p>
      <w:pPr>
        <w:shd w:fill="fff3cd" w:color="auto" w:val="clear"/>
        <w:spacing w:after="120"/>
      </w:pPr>
      <w:r>
        <w:rPr>
          <w:rFonts w:ascii="Arial" w:cs="Arial" w:eastAsia="Arial" w:hAnsi="Arial"/>
          <w:i/>
          <w:iCs/>
          <w:sz w:val="22"/>
          <w:szCs w:val="22"/>
        </w:rPr>
        <w:t xml:space="preserve">Manual review recommended: Forward and backward citation analysis via Lens.org, Google Patents, or Espacenet is advised to confirm no additional relevant art was missed, particularly citing US2866338 (which has 21+ forward citations) and US6579006B1.</w:t>
      </w:r>
    </w:p>
    <w:p>
      <w:pPr>
        <w:spacing w:after="120"/>
      </w:pPr>
      <w:r>
        <w:rPr>
          <w:rFonts w:ascii="Arial" w:cs="Arial" w:eastAsia="Arial" w:hAnsi="Arial"/>
          <w:sz w:val="24"/>
          <w:szCs w:val="24"/>
        </w:rPr>
        <w:t xml:space="preserve">Observed citation signals from Google Patents (not a substitute for full citation graph):</w:t>
      </w:r>
    </w:p>
    <w:p>
      <w:pPr>
        <w:pStyle w:val="ListParagraph"/>
        <w:numPr>
          <w:ilvl w:val="0"/>
          <w:numId w:val="1"/>
        </w:numPr>
        <w:spacing w:after="80"/>
      </w:pPr>
      <w:r>
        <w:rPr>
          <w:rFonts w:ascii="Arial" w:cs="Arial" w:eastAsia="Arial" w:hAnsi="Arial"/>
          <w:b w:val="false"/>
          <w:bCs w:val="false"/>
          <w:sz w:val="24"/>
          <w:szCs w:val="24"/>
        </w:rPr>
        <w:t xml:space="preserve">US2866338 is cited by US20050178773A1 (Sena Kim) — the examiner-added citation connects the bimetallic cap art to the thermochromic disposable lid art.</w:t>
      </w:r>
    </w:p>
    <w:p>
      <w:pPr>
        <w:pStyle w:val="ListParagraph"/>
        <w:numPr>
          <w:ilvl w:val="0"/>
          <w:numId w:val="1"/>
        </w:numPr>
        <w:spacing w:after="80"/>
      </w:pPr>
      <w:r>
        <w:rPr>
          <w:rFonts w:ascii="Arial" w:cs="Arial" w:eastAsia="Arial" w:hAnsi="Arial"/>
          <w:b w:val="false"/>
          <w:bCs w:val="false"/>
          <w:sz w:val="24"/>
          <w:szCs w:val="24"/>
        </w:rPr>
        <w:t xml:space="preserve">US6579006B1 cites US5720555A (Elele) — shows the thermochromic container/lid art family is interconnected.</w:t>
      </w:r>
    </w:p>
    <w:p>
      <w:pPr>
        <w:pStyle w:val="ListParagraph"/>
        <w:numPr>
          <w:ilvl w:val="0"/>
          <w:numId w:val="1"/>
        </w:numPr>
        <w:spacing w:after="80"/>
      </w:pPr>
      <w:r>
        <w:rPr>
          <w:rFonts w:ascii="Arial" w:cs="Arial" w:eastAsia="Arial" w:hAnsi="Arial"/>
          <w:b w:val="false"/>
          <w:bCs w:val="false"/>
          <w:sz w:val="24"/>
          <w:szCs w:val="24"/>
        </w:rPr>
        <w:t xml:space="preserve">US5720555A cites US6386756B1 ('Cup for indicating temperature of contents thereof') — a potentially relevant secondary reference not separately fetched this session; recommended for attorney review.</w:t>
      </w:r>
    </w:p>
    <w:p>
      <w:pPr>
        <w:pStyle w:val="Heading1"/>
        <w:spacing w:after="150" w:before="300"/>
      </w:pPr>
      <w:r>
        <w:rPr>
          <w:rFonts w:ascii="Arial" w:cs="Arial" w:eastAsia="Arial" w:hAnsi="Arial"/>
          <w:b/>
          <w:bCs/>
          <w:color w:val="1a3a5c"/>
          <w:sz w:val="32"/>
          <w:szCs w:val="32"/>
        </w:rPr>
        <w:t xml:space="preserve">5. Geographic Coverage</w:t>
      </w:r>
    </w:p>
    <w:p>
      <w:pPr>
        <w:spacing w:after="120"/>
      </w:pPr>
      <w:r>
        <w:rPr>
          <w:rFonts w:ascii="Arial" w:cs="Arial" w:eastAsia="Arial" w:hAnsi="Arial"/>
          <w:sz w:val="24"/>
          <w:szCs w:val="24"/>
        </w:rPr>
        <w:t xml:space="preserve">Search focused on US and EP jurisdictions per intake.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f0f8" w:color="auto" w:val="clear"/>
          </w:tcPr>
          <w:p>
            <w:r>
              <w:rPr>
                <w:rFonts w:ascii="Arial" w:cs="Arial" w:eastAsia="Arial" w:hAnsi="Arial"/>
                <w:b/>
                <w:bCs/>
                <w:color w:val="1a3a5c"/>
                <w:sz w:val="22"/>
                <w:szCs w:val="22"/>
              </w:rPr>
              <w:t xml:space="preserve">Jurisdiction</w:t>
            </w:r>
          </w:p>
        </w:tc>
        <w:tc>
          <w:tcPr>
            <w:shd w:fill="e8f0f8" w:color="auto" w:val="clear"/>
          </w:tcPr>
          <w:p>
            <w:r>
              <w:rPr>
                <w:rFonts w:ascii="Arial" w:cs="Arial" w:eastAsia="Arial" w:hAnsi="Arial"/>
                <w:b/>
                <w:bCs/>
                <w:color w:val="1a3a5c"/>
                <w:sz w:val="22"/>
                <w:szCs w:val="22"/>
              </w:rPr>
              <w:t xml:space="preserve">Patents Found</w:t>
            </w:r>
          </w:p>
        </w:tc>
        <w:tc>
          <w:tcPr>
            <w:shd w:fill="e8f0f8" w:color="auto" w:val="clear"/>
          </w:tcPr>
          <w:p>
            <w:r>
              <w:rPr>
                <w:rFonts w:ascii="Arial" w:cs="Arial" w:eastAsia="Arial" w:hAnsi="Arial"/>
                <w:b/>
                <w:bCs/>
                <w:color w:val="1a3a5c"/>
                <w:sz w:val="22"/>
                <w:szCs w:val="22"/>
              </w:rPr>
              <w:t xml:space="preserve">Notes</w:t>
            </w:r>
          </w:p>
        </w:tc>
      </w:tr>
      <w:tr>
        <w:tc>
          <w:p>
            <w:r>
              <w:rPr>
                <w:rFonts w:ascii="Arial" w:cs="Arial" w:eastAsia="Arial" w:hAnsi="Arial"/>
                <w:b w:val="false"/>
                <w:bCs w:val="false"/>
                <w:color w:val="000000"/>
                <w:sz w:val="20"/>
                <w:szCs w:val="20"/>
              </w:rPr>
              <w:t xml:space="preserve">US</w:t>
            </w:r>
          </w:p>
        </w:tc>
        <w:tc>
          <w:p>
            <w:r>
              <w:rPr>
                <w:rFonts w:ascii="Arial" w:cs="Arial" w:eastAsia="Arial" w:hAnsi="Arial"/>
                <w:b w:val="false"/>
                <w:bCs w:val="false"/>
                <w:color w:val="000000"/>
                <w:sz w:val="20"/>
                <w:szCs w:val="20"/>
              </w:rPr>
              <w:t xml:space="preserve">6</w:t>
            </w:r>
          </w:p>
        </w:tc>
        <w:tc>
          <w:p>
            <w:r>
              <w:rPr>
                <w:rFonts w:ascii="Arial" w:cs="Arial" w:eastAsia="Arial" w:hAnsi="Arial"/>
                <w:b w:val="false"/>
                <w:bCs w:val="false"/>
                <w:color w:val="000000"/>
                <w:sz w:val="20"/>
                <w:szCs w:val="20"/>
              </w:rPr>
              <w:t xml:space="preserve">Strong coverage; Google Patents used as primary source</w:t>
            </w:r>
          </w:p>
        </w:tc>
      </w:tr>
      <w:tr>
        <w:tc>
          <w:p>
            <w:r>
              <w:rPr>
                <w:rFonts w:ascii="Arial" w:cs="Arial" w:eastAsia="Arial" w:hAnsi="Arial"/>
                <w:b w:val="false"/>
                <w:bCs w:val="false"/>
                <w:color w:val="000000"/>
                <w:sz w:val="20"/>
                <w:szCs w:val="20"/>
              </w:rPr>
              <w:t xml:space="preserve">EP</w:t>
            </w:r>
          </w:p>
        </w:tc>
        <w:tc>
          <w:p>
            <w:r>
              <w:rPr>
                <w:rFonts w:ascii="Arial" w:cs="Arial" w:eastAsia="Arial" w:hAnsi="Arial"/>
                <w:b w:val="false"/>
                <w:bCs w:val="false"/>
                <w:color w:val="000000"/>
                <w:sz w:val="20"/>
                <w:szCs w:val="20"/>
              </w:rPr>
              <w:t xml:space="preserve">1</w:t>
            </w:r>
          </w:p>
        </w:tc>
        <w:tc>
          <w:p>
            <w:r>
              <w:rPr>
                <w:rFonts w:ascii="Arial" w:cs="Arial" w:eastAsia="Arial" w:hAnsi="Arial"/>
                <w:b w:val="false"/>
                <w:bCs w:val="false"/>
                <w:color w:val="000000"/>
                <w:sz w:val="20"/>
                <w:szCs w:val="20"/>
              </w:rPr>
              <w:t xml:space="preserve">EP2181688A1 (Philips, ceased); Espacenet direct search returned limited results</w:t>
            </w:r>
          </w:p>
        </w:tc>
      </w:tr>
      <w:tr>
        <w:tc>
          <w:p>
            <w:r>
              <w:rPr>
                <w:rFonts w:ascii="Arial" w:cs="Arial" w:eastAsia="Arial" w:hAnsi="Arial"/>
                <w:b w:val="false"/>
                <w:bCs w:val="false"/>
                <w:color w:val="000000"/>
                <w:sz w:val="20"/>
                <w:szCs w:val="20"/>
              </w:rPr>
              <w:t xml:space="preserve">WO/PCT</w:t>
            </w:r>
          </w:p>
        </w:tc>
        <w:tc>
          <w:p>
            <w:r>
              <w:rPr>
                <w:rFonts w:ascii="Arial" w:cs="Arial" w:eastAsia="Arial" w:hAnsi="Arial"/>
                <w:b w:val="false"/>
                <w:bCs w:val="false"/>
                <w:color w:val="000000"/>
                <w:sz w:val="20"/>
                <w:szCs w:val="20"/>
              </w:rPr>
              <w:t xml:space="preserve">0 (cited only)</w:t>
            </w:r>
          </w:p>
        </w:tc>
        <w:tc>
          <w:p>
            <w:r>
              <w:rPr>
                <w:rFonts w:ascii="Arial" w:cs="Arial" w:eastAsia="Arial" w:hAnsi="Arial"/>
                <w:b w:val="false"/>
                <w:bCs w:val="false"/>
                <w:color w:val="000000"/>
                <w:sz w:val="20"/>
                <w:szCs w:val="20"/>
              </w:rPr>
              <w:t xml:space="preserve">WO2002101345A1 corresponds to US20050178773A1 (same family, not separately counted)</w:t>
            </w:r>
          </w:p>
        </w:tc>
      </w:tr>
    </w:tbl>
    <w:p>
      <w:pPr>
        <w:spacing w:after="120"/>
      </w:pPr>
      <w:r>
        <w:rPr>
          <w:rFonts w:ascii="Arial" w:cs="Arial" w:eastAsia="Arial" w:hAnsi="Arial"/>
          <w:sz w:val="24"/>
          <w:szCs w:val="24"/>
        </w:rPr>
        <w:t xml:space="preserve">The EP landscape for bimetallic cup lids appears sparse. The only EP hit (Philips baby bottle) is low-relevance and ceased. Direct Espacenet search was partially limited by the JS-rendered interface; general web search compensated. An attorney may wish to run a dedicated Espacenet/EPODOCC search with CPC B65D 79/02 and G01K 11/16 filters for EP-specific confirmation.</w:t>
      </w:r>
    </w:p>
    <w:p>
      <w:pPr>
        <w:pStyle w:val="Heading1"/>
        <w:spacing w:after="150" w:before="300"/>
      </w:pPr>
      <w:r>
        <w:rPr>
          <w:rFonts w:ascii="Arial" w:cs="Arial" w:eastAsia="Arial" w:hAnsi="Arial"/>
          <w:b/>
          <w:bCs/>
          <w:color w:val="1a3a5c"/>
          <w:sz w:val="32"/>
          <w:szCs w:val="32"/>
        </w:rPr>
        <w:t xml:space="preserve">6. Freedom-to-Operate Flags</w:t>
      </w:r>
    </w:p>
    <w:p>
      <w:pPr>
        <w:shd w:fill="e8f0f8" w:color="auto" w:val="clear"/>
        <w:spacing w:after="120"/>
      </w:pPr>
      <w:r>
        <w:rPr>
          <w:rFonts w:ascii="Arial" w:cs="Arial" w:eastAsia="Arial" w:hAnsi="Arial"/>
          <w:i/>
          <w:iCs/>
          <w:color w:val="1a3a5c"/>
          <w:sz w:val="24"/>
          <w:szCs w:val="24"/>
        </w:rPr>
        <w:t xml:space="preserve">FTO analysis is NOT within scope of a novelty search. This section is intentionally abbreviated. If FTO is needed, re-run with sub-use-case 'fto' or 'validity_invalidation'.</w:t>
      </w:r>
    </w:p>
    <w:p>
      <w:pPr>
        <w:spacing w:after="120"/>
      </w:pPr>
      <w:r>
        <w:rPr>
          <w:rFonts w:ascii="Arial" w:cs="Arial" w:eastAsia="Arial" w:hAnsi="Arial"/>
          <w:sz w:val="24"/>
          <w:szCs w:val="24"/>
        </w:rPr>
        <w:t xml:space="preserve">Preliminary observational notes (NOT an FTO opinion):</w:t>
      </w:r>
    </w:p>
    <w:p>
      <w:pPr>
        <w:pStyle w:val="ListParagraph"/>
        <w:numPr>
          <w:ilvl w:val="0"/>
          <w:numId w:val="1"/>
        </w:numPr>
        <w:spacing w:after="80"/>
      </w:pPr>
      <w:r>
        <w:rPr>
          <w:rFonts w:ascii="Arial" w:cs="Arial" w:eastAsia="Arial" w:hAnsi="Arial"/>
          <w:b w:val="false"/>
          <w:bCs w:val="false"/>
          <w:sz w:val="24"/>
          <w:szCs w:val="24"/>
        </w:rPr>
        <w:t xml:space="preserve">US2866338 and US2953921A are Expired - Lifetime — no blocking claims.</w:t>
      </w:r>
    </w:p>
    <w:p>
      <w:pPr>
        <w:pStyle w:val="ListParagraph"/>
        <w:numPr>
          <w:ilvl w:val="0"/>
          <w:numId w:val="1"/>
        </w:numPr>
        <w:spacing w:after="80"/>
      </w:pPr>
      <w:r>
        <w:rPr>
          <w:rFonts w:ascii="Arial" w:cs="Arial" w:eastAsia="Arial" w:hAnsi="Arial"/>
          <w:b w:val="false"/>
          <w:bCs w:val="false"/>
          <w:sz w:val="24"/>
          <w:szCs w:val="24"/>
        </w:rPr>
        <w:t xml:space="preserve">US20050178773A1 is Abandoned — no granted claims to infringe.</w:t>
      </w:r>
    </w:p>
    <w:p>
      <w:pPr>
        <w:pStyle w:val="ListParagraph"/>
        <w:numPr>
          <w:ilvl w:val="0"/>
          <w:numId w:val="1"/>
        </w:numPr>
        <w:spacing w:after="80"/>
      </w:pPr>
      <w:r>
        <w:rPr>
          <w:rFonts w:ascii="Arial" w:cs="Arial" w:eastAsia="Arial" w:hAnsi="Arial"/>
          <w:b w:val="false"/>
          <w:bCs w:val="false"/>
          <w:sz w:val="24"/>
          <w:szCs w:val="24"/>
        </w:rPr>
        <w:t xml:space="preserve">EP2181688A1 is Ceased — no active EP patent.</w:t>
      </w:r>
    </w:p>
    <w:p>
      <w:pPr>
        <w:pStyle w:val="ListParagraph"/>
        <w:numPr>
          <w:ilvl w:val="0"/>
          <w:numId w:val="1"/>
        </w:numPr>
        <w:spacing w:after="80"/>
      </w:pPr>
      <w:r>
        <w:rPr>
          <w:rFonts w:ascii="Arial" w:cs="Arial" w:eastAsia="Arial" w:hAnsi="Arial"/>
          <w:b w:val="false"/>
          <w:bCs w:val="false"/>
          <w:sz w:val="24"/>
          <w:szCs w:val="24"/>
        </w:rPr>
        <w:t xml:space="preserve">US20240377264A1 is Pending — claims as published do not read on the bimetallic/steam-pressure combination, but pending claims could change. Monitor.</w:t>
      </w:r>
    </w:p>
    <w:p>
      <w:pPr>
        <w:pStyle w:val="ListParagraph"/>
        <w:numPr>
          <w:ilvl w:val="0"/>
          <w:numId w:val="1"/>
        </w:numPr>
        <w:spacing w:after="80"/>
      </w:pPr>
      <w:r>
        <w:rPr>
          <w:rFonts w:ascii="Arial" w:cs="Arial" w:eastAsia="Arial" w:hAnsi="Arial"/>
          <w:b w:val="false"/>
          <w:bCs w:val="false"/>
          <w:sz w:val="24"/>
          <w:szCs w:val="24"/>
        </w:rPr>
        <w:t xml:space="preserve">US6579006B1 and US5720555A are Expired — no blocking claims.</w:t>
      </w:r>
    </w:p>
    <w:p>
      <w:pPr>
        <w:pStyle w:val="Heading1"/>
        <w:spacing w:after="150" w:before="300"/>
      </w:pPr>
      <w:r>
        <w:rPr>
          <w:rFonts w:ascii="Arial" w:cs="Arial" w:eastAsia="Arial" w:hAnsi="Arial"/>
          <w:b/>
          <w:bCs/>
          <w:color w:val="1a3a5c"/>
          <w:sz w:val="32"/>
          <w:szCs w:val="32"/>
        </w:rPr>
        <w:t xml:space="preserve">7. Strategy &amp; Recommendations</w:t>
      </w:r>
    </w:p>
    <w:p>
      <w:pPr>
        <w:pStyle w:val="Heading2"/>
        <w:spacing w:after="150" w:before="300"/>
      </w:pPr>
      <w:r>
        <w:rPr>
          <w:rFonts w:ascii="Arial" w:cs="Arial" w:eastAsia="Arial" w:hAnsi="Arial"/>
          <w:b/>
          <w:bCs/>
          <w:color w:val="1a3a5c"/>
          <w:sz w:val="26"/>
          <w:szCs w:val="26"/>
        </w:rPr>
        <w:t xml:space="preserve">Claim Differentiation Opportunities</w:t>
      </w:r>
    </w:p>
    <w:p>
      <w:pPr>
        <w:spacing w:after="120"/>
      </w:pPr>
      <w:r>
        <w:rPr>
          <w:rFonts w:ascii="Arial" w:cs="Arial" w:eastAsia="Arial" w:hAnsi="Arial"/>
          <w:sz w:val="24"/>
          <w:szCs w:val="24"/>
        </w:rPr>
        <w:t xml:space="preserve">Based on the prior-art gaps identified, the following elements appear to support potential novelty:</w:t>
      </w:r>
    </w:p>
    <w:p>
      <w:pPr>
        <w:pStyle w:val="ListParagraph"/>
        <w:numPr>
          <w:ilvl w:val="0"/>
          <w:numId w:val="1"/>
        </w:numPr>
        <w:spacing w:after="80"/>
      </w:pPr>
      <w:r>
        <w:rPr>
          <w:rFonts w:ascii="Arial" w:cs="Arial" w:eastAsia="Arial" w:hAnsi="Arial"/>
          <w:b/>
          <w:bCs/>
          <w:sz w:val="24"/>
          <w:szCs w:val="24"/>
        </w:rPr>
        <w:t xml:space="preserve">Steam-pressure actuation: No located patent uses in-cup steam/vapor pressure to actuate the temperature indicator. US2866338 uses conducted heat through a metal plate; thermochromic patents use liquid contact or wall conduction. This is the strongest differentiator.</w:t>
      </w:r>
    </w:p>
    <w:p>
      <w:pPr>
        <w:pStyle w:val="ListParagraph"/>
        <w:numPr>
          <w:ilvl w:val="0"/>
          <w:numId w:val="1"/>
        </w:numPr>
        <w:spacing w:after="80"/>
      </w:pPr>
      <w:r>
        <w:rPr>
          <w:rFonts w:ascii="Arial" w:cs="Arial" w:eastAsia="Arial" w:hAnsi="Arial"/>
          <w:b w:val="false"/>
          <w:bCs w:val="false"/>
          <w:sz w:val="24"/>
          <w:szCs w:val="24"/>
        </w:rPr>
        <w:t xml:space="preserve">Bimetallic mechanical actuation on a modern reusable cup lid: The bimetallic closure-cap art (Muncheryan) dates to the 1950s and targets baby bottles. No modern patent was found combining bimetallic mechanical actuation with a reusable hot-beverage cup lid form factor.</w:t>
      </w:r>
    </w:p>
    <w:p>
      <w:pPr>
        <w:pStyle w:val="ListParagraph"/>
        <w:numPr>
          <w:ilvl w:val="0"/>
          <w:numId w:val="1"/>
        </w:numPr>
        <w:spacing w:after="80"/>
      </w:pPr>
      <w:r>
        <w:rPr>
          <w:rFonts w:ascii="Arial" w:cs="Arial" w:eastAsia="Arial" w:hAnsi="Arial"/>
          <w:b w:val="false"/>
          <w:bCs w:val="false"/>
          <w:sz w:val="24"/>
          <w:szCs w:val="24"/>
        </w:rPr>
        <w:t xml:space="preserve">Top-surface color change for burn warning: The thermochromic lid patents (Pariseau, Sena Kim) teach color change, but via chemical inks. A bimetallic mechanism that physically reveals/changes a top-surface color (e.g., rotating shutter, sliding mask, or flap) in response to steam pressure is not shown in the located art.</w:t>
      </w:r>
    </w:p>
    <w:p>
      <w:pPr>
        <w:pStyle w:val="ListParagraph"/>
        <w:numPr>
          <w:ilvl w:val="0"/>
          <w:numId w:val="1"/>
        </w:numPr>
        <w:spacing w:after="80"/>
      </w:pPr>
      <w:r>
        <w:rPr>
          <w:rFonts w:ascii="Arial" w:cs="Arial" w:eastAsia="Arial" w:hAnsi="Arial"/>
          <w:b w:val="false"/>
          <w:bCs w:val="false"/>
          <w:sz w:val="24"/>
          <w:szCs w:val="24"/>
        </w:rPr>
        <w:t xml:space="preserve">Reusability + battery-free + passive: The disposable-lid art (Sena Kim) is inherently single-use; electronic temperature lids require batteries. The combination of fully passive, battery-free, reusable, and mechanical is not collectively disclosed.</w:t>
      </w:r>
    </w:p>
    <w:p>
      <w:pPr>
        <w:pStyle w:val="Heading2"/>
        <w:spacing w:after="150" w:before="300"/>
      </w:pPr>
      <w:r>
        <w:rPr>
          <w:rFonts w:ascii="Arial" w:cs="Arial" w:eastAsia="Arial" w:hAnsi="Arial"/>
          <w:b/>
          <w:bCs/>
          <w:color w:val="1a3a5c"/>
          <w:sz w:val="26"/>
          <w:szCs w:val="26"/>
        </w:rPr>
        <w:t xml:space="preserve">Recommended Claim Strategy</w:t>
      </w:r>
    </w:p>
    <w:p>
      <w:pPr>
        <w:pStyle w:val="ListParagraph"/>
        <w:numPr>
          <w:ilvl w:val="0"/>
          <w:numId w:val="1"/>
        </w:numPr>
        <w:spacing w:after="80"/>
      </w:pPr>
      <w:r>
        <w:rPr>
          <w:rFonts w:ascii="Arial" w:cs="Arial" w:eastAsia="Arial" w:hAnsi="Arial"/>
          <w:b w:val="false"/>
          <w:bCs w:val="false"/>
          <w:sz w:val="24"/>
          <w:szCs w:val="24"/>
        </w:rPr>
        <w:t xml:space="preserve">Lead with the steam-pressure actuation limitation in independent claims — this is the element not found in any single reference.</w:t>
      </w:r>
    </w:p>
    <w:p>
      <w:pPr>
        <w:pStyle w:val="ListParagraph"/>
        <w:numPr>
          <w:ilvl w:val="0"/>
          <w:numId w:val="1"/>
        </w:numPr>
        <w:spacing w:after="80"/>
      </w:pPr>
      <w:r>
        <w:rPr>
          <w:rFonts w:ascii="Arial" w:cs="Arial" w:eastAsia="Arial" w:hAnsi="Arial"/>
          <w:b w:val="false"/>
          <w:bCs w:val="false"/>
          <w:sz w:val="24"/>
          <w:szCs w:val="24"/>
        </w:rPr>
        <w:t xml:space="preserve">Consider a Jepson-style claim format if the bimetallic cap + color indicator is viewed as known in the art (US2866338), with the steam-pressure chamber/channel as the improvement.</w:t>
      </w:r>
    </w:p>
    <w:p>
      <w:pPr>
        <w:pStyle w:val="ListParagraph"/>
        <w:numPr>
          <w:ilvl w:val="0"/>
          <w:numId w:val="1"/>
        </w:numPr>
        <w:spacing w:after="80"/>
      </w:pPr>
      <w:r>
        <w:rPr>
          <w:rFonts w:ascii="Arial" w:cs="Arial" w:eastAsia="Arial" w:hAnsi="Arial"/>
          <w:b w:val="false"/>
          <w:bCs w:val="false"/>
          <w:sz w:val="24"/>
          <w:szCs w:val="24"/>
        </w:rPr>
        <w:t xml:space="preserve">Dependent claims should cover: specific bimetallic configurations (disc, spiral, strip), color-change mechanisms (rotating dial, sliding shutter, flip flag), threshold temperatures (e.g., 60–70°C burn threshold), and lid-sealing interface details.</w:t>
      </w:r>
    </w:p>
    <w:p>
      <w:pPr>
        <w:pStyle w:val="ListParagraph"/>
        <w:numPr>
          <w:ilvl w:val="0"/>
          <w:numId w:val="1"/>
        </w:numPr>
        <w:spacing w:after="80"/>
      </w:pPr>
      <w:r>
        <w:rPr>
          <w:rFonts w:ascii="Arial" w:cs="Arial" w:eastAsia="Arial" w:hAnsi="Arial"/>
          <w:b w:val="false"/>
          <w:bCs w:val="false"/>
          <w:sz w:val="24"/>
          <w:szCs w:val="24"/>
        </w:rPr>
        <w:t xml:space="preserve">Design patent protection may also be available for the ornamental appearance of the lid top in its hot/cold states.</w:t>
      </w:r>
    </w:p>
    <w:p>
      <w:pPr>
        <w:pStyle w:val="Heading2"/>
        <w:spacing w:after="150" w:before="300"/>
      </w:pPr>
      <w:r>
        <w:rPr>
          <w:rFonts w:ascii="Arial" w:cs="Arial" w:eastAsia="Arial" w:hAnsi="Arial"/>
          <w:b/>
          <w:bCs/>
          <w:color w:val="1a3a5c"/>
          <w:sz w:val="26"/>
          <w:szCs w:val="26"/>
        </w:rPr>
        <w:t xml:space="preserve">Next Steps</w:t>
      </w:r>
    </w:p>
    <w:p>
      <w:pPr>
        <w:pStyle w:val="ListParagraph"/>
        <w:numPr>
          <w:ilvl w:val="0"/>
          <w:numId w:val="1"/>
        </w:numPr>
        <w:spacing w:after="80"/>
      </w:pPr>
      <w:r>
        <w:rPr>
          <w:rFonts w:ascii="Arial" w:cs="Arial" w:eastAsia="Arial" w:hAnsi="Arial"/>
          <w:b w:val="false"/>
          <w:bCs w:val="false"/>
          <w:sz w:val="24"/>
          <w:szCs w:val="24"/>
        </w:rPr>
        <w:t xml:space="preserve">Consult a registered patent attorney (US and/or EP) before filing. They will conduct a full prior-art search including subscription databases and provide a formal novelty opinion.</w:t>
      </w:r>
    </w:p>
    <w:p>
      <w:pPr>
        <w:pStyle w:val="ListParagraph"/>
        <w:numPr>
          <w:ilvl w:val="0"/>
          <w:numId w:val="1"/>
        </w:numPr>
        <w:spacing w:after="80"/>
      </w:pPr>
      <w:r>
        <w:rPr>
          <w:rFonts w:ascii="Arial" w:cs="Arial" w:eastAsia="Arial" w:hAnsi="Arial"/>
          <w:b w:val="false"/>
          <w:bCs w:val="false"/>
          <w:sz w:val="24"/>
          <w:szCs w:val="24"/>
        </w:rPr>
        <w:t xml:space="preserve">Provide this dossier to your attorney as starting material; it includes verified patent numbers, dates, claim text, and relevance analysis.</w:t>
      </w:r>
    </w:p>
    <w:p>
      <w:pPr>
        <w:pStyle w:val="ListParagraph"/>
        <w:numPr>
          <w:ilvl w:val="0"/>
          <w:numId w:val="1"/>
        </w:numPr>
        <w:spacing w:after="80"/>
      </w:pPr>
      <w:r>
        <w:rPr>
          <w:rFonts w:ascii="Arial" w:cs="Arial" w:eastAsia="Arial" w:hAnsi="Arial"/>
          <w:b w:val="false"/>
          <w:bCs w:val="false"/>
          <w:sz w:val="24"/>
          <w:szCs w:val="24"/>
        </w:rPr>
        <w:t xml:space="preserve">Consider commissioning a freedom-to-operate (FTO) search if commercialization is planned, to assess active claims in the relevant jurisdictions.</w:t>
      </w:r>
    </w:p>
    <w:p>
      <w:pPr>
        <w:pStyle w:val="ListParagraph"/>
        <w:numPr>
          <w:ilvl w:val="0"/>
          <w:numId w:val="1"/>
        </w:numPr>
        <w:spacing w:after="80"/>
      </w:pPr>
      <w:r>
        <w:rPr>
          <w:rFonts w:ascii="Arial" w:cs="Arial" w:eastAsia="Arial" w:hAnsi="Arial"/>
          <w:b w:val="false"/>
          <w:bCs w:val="false"/>
          <w:sz w:val="24"/>
          <w:szCs w:val="24"/>
        </w:rPr>
        <w:t xml:space="preserve">Run a forward-citation search on US2866338 and US6579006B1 via Lens.org or Google Patents to identify any additional relevant art citing these key references.</w:t>
      </w:r>
    </w:p>
    <w:p>
      <w:pPr>
        <w:shd w:fill="fff3cd" w:color="auto" w:val="clear"/>
        <w:spacing w:after="80" w:before="200"/>
      </w:pPr>
      <w:r>
        <w:rPr>
          <w:rFonts w:ascii="Arial" w:cs="Arial" w:eastAsia="Arial" w:hAnsi="Arial"/>
          <w:b/>
          <w:bCs/>
          <w:color w:val="cc0000"/>
          <w:sz w:val="22"/>
          <w:szCs w:val="22"/>
        </w:rPr>
        <w:t xml:space="preserve">⚖️ Legal Disclaimer: This document is search signal, not legal advice. The verdict (NOVEL / POTENTIALLY NOVEL / NOT NOVEL) is a technical assessment based on the patents found in this session's tool calls. Patent novelty and freedom-to-operate determinations have legal consequences and require qualified counsel.</w:t>
      </w:r>
    </w:p>
    <w:p>
      <w:pPr>
        <w:shd w:fill="fff3cd" w:color="auto" w:val="clear"/>
        <w:spacing w:after="60"/>
      </w:pPr>
      <w:r>
        <w:rPr>
          <w:rFonts w:ascii="Arial" w:cs="Arial" w:eastAsia="Arial" w:hAnsi="Arial"/>
          <w:sz w:val="22"/>
          <w:szCs w:val="22"/>
        </w:rPr>
        <w:t xml:space="preserve">Before any filing or licensing decision:</w:t>
      </w:r>
    </w:p>
    <w:p>
      <w:pPr>
        <w:shd w:fill="fff3cd" w:color="auto" w:val="clear"/>
        <w:spacing w:after="40"/>
      </w:pPr>
      <w:r>
        <w:rPr>
          <w:rFonts w:ascii="Arial" w:cs="Arial" w:eastAsia="Arial" w:hAnsi="Arial"/>
          <w:sz w:val="22"/>
          <w:szCs w:val="22"/>
        </w:rPr>
        <w:t xml:space="preserve">• Consult a registered patent attorney in your jurisdiction(s)</w:t>
      </w:r>
    </w:p>
    <w:p>
      <w:pPr>
        <w:shd w:fill="fff3cd" w:color="auto" w:val="clear"/>
        <w:spacing w:after="40"/>
      </w:pPr>
      <w:r>
        <w:rPr>
          <w:rFonts w:ascii="Arial" w:cs="Arial" w:eastAsia="Arial" w:hAnsi="Arial"/>
          <w:sz w:val="22"/>
          <w:szCs w:val="22"/>
        </w:rPr>
        <w:t xml:space="preserve">• Provide them this dossier as starting material; they will conduct independent verification + opinion</w:t>
      </w:r>
    </w:p>
    <w:p>
      <w:pPr>
        <w:shd w:fill="fff3cd" w:color="auto" w:val="clear"/>
        <w:spacing w:after="100"/>
      </w:pPr>
      <w:r>
        <w:rPr>
          <w:rFonts w:ascii="Arial" w:cs="Arial" w:eastAsia="Arial" w:hAnsi="Arial"/>
          <w:sz w:val="22"/>
          <w:szCs w:val="22"/>
        </w:rPr>
        <w:t xml:space="preserve">• Their opinion is privileged and admissible; this skill's output is neither. The skill does not establish attorney-client privilege.</w:t>
      </w:r>
    </w:p>
    <w:p>
      <w:pPr>
        <w:pStyle w:val="Heading1"/>
        <w:spacing w:after="150" w:before="300"/>
      </w:pPr>
      <w:r>
        <w:rPr>
          <w:rFonts w:ascii="Arial" w:cs="Arial" w:eastAsia="Arial" w:hAnsi="Arial"/>
          <w:b/>
          <w:bCs/>
          <w:color w:val="1a3a5c"/>
          <w:sz w:val="32"/>
          <w:szCs w:val="32"/>
        </w:rPr>
        <w:t xml:space="preserve">8. Audit Log</w:t>
      </w:r>
    </w:p>
    <w:p>
      <w:pPr>
        <w:pStyle w:val="Heading2"/>
        <w:spacing w:after="150" w:before="300"/>
      </w:pPr>
      <w:r>
        <w:rPr>
          <w:rFonts w:ascii="Arial" w:cs="Arial" w:eastAsia="Arial" w:hAnsi="Arial"/>
          <w:b/>
          <w:bCs/>
          <w:color w:val="1a3a5c"/>
          <w:sz w:val="26"/>
          <w:szCs w:val="26"/>
        </w:rPr>
        <w:t xml:space="preserve">Search Plan Execution</w:t>
      </w:r>
    </w:p>
    <w:p>
      <w:pPr>
        <w:spacing w:after="120"/>
      </w:pPr>
      <w:r>
        <w:rPr>
          <w:rFonts w:ascii="Arial" w:cs="Arial" w:eastAsia="Arial" w:hAnsi="Arial"/>
          <w:sz w:val="24"/>
          <w:szCs w:val="24"/>
        </w:rPr>
        <w:t xml:space="preserve">Sub-use case: novelty  |  Total planned queries: 6  |  Queries executed: 6  |  Plan tier: signal-gathering (medium risk)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f0f8" w:color="auto" w:val="clear"/>
          </w:tcPr>
          <w:p>
            <w:r>
              <w:rPr>
                <w:rFonts w:ascii="Arial" w:cs="Arial" w:eastAsia="Arial" w:hAnsi="Arial"/>
                <w:b/>
                <w:bCs/>
                <w:color w:val="1a3a5c"/>
                <w:sz w:val="22"/>
                <w:szCs w:val="22"/>
              </w:rPr>
              <w:t xml:space="preserve">#</w:t>
            </w:r>
          </w:p>
        </w:tc>
        <w:tc>
          <w:tcPr>
            <w:shd w:fill="e8f0f8" w:color="auto" w:val="clear"/>
          </w:tcPr>
          <w:p>
            <w:r>
              <w:rPr>
                <w:rFonts w:ascii="Arial" w:cs="Arial" w:eastAsia="Arial" w:hAnsi="Arial"/>
                <w:b/>
                <w:bCs/>
                <w:color w:val="1a3a5c"/>
                <w:sz w:val="22"/>
                <w:szCs w:val="22"/>
              </w:rPr>
              <w:t xml:space="preserve">Type</w:t>
            </w:r>
          </w:p>
        </w:tc>
        <w:tc>
          <w:tcPr>
            <w:shd w:fill="e8f0f8" w:color="auto" w:val="clear"/>
          </w:tcPr>
          <w:p>
            <w:r>
              <w:rPr>
                <w:rFonts w:ascii="Arial" w:cs="Arial" w:eastAsia="Arial" w:hAnsi="Arial"/>
                <w:b/>
                <w:bCs/>
                <w:color w:val="1a3a5c"/>
                <w:sz w:val="22"/>
                <w:szCs w:val="22"/>
              </w:rPr>
              <w:t xml:space="preserve">Source</w:t>
            </w:r>
          </w:p>
        </w:tc>
        <w:tc>
          <w:tcPr>
            <w:shd w:fill="e8f0f8" w:color="auto" w:val="clear"/>
          </w:tcPr>
          <w:p>
            <w:r>
              <w:rPr>
                <w:rFonts w:ascii="Arial" w:cs="Arial" w:eastAsia="Arial" w:hAnsi="Arial"/>
                <w:b/>
                <w:bCs/>
                <w:color w:val="1a3a5c"/>
                <w:sz w:val="22"/>
                <w:szCs w:val="22"/>
              </w:rPr>
              <w:t xml:space="preserve">Query (abbreviated)</w:t>
            </w:r>
          </w:p>
        </w:tc>
      </w:tr>
      <w:tr>
        <w:tc>
          <w:p>
            <w:r>
              <w:rPr>
                <w:rFonts w:ascii="Arial" w:cs="Arial" w:eastAsia="Arial" w:hAnsi="Arial"/>
                <w:b w:val="false"/>
                <w:bCs w:val="false"/>
                <w:color w:val="000000"/>
                <w:sz w:val="20"/>
                <w:szCs w:val="20"/>
              </w:rPr>
              <w:t xml:space="preserve">1</w:t>
            </w:r>
          </w:p>
        </w:tc>
        <w:tc>
          <w:p>
            <w:r>
              <w:rPr>
                <w:rFonts w:ascii="Arial" w:cs="Arial" w:eastAsia="Arial" w:hAnsi="Arial"/>
                <w:b w:val="false"/>
                <w:bCs w:val="false"/>
                <w:color w:val="000000"/>
                <w:sz w:val="20"/>
                <w:szCs w:val="20"/>
              </w:rPr>
              <w:t xml:space="preserve">Narrow keyword</w:t>
            </w:r>
          </w:p>
        </w:tc>
        <w:tc>
          <w:p>
            <w:r>
              <w:rPr>
                <w:rFonts w:ascii="Arial" w:cs="Arial" w:eastAsia="Arial" w:hAnsi="Arial"/>
                <w:b w:val="false"/>
                <w:bCs w:val="false"/>
                <w:color w:val="000000"/>
                <w:sz w:val="20"/>
                <w:szCs w:val="20"/>
              </w:rPr>
              <w:t xml:space="preserve">Google Patents</w:t>
            </w:r>
          </w:p>
        </w:tc>
        <w:tc>
          <w:p>
            <w:r>
              <w:rPr>
                <w:rFonts w:ascii="Arial" w:cs="Arial" w:eastAsia="Arial" w:hAnsi="Arial"/>
                <w:b w:val="false"/>
                <w:bCs w:val="false"/>
                <w:color w:val="000000"/>
                <w:sz w:val="20"/>
                <w:szCs w:val="20"/>
              </w:rPr>
              <w:t xml:space="preserve">"bimetallic cup lid temperature indicator color change hot beverage"</w:t>
            </w:r>
          </w:p>
        </w:tc>
      </w:tr>
      <w:tr>
        <w:tc>
          <w:p>
            <w:r>
              <w:rPr>
                <w:rFonts w:ascii="Arial" w:cs="Arial" w:eastAsia="Arial" w:hAnsi="Arial"/>
                <w:b w:val="false"/>
                <w:bCs w:val="false"/>
                <w:color w:val="000000"/>
                <w:sz w:val="20"/>
                <w:szCs w:val="20"/>
              </w:rPr>
              <w:t xml:space="preserve">2</w:t>
            </w:r>
          </w:p>
        </w:tc>
        <w:tc>
          <w:p>
            <w:r>
              <w:rPr>
                <w:rFonts w:ascii="Arial" w:cs="Arial" w:eastAsia="Arial" w:hAnsi="Arial"/>
                <w:b w:val="false"/>
                <w:bCs w:val="false"/>
                <w:color w:val="000000"/>
                <w:sz w:val="20"/>
                <w:szCs w:val="20"/>
              </w:rPr>
              <w:t xml:space="preserve">Narrow keyword</w:t>
            </w:r>
          </w:p>
        </w:tc>
        <w:tc>
          <w:p>
            <w:r>
              <w:rPr>
                <w:rFonts w:ascii="Arial" w:cs="Arial" w:eastAsia="Arial" w:hAnsi="Arial"/>
                <w:b w:val="false"/>
                <w:bCs w:val="false"/>
                <w:color w:val="000000"/>
                <w:sz w:val="20"/>
                <w:szCs w:val="20"/>
              </w:rPr>
              <w:t xml:space="preserve">Google Patents</w:t>
            </w:r>
          </w:p>
        </w:tc>
        <w:tc>
          <w:p>
            <w:r>
              <w:rPr>
                <w:rFonts w:ascii="Arial" w:cs="Arial" w:eastAsia="Arial" w:hAnsi="Arial"/>
                <w:b w:val="false"/>
                <w:bCs w:val="false"/>
                <w:color w:val="000000"/>
                <w:sz w:val="20"/>
                <w:szCs w:val="20"/>
              </w:rPr>
              <w:t xml:space="preserve">"bimetallic disc temperature indicator beverage container lid steam pressure"</w:t>
            </w:r>
          </w:p>
        </w:tc>
      </w:tr>
      <w:tr>
        <w:tc>
          <w:p>
            <w:r>
              <w:rPr>
                <w:rFonts w:ascii="Arial" w:cs="Arial" w:eastAsia="Arial" w:hAnsi="Arial"/>
                <w:b w:val="false"/>
                <w:bCs w:val="false"/>
                <w:color w:val="000000"/>
                <w:sz w:val="20"/>
                <w:szCs w:val="20"/>
              </w:rPr>
              <w:t xml:space="preserve">3</w:t>
            </w:r>
          </w:p>
        </w:tc>
        <w:tc>
          <w:p>
            <w:r>
              <w:rPr>
                <w:rFonts w:ascii="Arial" w:cs="Arial" w:eastAsia="Arial" w:hAnsi="Arial"/>
                <w:b w:val="false"/>
                <w:bCs w:val="false"/>
                <w:color w:val="000000"/>
                <w:sz w:val="20"/>
                <w:szCs w:val="20"/>
              </w:rPr>
              <w:t xml:space="preserve">Narrow keyword</w:t>
            </w:r>
          </w:p>
        </w:tc>
        <w:tc>
          <w:p>
            <w:r>
              <w:rPr>
                <w:rFonts w:ascii="Arial" w:cs="Arial" w:eastAsia="Arial" w:hAnsi="Arial"/>
                <w:b w:val="false"/>
                <w:bCs w:val="false"/>
                <w:color w:val="000000"/>
                <w:sz w:val="20"/>
                <w:szCs w:val="20"/>
              </w:rPr>
              <w:t xml:space="preserve">Google Patents</w:t>
            </w:r>
          </w:p>
        </w:tc>
        <w:tc>
          <w:p>
            <w:r>
              <w:rPr>
                <w:rFonts w:ascii="Arial" w:cs="Arial" w:eastAsia="Arial" w:hAnsi="Arial"/>
                <w:b w:val="false"/>
                <w:bCs w:val="false"/>
                <w:color w:val="000000"/>
                <w:sz w:val="20"/>
                <w:szCs w:val="20"/>
              </w:rPr>
              <w:t xml:space="preserve">"passive temperature indicating cup lid color change reusable no battery bimetallic"</w:t>
            </w:r>
          </w:p>
        </w:tc>
      </w:tr>
      <w:tr>
        <w:tc>
          <w:p>
            <w:r>
              <w:rPr>
                <w:rFonts w:ascii="Arial" w:cs="Arial" w:eastAsia="Arial" w:hAnsi="Arial"/>
                <w:b w:val="false"/>
                <w:bCs w:val="false"/>
                <w:color w:val="000000"/>
                <w:sz w:val="20"/>
                <w:szCs w:val="20"/>
              </w:rPr>
              <w:t xml:space="preserve">4</w:t>
            </w:r>
          </w:p>
        </w:tc>
        <w:tc>
          <w:p>
            <w:r>
              <w:rPr>
                <w:rFonts w:ascii="Arial" w:cs="Arial" w:eastAsia="Arial" w:hAnsi="Arial"/>
                <w:b w:val="false"/>
                <w:bCs w:val="false"/>
                <w:color w:val="000000"/>
                <w:sz w:val="20"/>
                <w:szCs w:val="20"/>
              </w:rPr>
              <w:t xml:space="preserve">Broad concept</w:t>
            </w:r>
          </w:p>
        </w:tc>
        <w:tc>
          <w:p>
            <w:r>
              <w:rPr>
                <w:rFonts w:ascii="Arial" w:cs="Arial" w:eastAsia="Arial" w:hAnsi="Arial"/>
                <w:b w:val="false"/>
                <w:bCs w:val="false"/>
                <w:color w:val="000000"/>
                <w:sz w:val="20"/>
                <w:szCs w:val="20"/>
              </w:rPr>
              <w:t xml:space="preserve">Google Patents</w:t>
            </w:r>
          </w:p>
        </w:tc>
        <w:tc>
          <w:p>
            <w:r>
              <w:rPr>
                <w:rFonts w:ascii="Arial" w:cs="Arial" w:eastAsia="Arial" w:hAnsi="Arial"/>
                <w:b w:val="false"/>
                <w:bCs w:val="false"/>
                <w:color w:val="000000"/>
                <w:sz w:val="20"/>
                <w:szCs w:val="20"/>
              </w:rPr>
              <w:t xml:space="preserve">"thermochromic OR bimetallic OR mechanical temperature indicator beverage lid cup cap hot warning color"</w:t>
            </w:r>
          </w:p>
        </w:tc>
      </w:tr>
      <w:tr>
        <w:tc>
          <w:p>
            <w:r>
              <w:rPr>
                <w:rFonts w:ascii="Arial" w:cs="Arial" w:eastAsia="Arial" w:hAnsi="Arial"/>
                <w:b w:val="false"/>
                <w:bCs w:val="false"/>
                <w:color w:val="000000"/>
                <w:sz w:val="20"/>
                <w:szCs w:val="20"/>
              </w:rPr>
              <w:t xml:space="preserve">5</w:t>
            </w:r>
          </w:p>
        </w:tc>
        <w:tc>
          <w:p>
            <w:r>
              <w:rPr>
                <w:rFonts w:ascii="Arial" w:cs="Arial" w:eastAsia="Arial" w:hAnsi="Arial"/>
                <w:b w:val="false"/>
                <w:bCs w:val="false"/>
                <w:color w:val="000000"/>
                <w:sz w:val="20"/>
                <w:szCs w:val="20"/>
              </w:rPr>
              <w:t xml:space="preserve">Broad concept</w:t>
            </w:r>
          </w:p>
        </w:tc>
        <w:tc>
          <w:p>
            <w:r>
              <w:rPr>
                <w:rFonts w:ascii="Arial" w:cs="Arial" w:eastAsia="Arial" w:hAnsi="Arial"/>
                <w:b w:val="false"/>
                <w:bCs w:val="false"/>
                <w:color w:val="000000"/>
                <w:sz w:val="20"/>
                <w:szCs w:val="20"/>
              </w:rPr>
              <w:t xml:space="preserve">Espacenet</w:t>
            </w:r>
          </w:p>
        </w:tc>
        <w:tc>
          <w:p>
            <w:r>
              <w:rPr>
                <w:rFonts w:ascii="Arial" w:cs="Arial" w:eastAsia="Arial" w:hAnsi="Arial"/>
                <w:b w:val="false"/>
                <w:bCs w:val="false"/>
                <w:color w:val="000000"/>
                <w:sz w:val="20"/>
                <w:szCs w:val="20"/>
              </w:rPr>
              <w:t xml:space="preserve">temperature indicating lid beverage container bimetallic OR thermochromic color change</w:t>
            </w:r>
          </w:p>
        </w:tc>
      </w:tr>
      <w:tr>
        <w:tc>
          <w:p>
            <w:r>
              <w:rPr>
                <w:rFonts w:ascii="Arial" w:cs="Arial" w:eastAsia="Arial" w:hAnsi="Arial"/>
                <w:b w:val="false"/>
                <w:bCs w:val="false"/>
                <w:color w:val="000000"/>
                <w:sz w:val="20"/>
                <w:szCs w:val="20"/>
              </w:rPr>
              <w:t xml:space="preserve">6</w:t>
            </w:r>
          </w:p>
        </w:tc>
        <w:tc>
          <w:p>
            <w:r>
              <w:rPr>
                <w:rFonts w:ascii="Arial" w:cs="Arial" w:eastAsia="Arial" w:hAnsi="Arial"/>
                <w:b w:val="false"/>
                <w:bCs w:val="false"/>
                <w:color w:val="000000"/>
                <w:sz w:val="20"/>
                <w:szCs w:val="20"/>
              </w:rPr>
              <w:t xml:space="preserve">CPC class-restricted</w:t>
            </w:r>
          </w:p>
        </w:tc>
        <w:tc>
          <w:p>
            <w:r>
              <w:rPr>
                <w:rFonts w:ascii="Arial" w:cs="Arial" w:eastAsia="Arial" w:hAnsi="Arial"/>
                <w:b w:val="false"/>
                <w:bCs w:val="false"/>
                <w:color w:val="000000"/>
                <w:sz w:val="20"/>
                <w:szCs w:val="20"/>
              </w:rPr>
              <w:t xml:space="preserve">Google Patents</w:t>
            </w:r>
          </w:p>
        </w:tc>
        <w:tc>
          <w:p>
            <w:r>
              <w:rPr>
                <w:rFonts w:ascii="Arial" w:cs="Arial" w:eastAsia="Arial" w:hAnsi="Arial"/>
                <w:b w:val="false"/>
                <w:bCs w:val="false"/>
                <w:color w:val="000000"/>
                <w:sz w:val="20"/>
                <w:szCs w:val="20"/>
              </w:rPr>
              <w:t xml:space="preserve">CPC:B65D79/02 temperature indicator lid closure bimetallic thermochromic</w:t>
            </w:r>
          </w:p>
        </w:tc>
      </w:tr>
    </w:tbl>
    <w:p>
      <w:pPr>
        <w:pStyle w:val="Heading2"/>
        <w:spacing w:after="150" w:before="300"/>
      </w:pPr>
      <w:r>
        <w:rPr>
          <w:rFonts w:ascii="Arial" w:cs="Arial" w:eastAsia="Arial" w:hAnsi="Arial"/>
          <w:b/>
          <w:bCs/>
          <w:color w:val="1a3a5c"/>
          <w:sz w:val="26"/>
          <w:szCs w:val="26"/>
        </w:rPr>
        <w:t xml:space="preserve">Three-Count Tracking</w:t>
      </w:r>
    </w:p>
    <w:p>
      <w:pPr>
        <w:pStyle w:val="ListParagraph"/>
        <w:numPr>
          <w:ilvl w:val="0"/>
          <w:numId w:val="1"/>
        </w:numPr>
        <w:spacing w:after="80"/>
      </w:pPr>
      <w:r>
        <w:rPr>
          <w:rFonts w:ascii="Arial" w:cs="Arial" w:eastAsia="Arial" w:hAnsi="Arial"/>
          <w:b w:val="false"/>
          <w:bCs w:val="false"/>
          <w:sz w:val="24"/>
          <w:szCs w:val="24"/>
        </w:rPr>
        <w:t xml:space="preserve">Queries sent: 6 (Google Patents: 5, Espacenet: 1, USPTO: 0, Lens.org: 0)</w:t>
      </w:r>
    </w:p>
    <w:p>
      <w:pPr>
        <w:pStyle w:val="ListParagraph"/>
        <w:numPr>
          <w:ilvl w:val="0"/>
          <w:numId w:val="1"/>
        </w:numPr>
        <w:spacing w:after="80"/>
      </w:pPr>
      <w:r>
        <w:rPr>
          <w:rFonts w:ascii="Arial" w:cs="Arial" w:eastAsia="Arial" w:hAnsi="Arial"/>
          <w:b w:val="false"/>
          <w:bCs w:val="false"/>
          <w:sz w:val="24"/>
          <w:szCs w:val="24"/>
        </w:rPr>
        <w:t xml:space="preserve">Patents received (distinct, verified): 7</w:t>
      </w:r>
    </w:p>
    <w:p>
      <w:pPr>
        <w:pStyle w:val="ListParagraph"/>
        <w:numPr>
          <w:ilvl w:val="0"/>
          <w:numId w:val="1"/>
        </w:numPr>
        <w:spacing w:after="80"/>
      </w:pPr>
      <w:r>
        <w:rPr>
          <w:rFonts w:ascii="Arial" w:cs="Arial" w:eastAsia="Arial" w:hAnsi="Arial"/>
          <w:b w:val="false"/>
          <w:bCs w:val="false"/>
          <w:sz w:val="24"/>
          <w:szCs w:val="24"/>
        </w:rPr>
        <w:t xml:space="preserve">Patents cited in this report: 7</w:t>
      </w:r>
    </w:p>
    <w:p>
      <w:pPr>
        <w:pStyle w:val="ListParagraph"/>
        <w:numPr>
          <w:ilvl w:val="0"/>
          <w:numId w:val="1"/>
        </w:numPr>
        <w:spacing w:after="80"/>
      </w:pPr>
      <w:r>
        <w:rPr>
          <w:rFonts w:ascii="Arial" w:cs="Arial" w:eastAsia="Arial" w:hAnsi="Arial"/>
          <w:b w:val="false"/>
          <w:bCs w:val="false"/>
          <w:sz w:val="24"/>
          <w:szCs w:val="24"/>
        </w:rPr>
        <w:t xml:space="preserve">Unique patent families after resolution: 6 (Muncheryan family has 2 members)</w:t>
      </w:r>
    </w:p>
    <w:p>
      <w:pPr>
        <w:pStyle w:val="ListParagraph"/>
        <w:numPr>
          <w:ilvl w:val="0"/>
          <w:numId w:val="1"/>
        </w:numPr>
        <w:spacing w:after="80"/>
      </w:pPr>
      <w:r>
        <w:rPr>
          <w:rFonts w:ascii="Arial" w:cs="Arial" w:eastAsia="Arial" w:hAnsi="Arial"/>
          <w:b w:val="false"/>
          <w:bCs w:val="false"/>
          <w:sz w:val="24"/>
          <w:szCs w:val="24"/>
        </w:rPr>
        <w:t xml:space="preserve">Lens.org BYOK: not provided — citation graph skipped; manual review recommended</w:t>
      </w:r>
    </w:p>
    <w:p>
      <w:pPr>
        <w:pStyle w:val="Heading2"/>
        <w:spacing w:after="150" w:before="300"/>
      </w:pPr>
      <w:r>
        <w:rPr>
          <w:rFonts w:ascii="Arial" w:cs="Arial" w:eastAsia="Arial" w:hAnsi="Arial"/>
          <w:b/>
          <w:bCs/>
          <w:color w:val="1a3a5c"/>
          <w:sz w:val="26"/>
          <w:szCs w:val="26"/>
        </w:rPr>
        <w:t xml:space="preserve">Methodology Notes</w:t>
      </w:r>
    </w:p>
    <w:p>
      <w:pPr>
        <w:pStyle w:val="ListParagraph"/>
        <w:numPr>
          <w:ilvl w:val="0"/>
          <w:numId w:val="1"/>
        </w:numPr>
        <w:spacing w:after="80"/>
      </w:pPr>
      <w:r>
        <w:rPr>
          <w:rFonts w:ascii="Arial" w:cs="Arial" w:eastAsia="Arial" w:hAnsi="Arial"/>
          <w:b w:val="false"/>
          <w:bCs w:val="false"/>
          <w:sz w:val="24"/>
          <w:szCs w:val="24"/>
        </w:rPr>
        <w:t xml:space="preserve">Sequential query discipline: 1+ second gap between all searches, tracked via citation_tracker.py.</w:t>
      </w:r>
    </w:p>
    <w:p>
      <w:pPr>
        <w:pStyle w:val="ListParagraph"/>
        <w:numPr>
          <w:ilvl w:val="0"/>
          <w:numId w:val="1"/>
        </w:numPr>
        <w:spacing w:after="80"/>
      </w:pPr>
      <w:r>
        <w:rPr>
          <w:rFonts w:ascii="Arial" w:cs="Arial" w:eastAsia="Arial" w:hAnsi="Arial"/>
          <w:b w:val="false"/>
          <w:bCs w:val="false"/>
          <w:sz w:val="24"/>
          <w:szCs w:val="24"/>
        </w:rPr>
        <w:t xml:space="preserve">Source discipline: Only patents actually found and verified via this session's tool calls are cited. No patent numbers or claim text were fabricated or recalled from training data.</w:t>
      </w:r>
    </w:p>
    <w:p>
      <w:pPr>
        <w:pStyle w:val="ListParagraph"/>
        <w:numPr>
          <w:ilvl w:val="0"/>
          <w:numId w:val="1"/>
        </w:numPr>
        <w:spacing w:after="80"/>
      </w:pPr>
      <w:r>
        <w:rPr>
          <w:rFonts w:ascii="Arial" w:cs="Arial" w:eastAsia="Arial" w:hAnsi="Arial"/>
          <w:b w:val="false"/>
          <w:bCs w:val="false"/>
          <w:sz w:val="24"/>
          <w:szCs w:val="24"/>
        </w:rPr>
        <w:t xml:space="preserve">Date discipline: Priority, filing, publication, and grant dates are distinguished for every patent. For novelty analysis, priority date is the legally relevant date.</w:t>
      </w:r>
    </w:p>
    <w:p>
      <w:pPr>
        <w:pStyle w:val="ListParagraph"/>
        <w:numPr>
          <w:ilvl w:val="0"/>
          <w:numId w:val="1"/>
        </w:numPr>
        <w:spacing w:after="80"/>
      </w:pPr>
      <w:r>
        <w:rPr>
          <w:rFonts w:ascii="Arial" w:cs="Arial" w:eastAsia="Arial" w:hAnsi="Arial"/>
          <w:b w:val="false"/>
          <w:bCs w:val="false"/>
          <w:sz w:val="24"/>
          <w:szCs w:val="24"/>
        </w:rPr>
        <w:t xml:space="preserve">Family resolution: US2866338 and US2953921A grouped as one family (same inventor, same title, continuation-in-part relationship); all other hits are singleton families.</w:t>
      </w:r>
    </w:p>
    <w:p>
      <w:pPr>
        <w:pStyle w:val="ListParagraph"/>
        <w:numPr>
          <w:ilvl w:val="0"/>
          <w:numId w:val="1"/>
        </w:numPr>
        <w:spacing w:after="80"/>
      </w:pPr>
      <w:r>
        <w:rPr>
          <w:rFonts w:ascii="Arial" w:cs="Arial" w:eastAsia="Arial" w:hAnsi="Arial"/>
          <w:b w:val="false"/>
          <w:bCs w:val="false"/>
          <w:sz w:val="24"/>
          <w:szCs w:val="24"/>
        </w:rPr>
        <w:t xml:space="preserve">CPC follow-up: Dominant CPC from initial hits was B65D 79/02; mandatory class-restricted query confirmed no additional bimetallic lid art beyond the Muncheryan family.</w:t>
      </w:r>
    </w:p>
    <w:p>
      <w:pPr>
        <w:pStyle w:val="ListParagraph"/>
        <w:numPr>
          <w:ilvl w:val="0"/>
          <w:numId w:val="1"/>
        </w:numPr>
        <w:spacing w:after="80"/>
      </w:pPr>
      <w:r>
        <w:rPr>
          <w:rFonts w:ascii="Arial" w:cs="Arial" w:eastAsia="Arial" w:hAnsi="Arial"/>
          <w:b w:val="false"/>
          <w:bCs w:val="false"/>
          <w:sz w:val="24"/>
          <w:szCs w:val="24"/>
        </w:rPr>
        <w:t xml:space="preserve">Retry log: No failed requests requiring retry. Google Patents search-result pages are JS-rendered; workaround used general_search for discovery and direct patent-page fetches for verification.</w:t>
      </w:r>
    </w:p>
    <w:p>
      <w:pPr>
        <w:pStyle w:val="ListParagraph"/>
        <w:numPr>
          <w:ilvl w:val="0"/>
          <w:numId w:val="1"/>
        </w:numPr>
        <w:spacing w:after="80"/>
      </w:pPr>
      <w:r>
        <w:rPr>
          <w:rFonts w:ascii="Arial" w:cs="Arial" w:eastAsia="Arial" w:hAnsi="Arial"/>
          <w:b w:val="false"/>
          <w:bCs w:val="false"/>
          <w:sz w:val="24"/>
          <w:szCs w:val="24"/>
        </w:rPr>
        <w:t xml:space="preserve">Espacenet coverage: Direct site:worldwide.espacenet.com search returned no results; broad EP search via general_search found EP2181688A1. This is logged as partial Espacenet coverage.</w:t>
      </w:r>
    </w:p>
    <w:p>
      <w:pPr>
        <w:pStyle w:val="Heading2"/>
        <w:spacing w:after="150" w:before="300"/>
      </w:pPr>
      <w:r>
        <w:rPr>
          <w:rFonts w:ascii="Arial" w:cs="Arial" w:eastAsia="Arial" w:hAnsi="Arial"/>
          <w:b/>
          <w:bCs/>
          <w:color w:val="1a3a5c"/>
          <w:sz w:val="26"/>
          <w:szCs w:val="26"/>
        </w:rPr>
        <w:t xml:space="preserve">Tools &amp; Session</w:t>
      </w:r>
    </w:p>
    <w:p>
      <w:pPr>
        <w:pStyle w:val="ListParagraph"/>
        <w:numPr>
          <w:ilvl w:val="0"/>
          <w:numId w:val="1"/>
        </w:numPr>
        <w:spacing w:after="80"/>
      </w:pPr>
      <w:r>
        <w:rPr>
          <w:rFonts w:ascii="Arial" w:cs="Arial" w:eastAsia="Arial" w:hAnsi="Arial"/>
          <w:b w:val="false"/>
          <w:bCs w:val="false"/>
          <w:sz w:val="24"/>
          <w:szCs w:val="24"/>
        </w:rPr>
        <w:t xml:space="preserve">Citation tracker session ID: patent-cuplid-novelty-20260808</w:t>
      </w:r>
    </w:p>
    <w:p>
      <w:pPr>
        <w:pStyle w:val="ListParagraph"/>
        <w:numPr>
          <w:ilvl w:val="0"/>
          <w:numId w:val="1"/>
        </w:numPr>
        <w:spacing w:after="80"/>
      </w:pPr>
      <w:r>
        <w:rPr>
          <w:rFonts w:ascii="Arial" w:cs="Arial" w:eastAsia="Arial" w:hAnsi="Arial"/>
          <w:b w:val="false"/>
          <w:bCs w:val="false"/>
          <w:sz w:val="24"/>
          <w:szCs w:val="24"/>
        </w:rPr>
        <w:t xml:space="preserve">Family resolver: scripts/family_resolver.py (stdlib-only, no LLM calls)</w:t>
      </w:r>
    </w:p>
    <w:p>
      <w:pPr>
        <w:pStyle w:val="ListParagraph"/>
        <w:numPr>
          <w:ilvl w:val="0"/>
          <w:numId w:val="1"/>
        </w:numPr>
        <w:spacing w:after="80"/>
      </w:pPr>
      <w:r>
        <w:rPr>
          <w:rFonts w:ascii="Arial" w:cs="Arial" w:eastAsia="Arial" w:hAnsi="Arial"/>
          <w:b w:val="false"/>
          <w:bCs w:val="false"/>
          <w:sz w:val="24"/>
          <w:szCs w:val="24"/>
        </w:rPr>
        <w:t xml:space="preserve">Sub-use-case router: scripts/sub_use_case_router.py</w:t>
      </w:r>
    </w:p>
    <w:p>
      <w:pPr>
        <w:shd w:fill="fff3cd" w:color="auto" w:val="clear"/>
        <w:spacing w:after="80" w:before="200"/>
      </w:pPr>
      <w:r>
        <w:rPr>
          <w:rFonts w:ascii="Arial" w:cs="Arial" w:eastAsia="Arial" w:hAnsi="Arial"/>
          <w:b/>
          <w:bCs/>
          <w:color w:val="cc0000"/>
          <w:sz w:val="22"/>
          <w:szCs w:val="22"/>
        </w:rPr>
        <w:t xml:space="preserve">⚖️ Legal Disclaimer: This document is search signal, not legal advice. The verdict (NOVEL / POTENTIALLY NOVEL / NOT NOVEL) is a technical assessment based on the patents found in this session's tool calls. Patent novelty and freedom-to-operate determinations have legal consequences and require qualified counsel.</w:t>
      </w:r>
    </w:p>
    <w:p>
      <w:pPr>
        <w:shd w:fill="fff3cd" w:color="auto" w:val="clear"/>
        <w:spacing w:after="60"/>
      </w:pPr>
      <w:r>
        <w:rPr>
          <w:rFonts w:ascii="Arial" w:cs="Arial" w:eastAsia="Arial" w:hAnsi="Arial"/>
          <w:sz w:val="22"/>
          <w:szCs w:val="22"/>
        </w:rPr>
        <w:t xml:space="preserve">Before any filing or licensing decision:</w:t>
      </w:r>
    </w:p>
    <w:p>
      <w:pPr>
        <w:shd w:fill="fff3cd" w:color="auto" w:val="clear"/>
        <w:spacing w:after="40"/>
      </w:pPr>
      <w:r>
        <w:rPr>
          <w:rFonts w:ascii="Arial" w:cs="Arial" w:eastAsia="Arial" w:hAnsi="Arial"/>
          <w:sz w:val="22"/>
          <w:szCs w:val="22"/>
        </w:rPr>
        <w:t xml:space="preserve">• Consult a registered patent attorney in your jurisdiction(s)</w:t>
      </w:r>
    </w:p>
    <w:p>
      <w:pPr>
        <w:shd w:fill="fff3cd" w:color="auto" w:val="clear"/>
        <w:spacing w:after="40"/>
      </w:pPr>
      <w:r>
        <w:rPr>
          <w:rFonts w:ascii="Arial" w:cs="Arial" w:eastAsia="Arial" w:hAnsi="Arial"/>
          <w:sz w:val="22"/>
          <w:szCs w:val="22"/>
        </w:rPr>
        <w:t xml:space="preserve">• Provide them this dossier as starting material; they will conduct independent verification + opinion</w:t>
      </w:r>
    </w:p>
    <w:p>
      <w:pPr>
        <w:shd w:fill="fff3cd" w:color="auto" w:val="clear"/>
        <w:spacing w:after="100"/>
      </w:pPr>
      <w:r>
        <w:rPr>
          <w:rFonts w:ascii="Arial" w:cs="Arial" w:eastAsia="Arial" w:hAnsi="Arial"/>
          <w:sz w:val="22"/>
          <w:szCs w:val="22"/>
        </w:rPr>
        <w:t xml:space="preserve">• Their opinion is privileged and admissible; this skill's output is neither. The skill does not establish attorney-client privilege.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kqkyb_q6ja8iatwqxp2x" Type="http://schemas.openxmlformats.org/officeDocument/2006/relationships/hyperlink" Target="https://patents.google.com/patent/US2866338" TargetMode="External"/><Relationship Id="rIdqiss8njtvwnuhhrzz6yn_" Type="http://schemas.openxmlformats.org/officeDocument/2006/relationships/hyperlink" Target="https://patents.google.com/patent/US2953921A" TargetMode="External"/><Relationship Id="rIdrjf7uacwsdyuct_vw3zui" Type="http://schemas.openxmlformats.org/officeDocument/2006/relationships/hyperlink" Target="https://patents.google.com/patent/US5720555A" TargetMode="External"/><Relationship Id="rIdpy8ommqpcwig8oqksgrje" Type="http://schemas.openxmlformats.org/officeDocument/2006/relationships/hyperlink" Target="https://patents.google.com/patent/US6579006B1" TargetMode="External"/><Relationship Id="rIdwkdfalbb8v6qxcn8coh4p" Type="http://schemas.openxmlformats.org/officeDocument/2006/relationships/hyperlink" Target="https://patents.google.com/patent/US20050178773A1" TargetMode="External"/><Relationship Id="rIdxrmkzyptxy2n4snzvrqyc" Type="http://schemas.openxmlformats.org/officeDocument/2006/relationships/hyperlink" Target="https://patents.google.com/patent/EP2181688A1" TargetMode="External"/><Relationship Id="rIddqfni76bxzzuogtnmtund" Type="http://schemas.openxmlformats.org/officeDocument/2006/relationships/hyperlink" Target="https://patents.google.com/patent/US20240377264A1"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2026-08-08T06:59:02.877Z</dcterms:created>
  <dcterms:modified xsi:type="dcterms:W3CDTF">2026-08-08T06:59:02.881Z</dcterms:modified>
</cp:coreProperties>
</file>

<file path=docProps/custom.xml><?xml version="1.0" encoding="utf-8"?>
<Properties xmlns="http://schemas.openxmlformats.org/officeDocument/2006/custom-properties" xmlns:vt="http://schemas.openxmlformats.org/officeDocument/2006/docPropsVTypes"/>
</file>