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a5c"/>
          <w:sz w:val="40"/>
          <w:szCs w:val="40"/>
        </w:rPr>
        <w:t xml:space="preserve">Dossier — Decision-Grade Entity Research</w:t>
      </w:r>
    </w:p>
    <w:p>
      <w:pPr>
        <w:spacing w:after="120"/>
        <w:jc w:val="center"/>
      </w:pPr>
      <w:r>
        <w:rPr>
          <w:rFonts w:ascii="Arial" w:cs="Arial" w:eastAsia="Arial" w:hAnsi="Arial"/>
          <w:i/>
          <w:iCs/>
          <w:color w:val="555555"/>
          <w:sz w:val="24"/>
          <w:szCs w:val="24"/>
        </w:rPr>
        <w:t xml:space="preserve">Boundary / Complex-Scenario Test  ·  Edge Case Report</w:t>
      </w:r>
    </w:p>
    <w:p>
      <w:pPr>
        <w:spacing w:after="360"/>
        <w:jc w:val="center"/>
      </w:pPr>
      <w:r>
        <w:rPr>
          <w:rFonts w:ascii="Arial" w:cs="Arial" w:eastAsia="Arial" w:hAnsi="Arial"/>
          <w:color w:val="777777"/>
          <w:sz w:val="20"/>
          <w:szCs w:val="20"/>
        </w:rPr>
        <w:t xml:space="preserve">Session dossier-edge-20260810T1658  ·  2026-08-10</w:t>
      </w:r>
    </w:p>
    <w:tbl>
      <w:tblPr>
        <w:tblW w:type="pct" w:w="100%"/>
        <w:tblBorders>
          <w:top w:val="single" w:color="999999" w:sz="4"/>
          <w:left w:val="single" w:color="888888" w:sz="12"/>
          <w:bottom w:val="single" w:color="999999" w:sz="4"/>
          <w:right w:val="single" w:color="999999" w:sz="4"/>
          <w:insideH w:val="single" w:color="auto" w:sz="4"/>
          <w:insideV w:val="single" w:color="auto" w:sz="4"/>
        </w:tblBorders>
      </w:tblPr>
      <w:tblGrid>
        <w:gridCol w:w="100"/>
      </w:tblGrid>
      <w:tr>
        <w:tc>
          <w:tcPr>
            <w:shd w:fill="e8f0f8" w:color="auto" w:val="clear"/>
          </w:tcPr>
          <w:p>
            <w:pPr>
              <w:spacing w:after="40"/>
            </w:pPr>
            <w:r>
              <w:rPr>
                <w:rFonts w:ascii="Arial" w:cs="Arial" w:eastAsia="Arial" w:hAnsi="Arial"/>
                <w:b/>
                <w:bCs/>
                <w:sz w:val="22"/>
                <w:szCs w:val="22"/>
              </w:rPr>
              <w:t xml:space="preserve">Reading note: </w:t>
            </w:r>
            <w:r>
              <w:rPr>
                <w:rFonts w:ascii="Arial" w:cs="Arial" w:eastAsia="Arial" w:hAnsi="Arial"/>
                <w:sz w:val="22"/>
                <w:szCs w:val="22"/>
              </w:rPr>
              <w:t xml:space="preserve">This document is the dossier skill's honest output when its hard stop conditions trigger. It is intentionally light on entity facts because no entity was supplied. It is heavy on process, risks, and the minimum safe path forward — which is what decision-grade research looks like at the boundary.</w:t>
            </w:r>
          </w:p>
        </w:tc>
      </w:tr>
    </w:tbl>
    <w:p>
      <w:pPr>
        <w:pStyle w:val="Heading1"/>
        <w:spacing w:after="160" w:before="360"/>
      </w:pPr>
      <w:r>
        <w:rPr>
          <w:rFonts w:ascii="Arial" w:cs="Arial" w:eastAsia="Arial" w:hAnsi="Arial"/>
          <w:b/>
          <w:bCs/>
          <w:color w:val="1a3a5c"/>
          <w:sz w:val="32"/>
          <w:szCs w:val="32"/>
        </w:rPr>
        <w:t xml:space="preserve">1. Executive Summary</w:t>
      </w:r>
    </w:p>
    <w:p>
      <w:pPr>
        <w:spacing w:after="120"/>
      </w:pPr>
      <w:r>
        <w:rPr>
          <w:rFonts w:ascii="Arial" w:cs="Arial" w:eastAsia="Arial" w:hAnsi="Arial"/>
          <w:sz w:val="22"/>
          <w:szCs w:val="22"/>
        </w:rPr>
        <w:t xml:space="preserve">Subject: </w:t>
      </w:r>
      <w:r>
        <w:rPr>
          <w:rFonts w:ascii="Arial" w:cs="Arial" w:eastAsia="Arial" w:hAnsi="Arial"/>
          <w:i/>
          <w:iCs/>
          <w:color w:val="c0392b"/>
          <w:sz w:val="22"/>
          <w:szCs w:val="22"/>
        </w:rPr>
        <w:t xml:space="preserve">(not specified by requester)</w:t>
      </w:r>
      <w:r>
        <w:rPr>
          <w:rFonts w:ascii="Arial" w:cs="Arial" w:eastAsia="Arial" w:hAnsi="Arial"/>
          <w:sz w:val="22"/>
          <w:szCs w:val="22"/>
        </w:rPr>
        <w:t xml:space="preserve">  |  Session: </w:t>
      </w:r>
      <w:r>
        <w:rPr>
          <w:rFonts w:ascii="Courier New" w:cs="Courier New" w:eastAsia="Courier New" w:hAnsi="Courier New"/>
          <w:sz w:val="22"/>
          <w:szCs w:val="22"/>
        </w:rPr>
        <w:t xml:space="preserve">dossier-edge-20260810T1658</w:t>
      </w:r>
      <w:r>
        <w:rPr>
          <w:rFonts w:ascii="Arial" w:cs="Arial" w:eastAsia="Arial" w:hAnsi="Arial"/>
          <w:sz w:val="22"/>
          <w:szCs w:val="22"/>
        </w:rPr>
        <w:t xml:space="preserve">  |  Date: </w:t>
      </w:r>
      <w:r>
        <w:rPr>
          <w:rFonts w:ascii="Arial" w:cs="Arial" w:eastAsia="Arial" w:hAnsi="Arial"/>
          <w:sz w:val="22"/>
          <w:szCs w:val="22"/>
        </w:rPr>
        <w:t xml:space="preserve">2026-08-10</w:t>
      </w:r>
    </w:p>
    <w:p>
      <w:pPr>
        <w:spacing w:after="120"/>
      </w:pPr>
      <w:r>
        <w:rPr>
          <w:rFonts w:ascii="Arial" w:cs="Arial" w:eastAsia="Arial" w:hAnsi="Arial"/>
          <w:sz w:val="22"/>
          <w:szCs w:val="22"/>
        </w:rPr>
        <w:t xml:space="preserve">This dossier was commissioned as a boundary / complex-scenario test of the dossier skill itself. The requester's brief describes a scenario where search keywords are ambiguous, the available paper set is small, and published conclusions conflict. The brief does NOT name a specific person, company, nonprofit, government entity, or issue to research.</w:t>
      </w:r>
    </w:p>
    <w:tbl>
      <w:tblPr>
        <w:tblW w:type="pct" w:w="100%"/>
        <w:tblBorders>
          <w:top w:val="single" w:color="999999" w:sz="4"/>
          <w:left w:val="single" w:color="c0392b" w:sz="12"/>
          <w:bottom w:val="single" w:color="999999" w:sz="4"/>
          <w:right w:val="single" w:color="999999" w:sz="4"/>
          <w:insideH w:val="single" w:color="auto" w:sz="4"/>
          <w:insideV w:val="single" w:color="auto" w:sz="4"/>
        </w:tblBorders>
      </w:tblPr>
      <w:tblGrid>
        <w:gridCol w:w="100"/>
      </w:tblGrid>
      <w:tr>
        <w:tc>
          <w:tcPr>
            <w:shd w:fill="fdecea" w:color="auto" w:val="clear"/>
          </w:tcPr>
          <w:p>
            <w:pPr>
              <w:spacing w:after="40"/>
            </w:pPr>
            <w:r>
              <w:rPr>
                <w:rFonts w:ascii="Arial" w:cs="Arial" w:eastAsia="Arial" w:hAnsi="Arial"/>
                <w:b/>
                <w:bCs/>
                <w:sz w:val="22"/>
                <w:szCs w:val="22"/>
              </w:rPr>
              <w:t xml:space="preserve">Verdict on hypothesis: </w:t>
            </w:r>
            <w:r>
              <w:rPr>
                <w:rFonts w:ascii="Arial" w:cs="Arial" w:eastAsia="Arial" w:hAnsi="Arial"/>
                <w:b/>
                <w:bCs/>
                <w:color w:val="c0392b"/>
                <w:sz w:val="22"/>
                <w:szCs w:val="22"/>
              </w:rPr>
              <w:t xml:space="preserve">INCONCLUSIVE — and structurally so. </w:t>
            </w:r>
            <w:r>
              <w:rPr>
                <w:rFonts w:ascii="Arial" w:cs="Arial" w:eastAsia="Arial" w:hAnsi="Arial"/>
                <w:sz w:val="22"/>
                <w:szCs w:val="22"/>
              </w:rPr>
              <w:t xml:space="preserve">Per SKILL.md Phase 1 (Q1) and Phase 2 (Subject Disambiguation), the skill refuses to proceed on an ambiguous or unspecified subject. No Phase 4 searches were executed. The verdict is not a finding about any entity; it is the skill's honest halt state.</w:t>
            </w:r>
          </w:p>
        </w:tc>
      </w:tr>
    </w:tbl>
    <w:p>
      <w:pPr>
        <w:pStyle w:val="Heading2"/>
        <w:spacing w:after="100" w:before="240"/>
      </w:pPr>
      <w:r>
        <w:rPr>
          <w:rFonts w:ascii="Arial" w:cs="Arial" w:eastAsia="Arial" w:hAnsi="Arial"/>
          <w:b/>
          <w:bCs/>
          <w:color w:val="1a3a5c"/>
          <w:sz w:val="26"/>
          <w:szCs w:val="26"/>
        </w:rPr>
        <w:t xml:space="preserve">Three things you should know</w:t>
      </w:r>
    </w:p>
    <w:p>
      <w:pPr>
        <w:pStyle w:val="ListParagraph"/>
        <w:numPr>
          <w:ilvl w:val="0"/>
          <w:numId w:val="1"/>
        </w:numPr>
        <w:spacing w:after="80"/>
      </w:pPr>
      <w:r>
        <w:rPr>
          <w:rFonts w:ascii="Arial" w:cs="Arial" w:eastAsia="Arial" w:hAnsi="Arial"/>
          <w:b/>
          <w:bCs/>
          <w:sz w:val="22"/>
          <w:szCs w:val="22"/>
        </w:rPr>
        <w:t xml:space="preserve">Stop condition triggered. </w:t>
      </w:r>
      <w:r>
        <w:rPr>
          <w:rFonts w:ascii="Arial" w:cs="Arial" w:eastAsia="Arial" w:hAnsi="Arial"/>
          <w:sz w:val="22"/>
          <w:szCs w:val="22"/>
        </w:rPr>
        <w:t xml:space="preserve">Q1 (subject identity) was not answered and Q2 (subject type) was not answered. SKILL.md is explicit: "Refuse to proceed on ambiguous names" and, after Q1 push-back, "halt and re-ask Q1 ... Refuse to proceed." This is a hard stop, not a soft preference.</w:t>
      </w:r>
    </w:p>
    <w:p>
      <w:pPr>
        <w:pStyle w:val="ListParagraph"/>
        <w:numPr>
          <w:ilvl w:val="0"/>
          <w:numId w:val="1"/>
        </w:numPr>
        <w:spacing w:after="80"/>
      </w:pPr>
      <w:r>
        <w:rPr>
          <w:rFonts w:ascii="Arial" w:cs="Arial" w:eastAsia="Arial" w:hAnsi="Arial"/>
          <w:b/>
          <w:bCs/>
          <w:sz w:val="22"/>
          <w:szCs w:val="22"/>
        </w:rPr>
        <w:t xml:space="preserve">Q4 hypothesis is on implicit fallback. </w:t>
      </w:r>
      <w:r>
        <w:rPr>
          <w:rFonts w:ascii="Arial" w:cs="Arial" w:eastAsia="Arial" w:hAnsi="Arial"/>
          <w:sz w:val="22"/>
          <w:szCs w:val="22"/>
        </w:rPr>
        <w:t xml:space="preserve">No explicit hypothesis was provided. Per the error-handling table, the skill falls back to "what's the most surprising thing I could find about this entity?" and flags the fallback in the audit log. The fallback is moot here because there is no entity to be surprising about.</w:t>
      </w:r>
    </w:p>
    <w:p>
      <w:pPr>
        <w:pStyle w:val="ListParagraph"/>
        <w:numPr>
          <w:ilvl w:val="0"/>
          <w:numId w:val="1"/>
        </w:numPr>
        <w:spacing w:after="80"/>
      </w:pPr>
      <w:r>
        <w:rPr>
          <w:rFonts w:ascii="Arial" w:cs="Arial" w:eastAsia="Arial" w:hAnsi="Arial"/>
          <w:b/>
          <w:bCs/>
          <w:sz w:val="22"/>
          <w:szCs w:val="22"/>
        </w:rPr>
        <w:t xml:space="preserve">No entity, paper, citation, patent number, or statistic was fabricated. </w:t>
      </w:r>
      <w:r>
        <w:rPr>
          <w:rFonts w:ascii="Arial" w:cs="Arial" w:eastAsia="Arial" w:hAnsi="Arial"/>
          <w:sz w:val="22"/>
          <w:szCs w:val="22"/>
        </w:rPr>
        <w:t xml:space="preserve">Every section below that would normally contain evidence is marked "pending subject confirmation." This is the behavior the skill's Agent Integrity Rules require when source coverage is zero.</w:t>
      </w:r>
    </w:p>
    <w:p>
      <w:pPr>
        <w:pStyle w:val="Heading2"/>
        <w:spacing w:after="100" w:before="240"/>
      </w:pPr>
      <w:r>
        <w:rPr>
          <w:rFonts w:ascii="Arial" w:cs="Arial" w:eastAsia="Arial" w:hAnsi="Arial"/>
          <w:b/>
          <w:bCs/>
          <w:color w:val="1a3a5c"/>
          <w:sz w:val="26"/>
          <w:szCs w:val="26"/>
        </w:rPr>
        <w:t xml:space="preserve">Goal, basis, steps, key trade-offs, risks, measurement, next steps (as requested)</w:t>
      </w:r>
    </w:p>
    <w:p>
      <w:pPr>
        <w:pStyle w:val="ListParagraph"/>
        <w:numPr>
          <w:ilvl w:val="0"/>
          <w:numId w:val="1"/>
        </w:numPr>
        <w:spacing w:after="80"/>
      </w:pPr>
      <w:r>
        <w:rPr>
          <w:rFonts w:ascii="Arial" w:cs="Arial" w:eastAsia="Arial" w:hAnsi="Arial"/>
          <w:b/>
          <w:bCs/>
          <w:sz w:val="22"/>
          <w:szCs w:val="22"/>
        </w:rPr>
        <w:t xml:space="preserve">Goal: </w:t>
      </w:r>
      <w:r>
        <w:rPr>
          <w:rFonts w:ascii="Arial" w:cs="Arial" w:eastAsia="Arial" w:hAnsi="Arial"/>
          <w:sz w:val="22"/>
          <w:szCs w:val="22"/>
        </w:rPr>
        <w:t xml:space="preserve">produce a decision-grade dossier that tests a stated hypothesis against both supporting and disconfirming evidence, with tiered citations and an auditable trail.</w:t>
      </w:r>
    </w:p>
    <w:p>
      <w:pPr>
        <w:pStyle w:val="ListParagraph"/>
        <w:numPr>
          <w:ilvl w:val="0"/>
          <w:numId w:val="1"/>
        </w:numPr>
        <w:spacing w:after="80"/>
      </w:pPr>
      <w:r>
        <w:rPr>
          <w:rFonts w:ascii="Arial" w:cs="Arial" w:eastAsia="Arial" w:hAnsi="Arial"/>
          <w:b/>
          <w:bCs/>
          <w:sz w:val="22"/>
          <w:szCs w:val="22"/>
        </w:rPr>
        <w:t xml:space="preserve">Basis: </w:t>
      </w:r>
      <w:r>
        <w:rPr>
          <w:rFonts w:ascii="Arial" w:cs="Arial" w:eastAsia="Arial" w:hAnsi="Arial"/>
          <w:sz w:val="22"/>
          <w:szCs w:val="22"/>
        </w:rPr>
        <w:t xml:space="preserve">dossier SKILL.md v1.0.0 and its three reference documents (hypothesis-testing discipline, subject-type source matrix, conversation-hook quality), plus three stdlib scripts (citation_tracker, disconfirming_evidence_balance, source_tier_classifier).</w:t>
      </w:r>
    </w:p>
    <w:p>
      <w:pPr>
        <w:pStyle w:val="ListParagraph"/>
        <w:numPr>
          <w:ilvl w:val="0"/>
          <w:numId w:val="1"/>
        </w:numPr>
        <w:spacing w:after="80"/>
      </w:pPr>
      <w:r>
        <w:rPr>
          <w:rFonts w:ascii="Arial" w:cs="Arial" w:eastAsia="Arial" w:hAnsi="Arial"/>
          <w:b/>
          <w:bCs/>
          <w:sz w:val="22"/>
          <w:szCs w:val="22"/>
        </w:rPr>
        <w:t xml:space="preserve">Steps (nominal, not executed past intake): </w:t>
      </w:r>
      <w:r>
        <w:rPr>
          <w:rFonts w:ascii="Arial" w:cs="Arial" w:eastAsia="Arial" w:hAnsi="Arial"/>
          <w:sz w:val="22"/>
          <w:szCs w:val="22"/>
        </w:rPr>
        <w:t xml:space="preserve">Phase 1 six-question intake → Phase 2 disambiguation → Phase 3 source-matrix selection → Phase 4 hypothesis-driven search with ≥30% disconfirming budget → Phase 5 12-month timeline → Phase 6 network/reputation → Phase 7 red flags → Phase 8 conversation hooks → Phase 9 DOCX → Phase 10 delivery + zip-integrity check.</w:t>
      </w:r>
    </w:p>
    <w:p>
      <w:pPr>
        <w:pStyle w:val="ListParagraph"/>
        <w:numPr>
          <w:ilvl w:val="0"/>
          <w:numId w:val="1"/>
        </w:numPr>
        <w:spacing w:after="80"/>
      </w:pPr>
      <w:r>
        <w:rPr>
          <w:rFonts w:ascii="Arial" w:cs="Arial" w:eastAsia="Arial" w:hAnsi="Arial"/>
          <w:b/>
          <w:bCs/>
          <w:sz w:val="22"/>
          <w:szCs w:val="22"/>
        </w:rPr>
        <w:t xml:space="preserve">Key trade-off honored here: </w:t>
      </w:r>
      <w:r>
        <w:rPr>
          <w:rFonts w:ascii="Arial" w:cs="Arial" w:eastAsia="Arial" w:hAnsi="Arial"/>
          <w:sz w:val="22"/>
          <w:szCs w:val="22"/>
        </w:rPr>
        <w:t xml:space="preserve">fewer, higher-tier citations beat many tertiary ones; an honest INCONCLUSIVE beats a fabricated SUPPORTED; specific finding-tied hooks beat generic openers.</w:t>
      </w:r>
    </w:p>
    <w:p>
      <w:pPr>
        <w:pStyle w:val="ListParagraph"/>
        <w:numPr>
          <w:ilvl w:val="0"/>
          <w:numId w:val="1"/>
        </w:numPr>
        <w:spacing w:after="80"/>
      </w:pPr>
      <w:r>
        <w:rPr>
          <w:rFonts w:ascii="Arial" w:cs="Arial" w:eastAsia="Arial" w:hAnsi="Arial"/>
          <w:b/>
          <w:bCs/>
          <w:sz w:val="22"/>
          <w:szCs w:val="22"/>
        </w:rPr>
        <w:t xml:space="preserve">Risks if the user had pushed through without a subject: </w:t>
      </w:r>
      <w:r>
        <w:rPr>
          <w:rFonts w:ascii="Arial" w:cs="Arial" w:eastAsia="Arial" w:hAnsi="Arial"/>
          <w:sz w:val="22"/>
          <w:szCs w:val="22"/>
        </w:rPr>
        <w:t xml:space="preserve">(a) researching the wrong homograph entity; (b) inventing plausible-but-false papers to fill the small-paper scenario; (c) confirmation-biased verdict from a vague hypothesis; (d) generic conversation hooks that provide no decision value.</w:t>
      </w:r>
    </w:p>
    <w:p>
      <w:pPr>
        <w:pStyle w:val="ListParagraph"/>
        <w:numPr>
          <w:ilvl w:val="0"/>
          <w:numId w:val="1"/>
        </w:numPr>
        <w:spacing w:after="80"/>
      </w:pPr>
      <w:r>
        <w:rPr>
          <w:rFonts w:ascii="Arial" w:cs="Arial" w:eastAsia="Arial" w:hAnsi="Arial"/>
          <w:b/>
          <w:bCs/>
          <w:sz w:val="22"/>
          <w:szCs w:val="22"/>
        </w:rPr>
        <w:t xml:space="preserve">How this dossier is measured: </w:t>
      </w:r>
      <w:r>
        <w:rPr>
          <w:rFonts w:ascii="Arial" w:cs="Arial" w:eastAsia="Arial" w:hAnsi="Arial"/>
          <w:sz w:val="22"/>
          <w:szCs w:val="22"/>
        </w:rPr>
        <w:t xml:space="preserve">three-count audit (queries sent / sources received / sources cited), per-tier breakdown, disconfirming ratio ≥30%, tier-weighted verdict, zip integrity of the .docx, presence of all 9 required sections.</w:t>
      </w:r>
    </w:p>
    <w:p>
      <w:pPr>
        <w:pStyle w:val="ListParagraph"/>
        <w:numPr>
          <w:ilvl w:val="0"/>
          <w:numId w:val="1"/>
        </w:numPr>
        <w:spacing w:after="80"/>
      </w:pPr>
      <w:r>
        <w:rPr>
          <w:rFonts w:ascii="Arial" w:cs="Arial" w:eastAsia="Arial" w:hAnsi="Arial"/>
          <w:b/>
          <w:bCs/>
          <w:sz w:val="22"/>
          <w:szCs w:val="22"/>
        </w:rPr>
        <w:t xml:space="preserve">Next step (the only safe one): </w:t>
      </w:r>
      <w:r>
        <w:rPr>
          <w:rFonts w:ascii="Arial" w:cs="Arial" w:eastAsia="Arial" w:hAnsi="Arial"/>
          <w:sz w:val="22"/>
          <w:szCs w:val="22"/>
        </w:rPr>
        <w:t xml:space="preserve">the requester provides Q1 (exact subject name + a second identifier such as domain, LinkedIn URL, or employer+role+city), Q2 (type), Q3 (purpose), and Q4 (a specific, falsifiable hypothesis). Phase 2 then proceeds.</w:t>
      </w:r>
    </w:p>
    <w:p>
      <w:pPr>
        <w:pStyle w:val="Heading1"/>
        <w:spacing w:after="160" w:before="360"/>
      </w:pPr>
      <w:r>
        <w:rPr>
          <w:rFonts w:ascii="Arial" w:cs="Arial" w:eastAsia="Arial" w:hAnsi="Arial"/>
          <w:b/>
          <w:bCs/>
          <w:color w:val="1a3a5c"/>
          <w:sz w:val="32"/>
          <w:szCs w:val="32"/>
        </w:rPr>
        <w:t xml:space="preserve">2. Identity Facts Table</w:t>
      </w:r>
    </w:p>
    <w:p>
      <w:pPr>
        <w:spacing w:after="120"/>
      </w:pPr>
      <w:r>
        <w:rPr>
          <w:rFonts w:ascii="Arial" w:cs="Arial" w:eastAsia="Arial" w:hAnsi="Arial"/>
          <w:sz w:val="22"/>
          <w:szCs w:val="22"/>
        </w:rPr>
        <w:t xml:space="preserve">All cells would normally carry a hover-text tier. No identity facts are populated because the subject was not specified. The table is preserved in its required schema so it can be filled in once Q1–Q2 are answered.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f0f8" w:color="auto" w:val="clear"/>
          </w:tcPr>
          <w:p>
            <w:pPr>
              <w:spacing w:after="40"/>
            </w:pPr>
            <w:r>
              <w:rPr>
                <w:rFonts w:ascii="Arial" w:cs="Arial" w:eastAsia="Arial" w:hAnsi="Arial"/>
                <w:b/>
                <w:bCs/>
                <w:color w:val="000000"/>
                <w:sz w:val="20"/>
                <w:szCs w:val="20"/>
              </w:rPr>
              <w:t xml:space="preserve">Field</w:t>
            </w:r>
          </w:p>
        </w:tc>
        <w:tc>
          <w:tcPr>
            <w:shd w:fill="e8f0f8" w:color="auto" w:val="clear"/>
          </w:tcPr>
          <w:p>
            <w:pPr>
              <w:spacing w:after="40"/>
            </w:pPr>
            <w:r>
              <w:rPr>
                <w:rFonts w:ascii="Arial" w:cs="Arial" w:eastAsia="Arial" w:hAnsi="Arial"/>
                <w:b/>
                <w:bCs/>
                <w:color w:val="000000"/>
                <w:sz w:val="20"/>
                <w:szCs w:val="20"/>
              </w:rPr>
              <w:t xml:space="preserve">Value</w:t>
            </w:r>
          </w:p>
        </w:tc>
        <w:tc>
          <w:tcPr>
            <w:shd w:fill="e8f0f8" w:color="auto" w:val="clear"/>
          </w:tcPr>
          <w:p>
            <w:pPr>
              <w:spacing w:after="40"/>
            </w:pPr>
            <w:r>
              <w:rPr>
                <w:rFonts w:ascii="Arial" w:cs="Arial" w:eastAsia="Arial" w:hAnsi="Arial"/>
                <w:b/>
                <w:bCs/>
                <w:color w:val="000000"/>
                <w:sz w:val="20"/>
                <w:szCs w:val="20"/>
              </w:rPr>
              <w:t xml:space="preserve">Source tier</w:t>
            </w:r>
          </w:p>
        </w:tc>
      </w:tr>
      <w:tr>
        <w:tc>
          <w:p>
            <w:pPr>
              <w:spacing w:after="40"/>
            </w:pPr>
            <w:r>
              <w:rPr>
                <w:rFonts w:ascii="Arial" w:cs="Arial" w:eastAsia="Arial" w:hAnsi="Arial"/>
                <w:b/>
                <w:bCs/>
                <w:color w:val="000000"/>
                <w:sz w:val="20"/>
                <w:szCs w:val="20"/>
              </w:rPr>
              <w:t xml:space="preserve">Subject name</w:t>
            </w:r>
          </w:p>
        </w:tc>
        <w:tc>
          <w:p>
            <w:pPr>
              <w:spacing w:after="40"/>
            </w:pPr>
            <w:r>
              <w:rPr>
                <w:rFonts w:ascii="Arial" w:cs="Arial" w:eastAsia="Arial" w:hAnsi="Arial"/>
                <w:i/>
                <w:iCs/>
                <w:color w:val="c0392b"/>
                <w:sz w:val="22"/>
                <w:szCs w:val="22"/>
              </w:rPr>
              <w:t xml:space="preserve">(not provided — pending Q1)</w:t>
            </w:r>
          </w:p>
        </w:tc>
        <w:tc>
          <w:p>
            <w:pPr>
              <w:spacing w:after="40"/>
            </w:pPr>
            <w:r>
              <w:rPr>
                <w:rFonts w:ascii="Arial" w:cs="Arial" w:eastAsia="Arial" w:hAnsi="Arial"/>
                <w:b/>
                <w:bCs/>
                <w:color w:val="666666"/>
                <w:sz w:val="20"/>
                <w:szCs w:val="20"/>
              </w:rPr>
              <w:t xml:space="preserve">[N/A]</w:t>
            </w:r>
          </w:p>
        </w:tc>
      </w:tr>
      <w:tr>
        <w:tc>
          <w:p>
            <w:pPr>
              <w:spacing w:after="40"/>
            </w:pPr>
            <w:r>
              <w:rPr>
                <w:rFonts w:ascii="Arial" w:cs="Arial" w:eastAsia="Arial" w:hAnsi="Arial"/>
                <w:b/>
                <w:bCs/>
                <w:color w:val="000000"/>
                <w:sz w:val="20"/>
                <w:szCs w:val="20"/>
              </w:rPr>
              <w:t xml:space="preserve">Subject type (Q2)</w:t>
            </w:r>
          </w:p>
        </w:tc>
        <w:tc>
          <w:p>
            <w:pPr>
              <w:spacing w:after="40"/>
            </w:pPr>
            <w:r>
              <w:rPr>
                <w:rFonts w:ascii="Arial" w:cs="Arial" w:eastAsia="Arial" w:hAnsi="Arial"/>
                <w:i/>
                <w:iCs/>
                <w:color w:val="c0392b"/>
                <w:sz w:val="22"/>
                <w:szCs w:val="22"/>
              </w:rPr>
              <w:t xml:space="preserve">(not provided — person / company / nonprofit / gov / other)</w:t>
            </w:r>
          </w:p>
        </w:tc>
        <w:tc>
          <w:p>
            <w:pPr>
              <w:spacing w:after="40"/>
            </w:pPr>
            <w:r>
              <w:rPr>
                <w:rFonts w:ascii="Arial" w:cs="Arial" w:eastAsia="Arial" w:hAnsi="Arial"/>
                <w:b/>
                <w:bCs/>
                <w:color w:val="666666"/>
                <w:sz w:val="20"/>
                <w:szCs w:val="20"/>
              </w:rPr>
              <w:t xml:space="preserve">[N/A]</w:t>
            </w:r>
          </w:p>
        </w:tc>
      </w:tr>
      <w:tr>
        <w:tc>
          <w:p>
            <w:pPr>
              <w:spacing w:after="40"/>
            </w:pPr>
            <w:r>
              <w:rPr>
                <w:rFonts w:ascii="Arial" w:cs="Arial" w:eastAsia="Arial" w:hAnsi="Arial"/>
                <w:b/>
                <w:bCs/>
                <w:color w:val="000000"/>
                <w:sz w:val="20"/>
                <w:szCs w:val="20"/>
              </w:rPr>
              <w:t xml:space="preserve">Founded / born</w:t>
            </w:r>
          </w:p>
        </w:tc>
        <w:tc>
          <w:p>
            <w:pPr>
              <w:spacing w:after="40"/>
            </w:pPr>
            <w:r>
              <w:rPr>
                <w:rFonts w:ascii="Arial" w:cs="Arial" w:eastAsia="Arial" w:hAnsi="Arial"/>
                <w:b w:val="false"/>
                <w:bCs w:val="false"/>
                <w:color w:val="000000"/>
                <w:sz w:val="20"/>
                <w:szCs w:val="20"/>
              </w:rPr>
              <w:t xml:space="preserve">pending subject confirmation</w:t>
            </w:r>
          </w:p>
        </w:tc>
        <w:tc>
          <w:p>
            <w:pPr>
              <w:spacing w:after="40"/>
            </w:pPr>
            <w:r>
              <w:rPr>
                <w:rFonts w:ascii="Arial" w:cs="Arial" w:eastAsia="Arial" w:hAnsi="Arial"/>
                <w:b/>
                <w:bCs/>
                <w:color w:val="666666"/>
                <w:sz w:val="20"/>
                <w:szCs w:val="20"/>
              </w:rPr>
              <w:t xml:space="preserve">[N/A]</w:t>
            </w:r>
          </w:p>
        </w:tc>
      </w:tr>
      <w:tr>
        <w:tc>
          <w:p>
            <w:pPr>
              <w:spacing w:after="40"/>
            </w:pPr>
            <w:r>
              <w:rPr>
                <w:rFonts w:ascii="Arial" w:cs="Arial" w:eastAsia="Arial" w:hAnsi="Arial"/>
                <w:b/>
                <w:bCs/>
                <w:color w:val="000000"/>
                <w:sz w:val="20"/>
                <w:szCs w:val="20"/>
              </w:rPr>
              <w:t xml:space="preserve">Headquarters / location</w:t>
            </w:r>
          </w:p>
        </w:tc>
        <w:tc>
          <w:p>
            <w:pPr>
              <w:spacing w:after="40"/>
            </w:pPr>
            <w:r>
              <w:rPr>
                <w:rFonts w:ascii="Arial" w:cs="Arial" w:eastAsia="Arial" w:hAnsi="Arial"/>
                <w:b w:val="false"/>
                <w:bCs w:val="false"/>
                <w:color w:val="000000"/>
                <w:sz w:val="20"/>
                <w:szCs w:val="20"/>
              </w:rPr>
              <w:t xml:space="preserve">pending subject confirmation</w:t>
            </w:r>
          </w:p>
        </w:tc>
        <w:tc>
          <w:p>
            <w:pPr>
              <w:spacing w:after="40"/>
            </w:pPr>
            <w:r>
              <w:rPr>
                <w:rFonts w:ascii="Arial" w:cs="Arial" w:eastAsia="Arial" w:hAnsi="Arial"/>
                <w:b/>
                <w:bCs/>
                <w:color w:val="666666"/>
                <w:sz w:val="20"/>
                <w:szCs w:val="20"/>
              </w:rPr>
              <w:t xml:space="preserve">[N/A]</w:t>
            </w:r>
          </w:p>
        </w:tc>
      </w:tr>
      <w:tr>
        <w:tc>
          <w:p>
            <w:pPr>
              <w:spacing w:after="40"/>
            </w:pPr>
            <w:r>
              <w:rPr>
                <w:rFonts w:ascii="Arial" w:cs="Arial" w:eastAsia="Arial" w:hAnsi="Arial"/>
                <w:b/>
                <w:bCs/>
                <w:color w:val="000000"/>
                <w:sz w:val="20"/>
                <w:szCs w:val="20"/>
              </w:rPr>
              <w:t xml:space="preserve">Size / stage</w:t>
            </w:r>
          </w:p>
        </w:tc>
        <w:tc>
          <w:p>
            <w:pPr>
              <w:spacing w:after="40"/>
            </w:pPr>
            <w:r>
              <w:rPr>
                <w:rFonts w:ascii="Arial" w:cs="Arial" w:eastAsia="Arial" w:hAnsi="Arial"/>
                <w:b w:val="false"/>
                <w:bCs w:val="false"/>
                <w:color w:val="000000"/>
                <w:sz w:val="20"/>
                <w:szCs w:val="20"/>
              </w:rPr>
              <w:t xml:space="preserve">pending subject confirmation</w:t>
            </w:r>
          </w:p>
        </w:tc>
        <w:tc>
          <w:p>
            <w:pPr>
              <w:spacing w:after="40"/>
            </w:pPr>
            <w:r>
              <w:rPr>
                <w:rFonts w:ascii="Arial" w:cs="Arial" w:eastAsia="Arial" w:hAnsi="Arial"/>
                <w:b/>
                <w:bCs/>
                <w:color w:val="666666"/>
                <w:sz w:val="20"/>
                <w:szCs w:val="20"/>
              </w:rPr>
              <w:t xml:space="preserve">[N/A]</w:t>
            </w:r>
          </w:p>
        </w:tc>
      </w:tr>
      <w:tr>
        <w:tc>
          <w:p>
            <w:pPr>
              <w:spacing w:after="40"/>
            </w:pPr>
            <w:r>
              <w:rPr>
                <w:rFonts w:ascii="Arial" w:cs="Arial" w:eastAsia="Arial" w:hAnsi="Arial"/>
                <w:b/>
                <w:bCs/>
                <w:color w:val="000000"/>
                <w:sz w:val="20"/>
                <w:szCs w:val="20"/>
              </w:rPr>
              <w:t xml:space="preserve">Current role / leadership</w:t>
            </w:r>
          </w:p>
        </w:tc>
        <w:tc>
          <w:p>
            <w:pPr>
              <w:spacing w:after="40"/>
            </w:pPr>
            <w:r>
              <w:rPr>
                <w:rFonts w:ascii="Arial" w:cs="Arial" w:eastAsia="Arial" w:hAnsi="Arial"/>
                <w:b w:val="false"/>
                <w:bCs w:val="false"/>
                <w:color w:val="000000"/>
                <w:sz w:val="20"/>
                <w:szCs w:val="20"/>
              </w:rPr>
              <w:t xml:space="preserve">pending subject confirmation</w:t>
            </w:r>
          </w:p>
        </w:tc>
        <w:tc>
          <w:p>
            <w:pPr>
              <w:spacing w:after="40"/>
            </w:pPr>
            <w:r>
              <w:rPr>
                <w:rFonts w:ascii="Arial" w:cs="Arial" w:eastAsia="Arial" w:hAnsi="Arial"/>
                <w:b/>
                <w:bCs/>
                <w:color w:val="666666"/>
                <w:sz w:val="20"/>
                <w:szCs w:val="20"/>
              </w:rPr>
              <w:t xml:space="preserve">[N/A]</w:t>
            </w:r>
          </w:p>
        </w:tc>
      </w:tr>
      <w:tr>
        <w:tc>
          <w:p>
            <w:pPr>
              <w:spacing w:after="40"/>
            </w:pPr>
            <w:r>
              <w:rPr>
                <w:rFonts w:ascii="Arial" w:cs="Arial" w:eastAsia="Arial" w:hAnsi="Arial"/>
                <w:b/>
                <w:bCs/>
                <w:color w:val="000000"/>
                <w:sz w:val="20"/>
                <w:szCs w:val="20"/>
              </w:rPr>
              <w:t xml:space="preserve">Key affiliations</w:t>
            </w:r>
          </w:p>
        </w:tc>
        <w:tc>
          <w:p>
            <w:pPr>
              <w:spacing w:after="40"/>
            </w:pPr>
            <w:r>
              <w:rPr>
                <w:rFonts w:ascii="Arial" w:cs="Arial" w:eastAsia="Arial" w:hAnsi="Arial"/>
                <w:b w:val="false"/>
                <w:bCs w:val="false"/>
                <w:color w:val="000000"/>
                <w:sz w:val="20"/>
                <w:szCs w:val="20"/>
              </w:rPr>
              <w:t xml:space="preserve">pending subject confirmation</w:t>
            </w:r>
          </w:p>
        </w:tc>
        <w:tc>
          <w:p>
            <w:pPr>
              <w:spacing w:after="40"/>
            </w:pPr>
            <w:r>
              <w:rPr>
                <w:rFonts w:ascii="Arial" w:cs="Arial" w:eastAsia="Arial" w:hAnsi="Arial"/>
                <w:b/>
                <w:bCs/>
                <w:color w:val="666666"/>
                <w:sz w:val="20"/>
                <w:szCs w:val="20"/>
              </w:rPr>
              <w:t xml:space="preserve">[N/A]</w:t>
            </w:r>
          </w:p>
        </w:tc>
      </w:tr>
      <w:tr>
        <w:tc>
          <w:p>
            <w:pPr>
              <w:spacing w:after="40"/>
            </w:pPr>
            <w:r>
              <w:rPr>
                <w:rFonts w:ascii="Arial" w:cs="Arial" w:eastAsia="Arial" w:hAnsi="Arial"/>
                <w:b/>
                <w:bCs/>
                <w:color w:val="000000"/>
                <w:sz w:val="20"/>
                <w:szCs w:val="20"/>
              </w:rPr>
              <w:t xml:space="preserve">Website / unique identifier</w:t>
            </w:r>
          </w:p>
        </w:tc>
        <w:tc>
          <w:p>
            <w:pPr>
              <w:spacing w:after="40"/>
            </w:pPr>
            <w:r>
              <w:rPr>
                <w:rFonts w:ascii="Arial" w:cs="Arial" w:eastAsia="Arial" w:hAnsi="Arial"/>
                <w:b w:val="false"/>
                <w:bCs w:val="false"/>
                <w:color w:val="000000"/>
                <w:sz w:val="20"/>
                <w:szCs w:val="20"/>
              </w:rPr>
              <w:t xml:space="preserve">pending subject confirmation (required by Phase 2)</w:t>
            </w:r>
          </w:p>
        </w:tc>
        <w:tc>
          <w:p>
            <w:pPr>
              <w:spacing w:after="40"/>
            </w:pPr>
            <w:r>
              <w:rPr>
                <w:rFonts w:ascii="Arial" w:cs="Arial" w:eastAsia="Arial" w:hAnsi="Arial"/>
                <w:b/>
                <w:bCs/>
                <w:color w:val="666666"/>
                <w:sz w:val="20"/>
                <w:szCs w:val="20"/>
              </w:rPr>
              <w:t xml:space="preserve">[N/A]</w:t>
            </w:r>
          </w:p>
        </w:tc>
      </w:tr>
    </w:tbl>
    <w:p>
      <w:pPr>
        <w:pStyle w:val="Heading1"/>
        <w:spacing w:after="160" w:before="360"/>
      </w:pPr>
      <w:r>
        <w:rPr>
          <w:rFonts w:ascii="Arial" w:cs="Arial" w:eastAsia="Arial" w:hAnsi="Arial"/>
          <w:b/>
          <w:bCs/>
          <w:color w:val="1a3a5c"/>
          <w:sz w:val="32"/>
          <w:szCs w:val="32"/>
        </w:rPr>
        <w:t xml:space="preserve">3. Hypothesis Test</w:t>
      </w:r>
    </w:p>
    <w:p>
      <w:pPr>
        <w:pStyle w:val="Heading2"/>
        <w:spacing w:after="100" w:before="240"/>
      </w:pPr>
      <w:r>
        <w:rPr>
          <w:rFonts w:ascii="Arial" w:cs="Arial" w:eastAsia="Arial" w:hAnsi="Arial"/>
          <w:b/>
          <w:bCs/>
          <w:color w:val="1a3a5c"/>
          <w:sz w:val="26"/>
          <w:szCs w:val="26"/>
        </w:rPr>
        <w:t xml:space="preserve">User's stated hypothesis (verbatim)</w:t>
      </w:r>
    </w:p>
    <w:tbl>
      <w:tblPr>
        <w:tblW w:type="pct" w:w="100%"/>
        <w:tblBorders>
          <w:top w:val="single" w:color="999999" w:sz="4"/>
          <w:left w:val="single" w:color="888888" w:sz="12"/>
          <w:bottom w:val="single" w:color="999999" w:sz="4"/>
          <w:right w:val="single" w:color="999999" w:sz="4"/>
          <w:insideH w:val="single" w:color="auto" w:sz="4"/>
          <w:insideV w:val="single" w:color="auto" w:sz="4"/>
        </w:tblBorders>
      </w:tblPr>
      <w:tblGrid>
        <w:gridCol w:w="100"/>
      </w:tblGrid>
      <w:tr>
        <w:tc>
          <w:tcPr>
            <w:shd w:fill="f2f2f2" w:color="auto" w:val="clear"/>
          </w:tcPr>
          <w:p>
            <w:pPr>
              <w:spacing w:after="40"/>
            </w:pPr>
            <w:r>
              <w:rPr>
                <w:rFonts w:ascii="Arial" w:cs="Arial" w:eastAsia="Arial" w:hAnsi="Arial"/>
                <w:b/>
                <w:bCs/>
                <w:color w:val="c0392b"/>
                <w:sz w:val="22"/>
                <w:szCs w:val="22"/>
              </w:rPr>
              <w:t xml:space="preserve">(none provided by requester). </w:t>
            </w:r>
            <w:r>
              <w:rPr>
                <w:rFonts w:ascii="Arial" w:cs="Arial" w:eastAsia="Arial" w:hAnsi="Arial"/>
                <w:sz w:val="22"/>
                <w:szCs w:val="22"/>
              </w:rPr>
              <w:t xml:space="preserve">Implicit fallback applied per SKILL.md error-handling table: "</w:t>
            </w:r>
            <w:r>
              <w:rPr>
                <w:rFonts w:ascii="Arial" w:cs="Arial" w:eastAsia="Arial" w:hAnsi="Arial"/>
                <w:i/>
                <w:iCs/>
                <w:sz w:val="22"/>
                <w:szCs w:val="22"/>
              </w:rPr>
              <w:t xml:space="preserve">What's the most surprising thing I could find about this entity that would change someone's prior?</w:t>
            </w:r>
            <w:r>
              <w:rPr>
                <w:rFonts w:ascii="Arial" w:cs="Arial" w:eastAsia="Arial" w:hAnsi="Arial"/>
                <w:sz w:val="22"/>
                <w:szCs w:val="22"/>
              </w:rPr>
              <w:t xml:space="preserve">" — flagged in audit log. The fallback cannot be tested because no entity was supplied.</w:t>
            </w:r>
          </w:p>
        </w:tc>
      </w:tr>
    </w:tbl>
    <w:p>
      <w:pPr>
        <w:pStyle w:val="Heading2"/>
        <w:spacing w:after="100" w:before="240"/>
      </w:pPr>
      <w:r>
        <w:rPr>
          <w:rFonts w:ascii="Arial" w:cs="Arial" w:eastAsia="Arial" w:hAnsi="Arial"/>
          <w:b/>
          <w:bCs/>
          <w:color w:val="1a3a5c"/>
          <w:sz w:val="26"/>
          <w:szCs w:val="26"/>
        </w:rPr>
        <w:t xml:space="preserve">Supporting evidence</w:t>
      </w:r>
    </w:p>
    <w:p>
      <w:pPr>
        <w:pStyle w:val="ListParagraph"/>
        <w:numPr>
          <w:ilvl w:val="0"/>
          <w:numId w:val="1"/>
        </w:numPr>
        <w:spacing w:after="80"/>
      </w:pPr>
      <w:r>
        <w:rPr>
          <w:rFonts w:ascii="Arial" w:cs="Arial" w:eastAsia="Arial" w:hAnsi="Arial"/>
          <w:color w:val="666666"/>
          <w:sz w:val="22"/>
          <w:szCs w:val="22"/>
        </w:rPr>
        <w:t xml:space="preserve">(none). </w:t>
      </w:r>
      <w:r>
        <w:rPr>
          <w:rFonts w:ascii="Arial" w:cs="Arial" w:eastAsia="Arial" w:hAnsi="Arial"/>
          <w:sz w:val="22"/>
          <w:szCs w:val="22"/>
        </w:rPr>
        <w:t xml:space="preserve">Zero Phase 4 supporting queries were run. This is not evidence that the hypothesis is weak; it reflects the pre-Phase-2 halt.</w:t>
      </w:r>
    </w:p>
    <w:p>
      <w:pPr>
        <w:pStyle w:val="Heading2"/>
        <w:spacing w:after="100" w:before="240"/>
      </w:pPr>
      <w:r>
        <w:rPr>
          <w:rFonts w:ascii="Arial" w:cs="Arial" w:eastAsia="Arial" w:hAnsi="Arial"/>
          <w:b/>
          <w:bCs/>
          <w:color w:val="1a3a5c"/>
          <w:sz w:val="26"/>
          <w:szCs w:val="26"/>
        </w:rPr>
        <w:t xml:space="preserve">Disconfirming evidence</w:t>
      </w:r>
    </w:p>
    <w:p>
      <w:pPr>
        <w:pStyle w:val="ListParagraph"/>
        <w:numPr>
          <w:ilvl w:val="0"/>
          <w:numId w:val="1"/>
        </w:numPr>
        <w:spacing w:after="80"/>
      </w:pPr>
      <w:r>
        <w:rPr>
          <w:rFonts w:ascii="Arial" w:cs="Arial" w:eastAsia="Arial" w:hAnsi="Arial"/>
          <w:color w:val="666666"/>
          <w:sz w:val="22"/>
          <w:szCs w:val="22"/>
        </w:rPr>
        <w:t xml:space="preserve">(none). </w:t>
      </w:r>
      <w:r>
        <w:rPr>
          <w:rFonts w:ascii="Arial" w:cs="Arial" w:eastAsia="Arial" w:hAnsi="Arial"/>
          <w:sz w:val="22"/>
          <w:szCs w:val="22"/>
        </w:rPr>
        <w:t xml:space="preserve">Zero Phase 4 disconfirming queries were run. The ≥30% disconfirming rule is therefore not evaluable on content; see Section 9 for the structural ratio of 0/0.</w:t>
      </w:r>
    </w:p>
    <w:p>
      <w:pPr>
        <w:pStyle w:val="Heading2"/>
        <w:spacing w:after="100" w:before="240"/>
      </w:pPr>
      <w:r>
        <w:rPr>
          <w:rFonts w:ascii="Arial" w:cs="Arial" w:eastAsia="Arial" w:hAnsi="Arial"/>
          <w:b/>
          <w:bCs/>
          <w:color w:val="1a3a5c"/>
          <w:sz w:val="26"/>
          <w:szCs w:val="26"/>
        </w:rPr>
        <w:t xml:space="preserve">Verdict</w:t>
      </w:r>
    </w:p>
    <w:p>
      <w:pPr>
        <w:spacing w:after="120"/>
      </w:pPr>
      <w:r>
        <w:rPr>
          <w:rFonts w:ascii="Arial" w:cs="Arial" w:eastAsia="Arial" w:hAnsi="Arial"/>
          <w:sz w:val="22"/>
          <w:szCs w:val="22"/>
        </w:rPr>
        <w:t xml:space="preserve">INCONCLUSIVE. Per the verdict rubric in hypothesis_testing_discipline.md, INCONCLUSIVE is returned when evidence is roughly balanced OR when evidence is insufficient overall. Here the total cited evidence is 0, which falls below the rubric's floor of 3 cited items required for any directional verdict. The skill will not upgrade this to SUPPORTED / PARTIALLY SUPPORTED / DISPROVEN without primary or secondary sources returned by this session's tool calls.</w:t>
      </w:r>
    </w:p>
    <w:p>
      <w:pPr>
        <w:spacing w:after="120"/>
      </w:pPr>
      <w:r>
        <w:rPr>
          <w:rFonts w:ascii="Arial" w:cs="Arial" w:eastAsia="Arial" w:hAnsi="Arial"/>
          <w:b/>
          <w:bCs/>
          <w:sz w:val="22"/>
          <w:szCs w:val="22"/>
        </w:rPr>
        <w:t xml:space="preserve">Note on the small-paper / conflicting-conclusions scenario described in the brief: </w:t>
      </w:r>
      <w:r>
        <w:rPr>
          <w:rFonts w:ascii="Arial" w:cs="Arial" w:eastAsia="Arial" w:hAnsi="Arial"/>
          <w:sz w:val="22"/>
          <w:szCs w:val="22"/>
        </w:rPr>
        <w:t xml:space="preserve">even once a subject is supplied, if the available primary literature is small and the few papers that exist point in opposite directions, the tier-weighted verdict is expected to remain INCONCLUSIVE. That is the correct output, not a failure. The skill surfaces the conflict explicitly rather than averaging it away.</w:t>
      </w:r>
    </w:p>
    <w:p>
      <w:pPr>
        <w:pStyle w:val="Heading1"/>
        <w:spacing w:after="160" w:before="360"/>
      </w:pPr>
      <w:r>
        <w:rPr>
          <w:rFonts w:ascii="Arial" w:cs="Arial" w:eastAsia="Arial" w:hAnsi="Arial"/>
          <w:b/>
          <w:bCs/>
          <w:color w:val="1a3a5c"/>
          <w:sz w:val="32"/>
          <w:szCs w:val="32"/>
        </w:rPr>
        <w:t xml:space="preserve">4. 12-Month Activity Timeline</w:t>
      </w:r>
    </w:p>
    <w:p>
      <w:pPr>
        <w:spacing w:after="120"/>
      </w:pPr>
      <w:r>
        <w:rPr>
          <w:rFonts w:ascii="Arial" w:cs="Arial" w:eastAsia="Arial" w:hAnsi="Arial"/>
          <w:sz w:val="22"/>
          <w:szCs w:val="22"/>
        </w:rPr>
        <w:t xml:space="preserve">Default window: 2025-08-10 through 2026-08-10. Reverse-chronological. No entries — no subject to query, and the skill will not backfill a timeline from training memory. Each future entry will carry a hyperlink and a tier tag.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f0f8" w:color="auto" w:val="clear"/>
          </w:tcPr>
          <w:p>
            <w:pPr>
              <w:spacing w:after="40"/>
            </w:pPr>
            <w:r>
              <w:rPr>
                <w:rFonts w:ascii="Arial" w:cs="Arial" w:eastAsia="Arial" w:hAnsi="Arial"/>
                <w:b/>
                <w:bCs/>
                <w:color w:val="000000"/>
                <w:sz w:val="20"/>
                <w:szCs w:val="20"/>
              </w:rPr>
              <w:t xml:space="preserve">Date</w:t>
            </w:r>
          </w:p>
        </w:tc>
        <w:tc>
          <w:tcPr>
            <w:shd w:fill="e8f0f8" w:color="auto" w:val="clear"/>
          </w:tcPr>
          <w:p>
            <w:pPr>
              <w:spacing w:after="40"/>
            </w:pPr>
            <w:r>
              <w:rPr>
                <w:rFonts w:ascii="Arial" w:cs="Arial" w:eastAsia="Arial" w:hAnsi="Arial"/>
                <w:b/>
                <w:bCs/>
                <w:color w:val="000000"/>
                <w:sz w:val="20"/>
                <w:szCs w:val="20"/>
              </w:rPr>
              <w:t xml:space="preserve">Event category</w:t>
            </w:r>
          </w:p>
        </w:tc>
        <w:tc>
          <w:tcPr>
            <w:shd w:fill="e8f0f8" w:color="auto" w:val="clear"/>
          </w:tcPr>
          <w:p>
            <w:pPr>
              <w:spacing w:after="40"/>
            </w:pPr>
            <w:r>
              <w:rPr>
                <w:rFonts w:ascii="Arial" w:cs="Arial" w:eastAsia="Arial" w:hAnsi="Arial"/>
                <w:b/>
                <w:bCs/>
                <w:color w:val="000000"/>
                <w:sz w:val="20"/>
                <w:szCs w:val="20"/>
              </w:rPr>
              <w:t xml:space="preserve">Event</w:t>
            </w:r>
          </w:p>
        </w:tc>
        <w:tc>
          <w:tcPr>
            <w:shd w:fill="e8f0f8" w:color="auto" w:val="clear"/>
          </w:tcPr>
          <w:p>
            <w:pPr>
              <w:spacing w:after="40"/>
            </w:pPr>
            <w:r>
              <w:rPr>
                <w:rFonts w:ascii="Arial" w:cs="Arial" w:eastAsia="Arial" w:hAnsi="Arial"/>
                <w:b/>
                <w:bCs/>
                <w:color w:val="000000"/>
                <w:sz w:val="20"/>
                <w:szCs w:val="20"/>
              </w:rPr>
              <w:t xml:space="preserve">Source</w:t>
            </w:r>
          </w:p>
        </w:tc>
        <w:tc>
          <w:tcPr>
            <w:shd w:fill="e8f0f8" w:color="auto" w:val="clear"/>
          </w:tcPr>
          <w:p>
            <w:pPr>
              <w:spacing w:after="40"/>
            </w:pPr>
            <w:r>
              <w:rPr>
                <w:rFonts w:ascii="Arial" w:cs="Arial" w:eastAsia="Arial" w:hAnsi="Arial"/>
                <w:b/>
                <w:bCs/>
                <w:color w:val="000000"/>
                <w:sz w:val="20"/>
                <w:szCs w:val="20"/>
              </w:rPr>
              <w:t xml:space="preserve">Tier</w:t>
            </w:r>
          </w:p>
        </w:tc>
      </w:tr>
      <w:tr>
        <w:tc>
          <w:p>
            <w:pPr>
              <w:spacing w:after="40"/>
            </w:pPr>
            <w:r>
              <w:rPr>
                <w:rFonts w:ascii="Arial" w:cs="Arial" w:eastAsia="Arial" w:hAnsi="Arial"/>
                <w:b w:val="false"/>
                <w:bCs w:val="false"/>
                <w:color w:val="000000"/>
                <w:sz w:val="20"/>
                <w:szCs w:val="20"/>
              </w:rPr>
              <w:t xml:space="preserve">—</w:t>
            </w:r>
          </w:p>
        </w:tc>
        <w:tc>
          <w:p>
            <w:pPr>
              <w:spacing w:after="40"/>
            </w:pPr>
            <w:r>
              <w:rPr>
                <w:rFonts w:ascii="Arial" w:cs="Arial" w:eastAsia="Arial" w:hAnsi="Arial"/>
                <w:b w:val="false"/>
                <w:bCs w:val="false"/>
                <w:color w:val="000000"/>
                <w:sz w:val="20"/>
                <w:szCs w:val="20"/>
              </w:rPr>
              <w:t xml:space="preserve">—</w:t>
            </w:r>
          </w:p>
        </w:tc>
        <w:tc>
          <w:p>
            <w:pPr>
              <w:spacing w:after="40"/>
            </w:pPr>
            <w:r>
              <w:rPr>
                <w:rFonts w:ascii="Arial" w:cs="Arial" w:eastAsia="Arial" w:hAnsi="Arial"/>
                <w:i/>
                <w:iCs/>
                <w:color w:val="666666"/>
                <w:sz w:val="22"/>
                <w:szCs w:val="22"/>
              </w:rPr>
              <w:t xml:space="preserve">pending subject confirmation</w:t>
            </w:r>
          </w:p>
        </w:tc>
        <w:tc>
          <w:p>
            <w:pPr>
              <w:spacing w:after="40"/>
            </w:pPr>
            <w:r>
              <w:rPr>
                <w:rFonts w:ascii="Arial" w:cs="Arial" w:eastAsia="Arial" w:hAnsi="Arial"/>
                <w:b w:val="false"/>
                <w:bCs w:val="false"/>
                <w:color w:val="000000"/>
                <w:sz w:val="20"/>
                <w:szCs w:val="20"/>
              </w:rPr>
              <w:t xml:space="preserve">—</w:t>
            </w:r>
          </w:p>
        </w:tc>
        <w:tc>
          <w:p>
            <w:pPr>
              <w:spacing w:after="40"/>
            </w:pPr>
            <w:r>
              <w:rPr>
                <w:rFonts w:ascii="Arial" w:cs="Arial" w:eastAsia="Arial" w:hAnsi="Arial"/>
                <w:b/>
                <w:bCs/>
                <w:color w:val="666666"/>
                <w:sz w:val="20"/>
                <w:szCs w:val="20"/>
              </w:rPr>
              <w:t xml:space="preserve">[N/A]</w:t>
            </w:r>
          </w:p>
        </w:tc>
      </w:tr>
    </w:tbl>
    <w:p>
      <w:pPr>
        <w:pStyle w:val="Heading1"/>
        <w:spacing w:after="160" w:before="360"/>
      </w:pPr>
      <w:r>
        <w:rPr>
          <w:rFonts w:ascii="Arial" w:cs="Arial" w:eastAsia="Arial" w:hAnsi="Arial"/>
          <w:b/>
          <w:bCs/>
          <w:color w:val="1a3a5c"/>
          <w:sz w:val="32"/>
          <w:szCs w:val="32"/>
        </w:rPr>
        <w:t xml:space="preserve">5. Network Signals</w:t>
      </w:r>
    </w:p>
    <w:p>
      <w:pPr>
        <w:spacing w:after="120"/>
      </w:pPr>
      <w:r>
        <w:rPr>
          <w:rFonts w:ascii="Arial" w:cs="Arial" w:eastAsia="Arial" w:hAnsi="Arial"/>
          <w:sz w:val="22"/>
          <w:szCs w:val="22"/>
        </w:rPr>
        <w:t xml:space="preserve">5–10 entries ranked by relevance to the hypothesis would appear here (investors, customers, partners for companies; co-founders, advisors, employers for people; funders and board for nonprofits). None populated.</w:t>
      </w:r>
    </w:p>
    <w:p>
      <w:pPr>
        <w:pStyle w:val="ListParagraph"/>
        <w:numPr>
          <w:ilvl w:val="0"/>
          <w:numId w:val="1"/>
        </w:numPr>
        <w:spacing w:after="80"/>
      </w:pPr>
      <w:r>
        <w:rPr>
          <w:rFonts w:ascii="Arial" w:cs="Arial" w:eastAsia="Arial" w:hAnsi="Arial"/>
          <w:i/>
          <w:iCs/>
          <w:color w:val="666666"/>
          <w:sz w:val="22"/>
          <w:szCs w:val="22"/>
        </w:rPr>
        <w:t xml:space="preserve">pending subject confirmation</w:t>
      </w:r>
    </w:p>
    <w:p>
      <w:pPr>
        <w:pStyle w:val="Heading1"/>
        <w:spacing w:after="160" w:before="360"/>
      </w:pPr>
      <w:r>
        <w:rPr>
          <w:rFonts w:ascii="Arial" w:cs="Arial" w:eastAsia="Arial" w:hAnsi="Arial"/>
          <w:b/>
          <w:bCs/>
          <w:color w:val="1a3a5c"/>
          <w:sz w:val="32"/>
          <w:szCs w:val="32"/>
        </w:rPr>
        <w:t xml:space="preserve">6. Reputation Signals</w:t>
      </w:r>
    </w:p>
    <w:p>
      <w:pPr>
        <w:spacing w:after="120"/>
      </w:pPr>
      <w:r>
        <w:rPr>
          <w:rFonts w:ascii="Arial" w:cs="Arial" w:eastAsia="Arial" w:hAnsi="Arial"/>
          <w:sz w:val="22"/>
          <w:szCs w:val="22"/>
        </w:rPr>
        <w:t xml:space="preserve">Sentiment from recent news, Glassdoor (companies), peer mentions (people). The skill treats reputation data as noisy and tiers it accordingly. None populated.</w:t>
      </w:r>
    </w:p>
    <w:tbl>
      <w:tblPr>
        <w:tblW w:type="pct" w:w="100%"/>
        <w:tblBorders>
          <w:top w:val="single" w:color="999999" w:sz="4"/>
          <w:left w:val="single" w:color="888888" w:sz="12"/>
          <w:bottom w:val="single" w:color="999999" w:sz="4"/>
          <w:right w:val="single" w:color="999999" w:sz="4"/>
          <w:insideH w:val="single" w:color="auto" w:sz="4"/>
          <w:insideV w:val="single" w:color="auto" w:sz="4"/>
        </w:tblBorders>
      </w:tblPr>
      <w:tblGrid>
        <w:gridCol w:w="100"/>
      </w:tblGrid>
      <w:tr>
        <w:tc>
          <w:tcPr>
            <w:shd w:fill="f2f2f2" w:color="auto" w:val="clear"/>
          </w:tcPr>
          <w:p>
            <w:pPr>
              <w:spacing w:after="40"/>
            </w:pPr>
            <w:r>
              <w:rPr>
                <w:rFonts w:ascii="Arial" w:cs="Arial" w:eastAsia="Arial" w:hAnsi="Arial"/>
                <w:b/>
                <w:bCs/>
                <w:sz w:val="22"/>
                <w:szCs w:val="22"/>
              </w:rPr>
              <w:t xml:space="preserve">Per error-handling row "Sentiment data sparse": </w:t>
            </w:r>
            <w:r>
              <w:rPr>
                <w:rFonts w:ascii="Arial" w:cs="Arial" w:eastAsia="Arial" w:hAnsi="Arial"/>
                <w:sz w:val="22"/>
                <w:szCs w:val="22"/>
              </w:rPr>
              <w:t xml:space="preserve">when reputation coverage is thin, the section is marked "limited public signal" and the skill does not infer sentiment from training data. In this run the section is empty for the stronger reason that no subject was supplied.</w:t>
            </w:r>
          </w:p>
        </w:tc>
      </w:tr>
    </w:tbl>
    <w:p>
      <w:pPr>
        <w:pStyle w:val="Heading1"/>
        <w:spacing w:after="160" w:before="360"/>
      </w:pPr>
      <w:r>
        <w:rPr>
          <w:rFonts w:ascii="Arial" w:cs="Arial" w:eastAsia="Arial" w:hAnsi="Arial"/>
          <w:b/>
          <w:bCs/>
          <w:color w:val="1a3a5c"/>
          <w:sz w:val="32"/>
          <w:szCs w:val="32"/>
        </w:rPr>
        <w:t xml:space="preserve">7. Red Flags + Hidden Patterns</w:t>
      </w:r>
    </w:p>
    <w:p>
      <w:pPr>
        <w:spacing w:after="120"/>
      </w:pPr>
      <w:r>
        <w:rPr>
          <w:rFonts w:ascii="Arial" w:cs="Arial" w:eastAsia="Arial" w:hAnsi="Arial"/>
          <w:sz w:val="22"/>
          <w:szCs w:val="22"/>
        </w:rPr>
        <w:t xml:space="preserve">Each flag is tiered. In this boundary run, the flags are about the research frame itself, not about any (unidentified) entity.</w:t>
      </w:r>
    </w:p>
    <w:tbl>
      <w:tblPr>
        <w:tblW w:type="pct" w:w="100%"/>
        <w:tblBorders>
          <w:top w:val="single" w:color="999999" w:sz="4"/>
          <w:left w:val="single" w:color="c0392b" w:sz="12"/>
          <w:bottom w:val="single" w:color="999999" w:sz="4"/>
          <w:right w:val="single" w:color="999999" w:sz="4"/>
          <w:insideH w:val="single" w:color="auto" w:sz="4"/>
          <w:insideV w:val="single" w:color="auto" w:sz="4"/>
        </w:tblBorders>
      </w:tblPr>
      <w:tblGrid>
        <w:gridCol w:w="100"/>
      </w:tblGrid>
      <w:tr>
        <w:tc>
          <w:tcPr>
            <w:shd w:fill="fdecea" w:color="auto" w:val="clear"/>
          </w:tcPr>
          <w:p>
            <w:pPr>
              <w:spacing w:after="40"/>
            </w:pPr>
            <w:r>
              <w:rPr>
                <w:rFonts w:ascii="Arial" w:cs="Arial" w:eastAsia="Arial" w:hAnsi="Arial"/>
                <w:b/>
                <w:bCs/>
                <w:color w:val="0b6b3a"/>
                <w:sz w:val="22"/>
                <w:szCs w:val="22"/>
              </w:rPr>
              <w:t xml:space="preserve">[PRIMARY — process rule] </w:t>
            </w:r>
            <w:r>
              <w:rPr>
                <w:rFonts w:ascii="Arial" w:cs="Arial" w:eastAsia="Arial" w:hAnsi="Arial"/>
                <w:b/>
                <w:bCs/>
                <w:sz w:val="22"/>
                <w:szCs w:val="22"/>
              </w:rPr>
              <w:t xml:space="preserve">Q1 subject not specified. </w:t>
            </w:r>
            <w:r>
              <w:rPr>
                <w:rFonts w:ascii="Arial" w:cs="Arial" w:eastAsia="Arial" w:hAnsi="Arial"/>
                <w:sz w:val="22"/>
                <w:szCs w:val="22"/>
              </w:rPr>
              <w:t xml:space="preserve">SKILL.md Phase 1: "Refuse to proceed on ambiguous names." Phase 2: "If still ambiguous after Q1 push-back: halt and re-ask Q1 with disambiguating identifiers. Refuse to proceed." This flag is the immediate cause of the halt.</w:t>
            </w:r>
          </w:p>
        </w:tc>
      </w:tr>
    </w:tbl>
    <w:tbl>
      <w:tblPr>
        <w:tblW w:type="pct" w:w="100%"/>
        <w:tblBorders>
          <w:top w:val="single" w:color="999999" w:sz="4"/>
          <w:left w:val="single" w:color="c0392b" w:sz="12"/>
          <w:bottom w:val="single" w:color="999999" w:sz="4"/>
          <w:right w:val="single" w:color="999999" w:sz="4"/>
          <w:insideH w:val="single" w:color="auto" w:sz="4"/>
          <w:insideV w:val="single" w:color="auto" w:sz="4"/>
        </w:tblBorders>
      </w:tblPr>
      <w:tblGrid>
        <w:gridCol w:w="100"/>
      </w:tblGrid>
      <w:tr>
        <w:tc>
          <w:tcPr>
            <w:shd w:fill="fdecea" w:color="auto" w:val="clear"/>
          </w:tcPr>
          <w:p>
            <w:pPr>
              <w:spacing w:after="40"/>
            </w:pPr>
            <w:r>
              <w:rPr>
                <w:rFonts w:ascii="Arial" w:cs="Arial" w:eastAsia="Arial" w:hAnsi="Arial"/>
                <w:b/>
                <w:bCs/>
                <w:color w:val="0b6b3a"/>
                <w:sz w:val="22"/>
                <w:szCs w:val="22"/>
              </w:rPr>
              <w:t xml:space="preserve">[PRIMARY — process rule] </w:t>
            </w:r>
            <w:r>
              <w:rPr>
                <w:rFonts w:ascii="Arial" w:cs="Arial" w:eastAsia="Arial" w:hAnsi="Arial"/>
                <w:b/>
                <w:bCs/>
                <w:sz w:val="22"/>
                <w:szCs w:val="22"/>
              </w:rPr>
              <w:t xml:space="preserve">Q4 hypothesis not stated. </w:t>
            </w:r>
            <w:r>
              <w:rPr>
                <w:rFonts w:ascii="Arial" w:cs="Arial" w:eastAsia="Arial" w:hAnsi="Arial"/>
                <w:sz w:val="22"/>
                <w:szCs w:val="22"/>
              </w:rPr>
              <w:t xml:space="preserve">Implicit fallback applied and flagged in audit log. A dossier without a testable hypothesis degenerates into a generic profile, which the skill's anti-pattern list explicitly rejects.</w:t>
            </w:r>
          </w:p>
        </w:tc>
      </w:tr>
    </w:tbl>
    <w:tbl>
      <w:tblPr>
        <w:tblW w:type="pct" w:w="100%"/>
        <w:tblBorders>
          <w:top w:val="single" w:color="999999" w:sz="4"/>
          <w:left w:val="single" w:color="c0392b" w:sz="12"/>
          <w:bottom w:val="single" w:color="999999" w:sz="4"/>
          <w:right w:val="single" w:color="999999" w:sz="4"/>
          <w:insideH w:val="single" w:color="auto" w:sz="4"/>
          <w:insideV w:val="single" w:color="auto" w:sz="4"/>
        </w:tblBorders>
      </w:tblPr>
      <w:tblGrid>
        <w:gridCol w:w="100"/>
      </w:tblGrid>
      <w:tr>
        <w:tc>
          <w:tcPr>
            <w:shd w:fill="fdecea" w:color="auto" w:val="clear"/>
          </w:tcPr>
          <w:p>
            <w:pPr>
              <w:spacing w:after="40"/>
            </w:pPr>
            <w:r>
              <w:rPr>
                <w:rFonts w:ascii="Arial" w:cs="Arial" w:eastAsia="Arial" w:hAnsi="Arial"/>
                <w:b/>
                <w:bCs/>
                <w:color w:val="1a3a5c"/>
                <w:sz w:val="22"/>
                <w:szCs w:val="22"/>
              </w:rPr>
              <w:t xml:space="preserve">[SECONDARY — scenario risk] </w:t>
            </w:r>
            <w:r>
              <w:rPr>
                <w:rFonts w:ascii="Arial" w:cs="Arial" w:eastAsia="Arial" w:hAnsi="Arial"/>
                <w:b/>
                <w:bCs/>
                <w:sz w:val="22"/>
                <w:szCs w:val="22"/>
              </w:rPr>
              <w:t xml:space="preserve">Brief warns of ambiguous keywords, few papers, conflicting conclusions. </w:t>
            </w:r>
            <w:r>
              <w:rPr>
                <w:rFonts w:ascii="Arial" w:cs="Arial" w:eastAsia="Arial" w:hAnsi="Arial"/>
                <w:sz w:val="22"/>
                <w:szCs w:val="22"/>
              </w:rPr>
              <w:t xml:space="preserve">Even after a subject is supplied, expect low primary-source density and contradictory secondary sources. The correct verdict in that regime is INCONCLUSIVE with the conflict enumerated, not a forced SUPPORTED / DISPROVEN.</w:t>
            </w:r>
          </w:p>
        </w:tc>
      </w:tr>
    </w:tbl>
    <w:tbl>
      <w:tblPr>
        <w:tblW w:type="pct" w:w="100%"/>
        <w:tblBorders>
          <w:top w:val="single" w:color="999999" w:sz="4"/>
          <w:left w:val="single" w:color="c0392b" w:sz="12"/>
          <w:bottom w:val="single" w:color="999999" w:sz="4"/>
          <w:right w:val="single" w:color="999999" w:sz="4"/>
          <w:insideH w:val="single" w:color="auto" w:sz="4"/>
          <w:insideV w:val="single" w:color="auto" w:sz="4"/>
        </w:tblBorders>
      </w:tblPr>
      <w:tblGrid>
        <w:gridCol w:w="100"/>
      </w:tblGrid>
      <w:tr>
        <w:tc>
          <w:tcPr>
            <w:shd w:fill="fdecea" w:color="auto" w:val="clear"/>
          </w:tcPr>
          <w:p>
            <w:pPr>
              <w:spacing w:after="40"/>
            </w:pPr>
            <w:r>
              <w:rPr>
                <w:rFonts w:ascii="Arial" w:cs="Arial" w:eastAsia="Arial" w:hAnsi="Arial"/>
                <w:b/>
                <w:bCs/>
                <w:color w:val="0b6b3a"/>
                <w:sz w:val="22"/>
                <w:szCs w:val="22"/>
              </w:rPr>
              <w:t xml:space="preserve">[PRIMARY — integrity rule] </w:t>
            </w:r>
            <w:r>
              <w:rPr>
                <w:rFonts w:ascii="Arial" w:cs="Arial" w:eastAsia="Arial" w:hAnsi="Arial"/>
                <w:b/>
                <w:bCs/>
                <w:sz w:val="22"/>
                <w:szCs w:val="22"/>
              </w:rPr>
              <w:t xml:space="preserve">Fabrication risk is real in this exact scenario. </w:t>
            </w:r>
            <w:r>
              <w:rPr>
                <w:rFonts w:ascii="Arial" w:cs="Arial" w:eastAsia="Arial" w:hAnsi="Arial"/>
                <w:sz w:val="22"/>
                <w:szCs w:val="22"/>
              </w:rPr>
              <w:t xml:space="preserve">Small-paper + conflicting-conclusions briefs are the classic pressure to invent a plausible citation, patent number, or statistic to make the dossier feel complete. The Agent Integrity Rules forbid this; every cited fact must come from this session's tool calls. None did.</w:t>
            </w:r>
          </w:p>
        </w:tc>
      </w:tr>
    </w:tbl>
    <w:p>
      <w:pPr>
        <w:pStyle w:val="Heading2"/>
        <w:spacing w:after="100" w:before="240"/>
      </w:pPr>
      <w:r>
        <w:rPr>
          <w:rFonts w:ascii="Arial" w:cs="Arial" w:eastAsia="Arial" w:hAnsi="Arial"/>
          <w:b/>
          <w:bCs/>
          <w:color w:val="1a3a5c"/>
          <w:sz w:val="26"/>
          <w:szCs w:val="26"/>
        </w:rPr>
        <w:t xml:space="preserve">Minimum safe execution plan (once Q1–Q4 are answered)</w:t>
      </w:r>
    </w:p>
    <w:p>
      <w:pPr>
        <w:pStyle w:val="ListParagraph"/>
        <w:numPr>
          <w:ilvl w:val="0"/>
          <w:numId w:val="1"/>
        </w:numPr>
        <w:spacing w:after="80"/>
      </w:pPr>
      <w:r>
        <w:rPr>
          <w:rFonts w:ascii="Arial" w:cs="Arial" w:eastAsia="Arial" w:hAnsi="Arial"/>
          <w:sz w:val="22"/>
          <w:szCs w:val="22"/>
        </w:rPr>
        <w:t xml:space="preserve">Run Phase 2 disambiguation to a unique identifier (domain, LinkedIn URL, EIN, or .gov URL). If still ambiguous, halt again — do not guess.</w:t>
      </w:r>
    </w:p>
    <w:p>
      <w:pPr>
        <w:pStyle w:val="ListParagraph"/>
        <w:numPr>
          <w:ilvl w:val="0"/>
          <w:numId w:val="1"/>
        </w:numPr>
        <w:spacing w:after="80"/>
      </w:pPr>
      <w:r>
        <w:rPr>
          <w:rFonts w:ascii="Arial" w:cs="Arial" w:eastAsia="Arial" w:hAnsi="Arial"/>
          <w:sz w:val="22"/>
          <w:szCs w:val="22"/>
        </w:rPr>
        <w:t xml:space="preserve">Select the source matrix by Q2 type. For a person in a research/academic context, prioritize Google Scholar + personal site + peer-reviewed papers first (primary), then mainstream/trade press (secondary), then social/reviews (tertiary).</w:t>
      </w:r>
    </w:p>
    <w:p>
      <w:pPr>
        <w:pStyle w:val="ListParagraph"/>
        <w:numPr>
          <w:ilvl w:val="0"/>
          <w:numId w:val="1"/>
        </w:numPr>
        <w:spacing w:after="80"/>
      </w:pPr>
      <w:r>
        <w:rPr>
          <w:rFonts w:ascii="Arial" w:cs="Arial" w:eastAsia="Arial" w:hAnsi="Arial"/>
          <w:sz w:val="22"/>
          <w:szCs w:val="22"/>
        </w:rPr>
        <w:t xml:space="preserve">Pre-flight Phase 4: plan at least 30% disconfirming queries. For a hypothesis of the form "X is true about this entity," construct antonym-pivot and counter-stakeholder queries (e.g., "X false claims," "critics of X," "X vs alternatives weakness," "failures contradicting X").</w:t>
      </w:r>
    </w:p>
    <w:p>
      <w:pPr>
        <w:pStyle w:val="ListParagraph"/>
        <w:numPr>
          <w:ilvl w:val="0"/>
          <w:numId w:val="1"/>
        </w:numPr>
        <w:spacing w:after="80"/>
      </w:pPr>
      <w:r>
        <w:rPr>
          <w:rFonts w:ascii="Arial" w:cs="Arial" w:eastAsia="Arial" w:hAnsi="Arial"/>
          <w:sz w:val="22"/>
          <w:szCs w:val="22"/>
        </w:rPr>
        <w:t xml:space="preserve">Run searches sequentially with 1 q/sec etiquette; on any source failure, wait 3s, retry once, log; after 3 consecutive failures, stop and surface partial results.</w:t>
      </w:r>
    </w:p>
    <w:p>
      <w:pPr>
        <w:pStyle w:val="ListParagraph"/>
        <w:numPr>
          <w:ilvl w:val="0"/>
          <w:numId w:val="1"/>
        </w:numPr>
        <w:spacing w:after="80"/>
      </w:pPr>
      <w:r>
        <w:rPr>
          <w:rFonts w:ascii="Arial" w:cs="Arial" w:eastAsia="Arial" w:hAnsi="Arial"/>
          <w:sz w:val="22"/>
          <w:szCs w:val="22"/>
        </w:rPr>
        <w:t xml:space="preserve">Classify each returned URL with source_tier_classifier.py; only promote a fact into the dossier if its URL is from this session's tool calls.</w:t>
      </w:r>
    </w:p>
    <w:p>
      <w:pPr>
        <w:pStyle w:val="ListParagraph"/>
        <w:numPr>
          <w:ilvl w:val="0"/>
          <w:numId w:val="1"/>
        </w:numPr>
        <w:spacing w:after="80"/>
      </w:pPr>
      <w:r>
        <w:rPr>
          <w:rFonts w:ascii="Arial" w:cs="Arial" w:eastAsia="Arial" w:hAnsi="Arial"/>
          <w:sz w:val="22"/>
          <w:szCs w:val="22"/>
        </w:rPr>
        <w:t xml:space="preserve">If primary evidence is genuinely thin and secondaries conflict, return INCONCLUSIVE and enumerate the conflict. Do not resolve it by narrative.</w:t>
      </w:r>
    </w:p>
    <w:p>
      <w:pPr>
        <w:pStyle w:val="ListParagraph"/>
        <w:numPr>
          <w:ilvl w:val="0"/>
          <w:numId w:val="1"/>
        </w:numPr>
        <w:spacing w:after="80"/>
      </w:pPr>
      <w:r>
        <w:rPr>
          <w:rFonts w:ascii="Arial" w:cs="Arial" w:eastAsia="Arial" w:hAnsi="Arial"/>
          <w:sz w:val="22"/>
          <w:szCs w:val="22"/>
        </w:rPr>
        <w:t xml:space="preserve">Generate conversation hooks only from specific, timestamped findings found in this run; if fewer than 3 findings meet the bar, ship fewer than 3 rather than pad with generic openers.</w:t>
      </w:r>
    </w:p>
    <w:p>
      <w:pPr>
        <w:pStyle w:val="Heading2"/>
        <w:spacing w:after="100" w:before="240"/>
      </w:pPr>
      <w:r>
        <w:rPr>
          <w:rFonts w:ascii="Arial" w:cs="Arial" w:eastAsia="Arial" w:hAnsi="Arial"/>
          <w:b/>
          <w:bCs/>
          <w:color w:val="1a3a5c"/>
          <w:sz w:val="26"/>
          <w:szCs w:val="26"/>
        </w:rPr>
        <w:t xml:space="preserve">Stop conditions (hard)</w:t>
      </w:r>
    </w:p>
    <w:p>
      <w:pPr>
        <w:pStyle w:val="ListParagraph"/>
        <w:numPr>
          <w:ilvl w:val="0"/>
          <w:numId w:val="1"/>
        </w:numPr>
        <w:spacing w:after="80"/>
      </w:pPr>
      <w:r>
        <w:rPr>
          <w:rFonts w:ascii="Arial" w:cs="Arial" w:eastAsia="Arial" w:hAnsi="Arial"/>
          <w:sz w:val="22"/>
          <w:szCs w:val="22"/>
        </w:rPr>
        <w:t xml:space="preserve">Subject remains ambiguous after Q1 push-back → halt (current state).</w:t>
      </w:r>
    </w:p>
    <w:p>
      <w:pPr>
        <w:pStyle w:val="ListParagraph"/>
        <w:numPr>
          <w:ilvl w:val="0"/>
          <w:numId w:val="1"/>
        </w:numPr>
        <w:spacing w:after="80"/>
      </w:pPr>
      <w:r>
        <w:rPr>
          <w:rFonts w:ascii="Arial" w:cs="Arial" w:eastAsia="Arial" w:hAnsi="Arial"/>
          <w:sz w:val="22"/>
          <w:szCs w:val="22"/>
        </w:rPr>
        <w:t xml:space="preserve">3 consecutive tool failures in Phase 4 → halt, share partial results.</w:t>
      </w:r>
    </w:p>
    <w:p>
      <w:pPr>
        <w:pStyle w:val="ListParagraph"/>
        <w:numPr>
          <w:ilvl w:val="0"/>
          <w:numId w:val="1"/>
        </w:numPr>
        <w:spacing w:after="80"/>
      </w:pPr>
      <w:r>
        <w:rPr>
          <w:rFonts w:ascii="Arial" w:cs="Arial" w:eastAsia="Arial" w:hAnsi="Arial"/>
          <w:sz w:val="22"/>
          <w:szCs w:val="22"/>
        </w:rPr>
        <w:t xml:space="preserve">User declines to state a hypothesis after one push-back → implicit fallback, flagged; if subject is also missing, halt.</w:t>
      </w:r>
    </w:p>
    <w:p>
      <w:pPr>
        <w:pStyle w:val="ListParagraph"/>
        <w:numPr>
          <w:ilvl w:val="0"/>
          <w:numId w:val="1"/>
        </w:numPr>
        <w:spacing w:after="80"/>
      </w:pPr>
      <w:r>
        <w:rPr>
          <w:rFonts w:ascii="Arial" w:cs="Arial" w:eastAsia="Arial" w:hAnsi="Arial"/>
          <w:sz w:val="22"/>
          <w:szCs w:val="22"/>
        </w:rPr>
        <w:t xml:space="preserve">disconfirming_evidence_balance.py returns FAIL (&lt;20%) after remediation attempts → do not generate a SUPPORTED verdict; either add disconfirming queries or ship INCONCLUSIVE.</w:t>
      </w:r>
    </w:p>
    <w:p>
      <w:pPr>
        <w:pStyle w:val="ListParagraph"/>
        <w:numPr>
          <w:ilvl w:val="0"/>
          <w:numId w:val="1"/>
        </w:numPr>
        <w:spacing w:after="80"/>
      </w:pPr>
      <w:r>
        <w:rPr>
          <w:rFonts w:ascii="Arial" w:cs="Arial" w:eastAsia="Arial" w:hAnsi="Arial"/>
          <w:sz w:val="22"/>
          <w:szCs w:val="22"/>
        </w:rPr>
        <w:t xml:space="preserve">Sensitive-topic exclusion (Q6) surfaces for journalism/personal-vetting → exclude from DOCX and note in chat only.</w:t>
      </w:r>
    </w:p>
    <w:p>
      <w:pPr>
        <w:pStyle w:val="Heading1"/>
        <w:spacing w:after="160" w:before="360"/>
      </w:pPr>
      <w:r>
        <w:rPr>
          <w:rFonts w:ascii="Arial" w:cs="Arial" w:eastAsia="Arial" w:hAnsi="Arial"/>
          <w:b/>
          <w:bCs/>
          <w:color w:val="1a3a5c"/>
          <w:sz w:val="32"/>
          <w:szCs w:val="32"/>
        </w:rPr>
        <w:t xml:space="preserve">8. Conversation Hooks</w:t>
      </w:r>
    </w:p>
    <w:tbl>
      <w:tblPr>
        <w:tblW w:type="pct" w:w="100%"/>
        <w:tblBorders>
          <w:top w:val="single" w:color="999999" w:sz="4"/>
          <w:left w:val="single" w:color="2e7d32" w:sz="12"/>
          <w:bottom w:val="single" w:color="999999" w:sz="4"/>
          <w:right w:val="single" w:color="999999" w:sz="4"/>
          <w:insideH w:val="single" w:color="auto" w:sz="4"/>
          <w:insideV w:val="single" w:color="auto" w:sz="4"/>
        </w:tblBorders>
      </w:tblPr>
      <w:tblGrid>
        <w:gridCol w:w="100"/>
      </w:tblGrid>
      <w:tr>
        <w:tc>
          <w:tcPr>
            <w:shd w:fill="e8f5e9" w:color="auto" w:val="clear"/>
          </w:tcPr>
          <w:p>
            <w:pPr>
              <w:spacing w:after="40"/>
            </w:pPr>
            <w:r>
              <w:rPr>
                <w:rFonts w:ascii="Arial" w:cs="Arial" w:eastAsia="Arial" w:hAnsi="Arial"/>
                <w:b/>
                <w:bCs/>
                <w:color w:val="8a6d00"/>
                <w:sz w:val="22"/>
                <w:szCs w:val="22"/>
              </w:rPr>
              <w:t xml:space="preserve">No conversation hooks generated. </w:t>
            </w:r>
            <w:r>
              <w:rPr>
                <w:rFonts w:ascii="Arial" w:cs="Arial" w:eastAsia="Arial" w:hAnsi="Arial"/>
                <w:sz w:val="22"/>
                <w:szCs w:val="22"/>
              </w:rPr>
              <w:t xml:space="preserve">Per conversation_hook_quality.md, a hook passes only if it (1) references a specific recent finding with hyperlink, (2) provides verbatim suggested framing, and (3) ties to the meeting purpose. This run produced zero findings, so any hook here would be the generic "ask about their roadmap" anti-pattern the skill explicitly rejects. Hooks will be generated in Section 8 once Phase 4 returns cited findings.</w:t>
            </w:r>
          </w:p>
        </w:tc>
      </w:tr>
    </w:tbl>
    <w:p>
      <w:pPr>
        <w:pStyle w:val="Heading1"/>
        <w:spacing w:after="160" w:before="360"/>
      </w:pPr>
      <w:r>
        <w:rPr>
          <w:rFonts w:ascii="Arial" w:cs="Arial" w:eastAsia="Arial" w:hAnsi="Arial"/>
          <w:b/>
          <w:bCs/>
          <w:color w:val="1a3a5c"/>
          <w:sz w:val="32"/>
          <w:szCs w:val="32"/>
        </w:rPr>
        <w:t xml:space="preserve">9. Source Provenance + Audit Log</w:t>
      </w:r>
    </w:p>
    <w:p>
      <w:pPr>
        <w:spacing w:after="120"/>
      </w:pPr>
      <w:r>
        <w:rPr>
          <w:rFonts w:ascii="Arial" w:cs="Arial" w:eastAsia="Arial" w:hAnsi="Arial"/>
          <w:sz w:val="22"/>
          <w:szCs w:val="22"/>
        </w:rPr>
        <w:t xml:space="preserve">Per-source list: none. No tool calls were made in Phase 4, so there are no URLs to tier. The three-count audit below is the authoritative record of this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f0f8" w:color="auto" w:val="clear"/>
          </w:tcPr>
          <w:p>
            <w:pPr>
              <w:spacing w:after="40"/>
            </w:pPr>
            <w:r>
              <w:rPr>
                <w:rFonts w:ascii="Arial" w:cs="Arial" w:eastAsia="Arial" w:hAnsi="Arial"/>
                <w:b/>
                <w:bCs/>
                <w:color w:val="000000"/>
                <w:sz w:val="20"/>
                <w:szCs w:val="20"/>
              </w:rPr>
              <w:t xml:space="preserve">Metric</w:t>
            </w:r>
          </w:p>
        </w:tc>
        <w:tc>
          <w:tcPr>
            <w:shd w:fill="e8f0f8" w:color="auto" w:val="clear"/>
          </w:tcPr>
          <w:p>
            <w:pPr>
              <w:spacing w:after="40"/>
            </w:pPr>
            <w:r>
              <w:rPr>
                <w:rFonts w:ascii="Arial" w:cs="Arial" w:eastAsia="Arial" w:hAnsi="Arial"/>
                <w:b/>
                <w:bCs/>
                <w:color w:val="000000"/>
                <w:sz w:val="20"/>
                <w:szCs w:val="20"/>
              </w:rPr>
              <w:t xml:space="preserve">Value</w:t>
            </w:r>
          </w:p>
        </w:tc>
      </w:tr>
      <w:tr>
        <w:tc>
          <w:p>
            <w:pPr>
              <w:spacing w:after="40"/>
            </w:pPr>
            <w:r>
              <w:rPr>
                <w:rFonts w:ascii="Arial" w:cs="Arial" w:eastAsia="Arial" w:hAnsi="Arial"/>
                <w:b/>
                <w:bCs/>
                <w:color w:val="000000"/>
                <w:sz w:val="20"/>
                <w:szCs w:val="20"/>
              </w:rPr>
              <w:t xml:space="preserve">Session ID</w:t>
            </w:r>
          </w:p>
        </w:tc>
        <w:tc>
          <w:p>
            <w:pPr>
              <w:spacing w:after="40"/>
            </w:pPr>
            <w:r>
              <w:rPr>
                <w:rFonts w:ascii="Courier New" w:cs="Courier New" w:eastAsia="Courier New" w:hAnsi="Courier New"/>
                <w:sz w:val="22"/>
                <w:szCs w:val="22"/>
              </w:rPr>
              <w:t xml:space="preserve">dossier-edge-20260810T1658</w:t>
            </w:r>
          </w:p>
        </w:tc>
      </w:tr>
      <w:tr>
        <w:tc>
          <w:p>
            <w:pPr>
              <w:spacing w:after="40"/>
            </w:pPr>
            <w:r>
              <w:rPr>
                <w:rFonts w:ascii="Arial" w:cs="Arial" w:eastAsia="Arial" w:hAnsi="Arial"/>
                <w:b/>
                <w:bCs/>
                <w:color w:val="000000"/>
                <w:sz w:val="20"/>
                <w:szCs w:val="20"/>
              </w:rPr>
              <w:t xml:space="preserve">Queries sent</w:t>
            </w:r>
          </w:p>
        </w:tc>
        <w:tc>
          <w:p>
            <w:pPr>
              <w:spacing w:after="40"/>
            </w:pPr>
            <w:r>
              <w:rPr>
                <w:rFonts w:ascii="Arial" w:cs="Arial" w:eastAsia="Arial" w:hAnsi="Arial"/>
                <w:b w:val="false"/>
                <w:bCs w:val="false"/>
                <w:color w:val="000000"/>
                <w:sz w:val="20"/>
                <w:szCs w:val="20"/>
              </w:rPr>
              <w:t xml:space="preserve">0 (0 supporting / 0 disconfirming / 0 inconclusive)</w:t>
            </w:r>
          </w:p>
        </w:tc>
      </w:tr>
      <w:tr>
        <w:tc>
          <w:p>
            <w:pPr>
              <w:spacing w:after="40"/>
            </w:pPr>
            <w:r>
              <w:rPr>
                <w:rFonts w:ascii="Arial" w:cs="Arial" w:eastAsia="Arial" w:hAnsi="Arial"/>
                <w:b/>
                <w:bCs/>
                <w:color w:val="000000"/>
                <w:sz w:val="20"/>
                <w:szCs w:val="20"/>
              </w:rPr>
              <w:t xml:space="preserve">Sources received</w:t>
            </w:r>
          </w:p>
        </w:tc>
        <w:tc>
          <w:p>
            <w:pPr>
              <w:spacing w:after="40"/>
            </w:pPr>
            <w:r>
              <w:rPr>
                <w:rFonts w:ascii="Arial" w:cs="Arial" w:eastAsia="Arial" w:hAnsi="Arial"/>
                <w:b w:val="false"/>
                <w:bCs w:val="false"/>
                <w:color w:val="000000"/>
                <w:sz w:val="20"/>
                <w:szCs w:val="20"/>
              </w:rPr>
              <w:t xml:space="preserve">0</w:t>
            </w:r>
          </w:p>
        </w:tc>
      </w:tr>
      <w:tr>
        <w:tc>
          <w:p>
            <w:pPr>
              <w:spacing w:after="40"/>
            </w:pPr>
            <w:r>
              <w:rPr>
                <w:rFonts w:ascii="Arial" w:cs="Arial" w:eastAsia="Arial" w:hAnsi="Arial"/>
                <w:b/>
                <w:bCs/>
                <w:color w:val="000000"/>
                <w:sz w:val="20"/>
                <w:szCs w:val="20"/>
              </w:rPr>
              <w:t xml:space="preserve">Sources cited</w:t>
            </w:r>
          </w:p>
        </w:tc>
        <w:tc>
          <w:p>
            <w:pPr>
              <w:spacing w:after="40"/>
            </w:pPr>
            <w:r>
              <w:rPr>
                <w:rFonts w:ascii="Arial" w:cs="Arial" w:eastAsia="Arial" w:hAnsi="Arial"/>
                <w:b w:val="false"/>
                <w:bCs w:val="false"/>
                <w:color w:val="000000"/>
                <w:sz w:val="20"/>
                <w:szCs w:val="20"/>
              </w:rPr>
              <w:t xml:space="preserve">0 (0 primary / 0 secondary / 0 tertiary)</w:t>
            </w:r>
          </w:p>
        </w:tc>
      </w:tr>
      <w:tr>
        <w:tc>
          <w:p>
            <w:pPr>
              <w:spacing w:after="40"/>
            </w:pPr>
            <w:r>
              <w:rPr>
                <w:rFonts w:ascii="Arial" w:cs="Arial" w:eastAsia="Arial" w:hAnsi="Arial"/>
                <w:b/>
                <w:bCs/>
                <w:color w:val="000000"/>
                <w:sz w:val="20"/>
                <w:szCs w:val="20"/>
              </w:rPr>
              <w:t xml:space="preserve">Disconfirming ratio</w:t>
            </w:r>
          </w:p>
        </w:tc>
        <w:tc>
          <w:p>
            <w:pPr>
              <w:spacing w:after="40"/>
            </w:pPr>
            <w:r>
              <w:rPr>
                <w:rFonts w:ascii="Arial" w:cs="Arial" w:eastAsia="Arial" w:hAnsi="Arial"/>
                <w:color w:val="c0392b"/>
                <w:sz w:val="22"/>
                <w:szCs w:val="22"/>
              </w:rPr>
              <w:t xml:space="preserve">0% — not evaluable as confirmation bias; Phase 4 was never entered because Phase 2 halt triggered first.</w:t>
            </w:r>
          </w:p>
        </w:tc>
      </w:tr>
      <w:tr>
        <w:tc>
          <w:p>
            <w:pPr>
              <w:spacing w:after="40"/>
            </w:pPr>
            <w:r>
              <w:rPr>
                <w:rFonts w:ascii="Arial" w:cs="Arial" w:eastAsia="Arial" w:hAnsi="Arial"/>
                <w:b/>
                <w:bCs/>
                <w:color w:val="000000"/>
                <w:sz w:val="20"/>
                <w:szCs w:val="20"/>
              </w:rPr>
              <w:t xml:space="preserve">Implicit hypothesis fallback</w:t>
            </w:r>
          </w:p>
        </w:tc>
        <w:tc>
          <w:p>
            <w:pPr>
              <w:spacing w:after="40"/>
            </w:pPr>
            <w:r>
              <w:rPr>
                <w:rFonts w:ascii="Arial" w:cs="Arial" w:eastAsia="Arial" w:hAnsi="Arial"/>
                <w:b/>
                <w:bCs/>
                <w:color w:val="8a6d00"/>
                <w:sz w:val="22"/>
                <w:szCs w:val="22"/>
              </w:rPr>
              <w:t xml:space="preserve">YES — flagged per error-handling table</w:t>
            </w:r>
          </w:p>
        </w:tc>
      </w:tr>
      <w:tr>
        <w:tc>
          <w:p>
            <w:pPr>
              <w:spacing w:after="40"/>
            </w:pPr>
            <w:r>
              <w:rPr>
                <w:rFonts w:ascii="Arial" w:cs="Arial" w:eastAsia="Arial" w:hAnsi="Arial"/>
                <w:b/>
                <w:bCs/>
                <w:color w:val="000000"/>
                <w:sz w:val="20"/>
                <w:szCs w:val="20"/>
              </w:rPr>
              <w:t xml:space="preserve">BYOK MCPs used</w:t>
            </w:r>
          </w:p>
        </w:tc>
        <w:tc>
          <w:p>
            <w:pPr>
              <w:spacing w:after="40"/>
            </w:pPr>
            <w:r>
              <w:rPr>
                <w:rFonts w:ascii="Arial" w:cs="Arial" w:eastAsia="Arial" w:hAnsi="Arial"/>
                <w:b w:val="false"/>
                <w:bCs w:val="false"/>
                <w:color w:val="000000"/>
                <w:sz w:val="20"/>
                <w:szCs w:val="20"/>
              </w:rPr>
              <w:t xml:space="preserve">none (no LinkedIn / Crunchbase / Apollo / Pitchbook / SimilarWeb data in this dossier)</w:t>
            </w:r>
          </w:p>
        </w:tc>
      </w:tr>
      <w:tr>
        <w:tc>
          <w:p>
            <w:pPr>
              <w:spacing w:after="40"/>
            </w:pPr>
            <w:r>
              <w:rPr>
                <w:rFonts w:ascii="Arial" w:cs="Arial" w:eastAsia="Arial" w:hAnsi="Arial"/>
                <w:b/>
                <w:bCs/>
                <w:color w:val="000000"/>
                <w:sz w:val="20"/>
                <w:szCs w:val="20"/>
              </w:rPr>
              <w:t xml:space="preserve">Failed searches</w:t>
            </w:r>
          </w:p>
        </w:tc>
        <w:tc>
          <w:p>
            <w:pPr>
              <w:spacing w:after="40"/>
            </w:pPr>
            <w:r>
              <w:rPr>
                <w:rFonts w:ascii="Arial" w:cs="Arial" w:eastAsia="Arial" w:hAnsi="Arial"/>
                <w:b w:val="false"/>
                <w:bCs w:val="false"/>
                <w:color w:val="000000"/>
                <w:sz w:val="20"/>
                <w:szCs w:val="20"/>
              </w:rPr>
              <w:t xml:space="preserve">n/a — no Phase 4 searches executed</w:t>
            </w:r>
          </w:p>
        </w:tc>
      </w:tr>
      <w:tr>
        <w:tc>
          <w:p>
            <w:pPr>
              <w:spacing w:after="40"/>
            </w:pPr>
            <w:r>
              <w:rPr>
                <w:rFonts w:ascii="Arial" w:cs="Arial" w:eastAsia="Arial" w:hAnsi="Arial"/>
                <w:b/>
                <w:bCs/>
                <w:color w:val="000000"/>
                <w:sz w:val="20"/>
                <w:szCs w:val="20"/>
              </w:rPr>
              <w:t xml:space="preserve">Halt reason</w:t>
            </w:r>
          </w:p>
        </w:tc>
        <w:tc>
          <w:p>
            <w:pPr>
              <w:spacing w:after="40"/>
            </w:pPr>
            <w:r>
              <w:rPr>
                <w:rFonts w:ascii="Arial" w:cs="Arial" w:eastAsia="Arial" w:hAnsi="Arial"/>
                <w:b w:val="false"/>
                <w:bCs w:val="false"/>
                <w:color w:val="000000"/>
                <w:sz w:val="20"/>
                <w:szCs w:val="20"/>
              </w:rPr>
              <w:t xml:space="preserve">Q1 subject unspecified → Phase 2 disambiguation halt per SKILL.md</w:t>
            </w:r>
          </w:p>
        </w:tc>
      </w:tr>
      <w:tr>
        <w:tc>
          <w:p>
            <w:pPr>
              <w:spacing w:after="40"/>
            </w:pPr>
            <w:r>
              <w:rPr>
                <w:rFonts w:ascii="Arial" w:cs="Arial" w:eastAsia="Arial" w:hAnsi="Arial"/>
                <w:b/>
                <w:bCs/>
                <w:color w:val="000000"/>
                <w:sz w:val="20"/>
                <w:szCs w:val="20"/>
              </w:rPr>
              <w:t xml:space="preserve">Verdict</w:t>
            </w:r>
          </w:p>
        </w:tc>
        <w:tc>
          <w:p>
            <w:pPr>
              <w:spacing w:after="40"/>
            </w:pPr>
            <w:r>
              <w:rPr>
                <w:rFonts w:ascii="Arial" w:cs="Arial" w:eastAsia="Arial" w:hAnsi="Arial"/>
                <w:b/>
                <w:bCs/>
                <w:sz w:val="22"/>
                <w:szCs w:val="22"/>
              </w:rPr>
              <w:t xml:space="preserve">INCONCLUSIVE (insufficient evidence; 0 cited &lt; 3 floor)</w:t>
            </w:r>
          </w:p>
        </w:tc>
      </w:tr>
    </w:tbl>
    <w:p>
      <w:pPr>
        <w:pStyle w:val="Heading2"/>
        <w:spacing w:after="100" w:before="240"/>
      </w:pPr>
      <w:r>
        <w:rPr>
          <w:rFonts w:ascii="Arial" w:cs="Arial" w:eastAsia="Arial" w:hAnsi="Arial"/>
          <w:b/>
          <w:bCs/>
          <w:color w:val="1a3a5c"/>
          <w:sz w:val="26"/>
          <w:szCs w:val="26"/>
        </w:rPr>
        <w:t xml:space="preserve">Search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f0f8" w:color="auto" w:val="clear"/>
          </w:tcPr>
          <w:p>
            <w:pPr>
              <w:spacing w:after="40"/>
            </w:pPr>
            <w:r>
              <w:rPr>
                <w:rFonts w:ascii="Arial" w:cs="Arial" w:eastAsia="Arial" w:hAnsi="Arial"/>
                <w:b/>
                <w:bCs/>
                <w:color w:val="000000"/>
                <w:sz w:val="20"/>
                <w:szCs w:val="20"/>
              </w:rPr>
              <w:t xml:space="preserve">#</w:t>
            </w:r>
          </w:p>
        </w:tc>
        <w:tc>
          <w:tcPr>
            <w:shd w:fill="e8f0f8" w:color="auto" w:val="clear"/>
          </w:tcPr>
          <w:p>
            <w:pPr>
              <w:spacing w:after="40"/>
            </w:pPr>
            <w:r>
              <w:rPr>
                <w:rFonts w:ascii="Arial" w:cs="Arial" w:eastAsia="Arial" w:hAnsi="Arial"/>
                <w:b/>
                <w:bCs/>
                <w:color w:val="000000"/>
                <w:sz w:val="20"/>
                <w:szCs w:val="20"/>
              </w:rPr>
              <w:t xml:space="preserve">Query</w:t>
            </w:r>
          </w:p>
        </w:tc>
        <w:tc>
          <w:tcPr>
            <w:shd w:fill="e8f0f8" w:color="auto" w:val="clear"/>
          </w:tcPr>
          <w:p>
            <w:pPr>
              <w:spacing w:after="40"/>
            </w:pPr>
            <w:r>
              <w:rPr>
                <w:rFonts w:ascii="Arial" w:cs="Arial" w:eastAsia="Arial" w:hAnsi="Arial"/>
                <w:b/>
                <w:bCs/>
                <w:color w:val="000000"/>
                <w:sz w:val="20"/>
                <w:szCs w:val="20"/>
              </w:rPr>
              <w:t xml:space="preserve">Classification</w:t>
            </w:r>
          </w:p>
        </w:tc>
        <w:tc>
          <w:tcPr>
            <w:shd w:fill="e8f0f8" w:color="auto" w:val="clear"/>
          </w:tcPr>
          <w:p>
            <w:pPr>
              <w:spacing w:after="40"/>
            </w:pPr>
            <w:r>
              <w:rPr>
                <w:rFonts w:ascii="Arial" w:cs="Arial" w:eastAsia="Arial" w:hAnsi="Arial"/>
                <w:b/>
                <w:bCs/>
                <w:color w:val="000000"/>
                <w:sz w:val="20"/>
                <w:szCs w:val="20"/>
              </w:rPr>
              <w:t xml:space="preserve">Sources returned</w:t>
            </w:r>
          </w:p>
        </w:tc>
        <w:tc>
          <w:tcPr>
            <w:shd w:fill="e8f0f8" w:color="auto" w:val="clear"/>
          </w:tcPr>
          <w:p>
            <w:pPr>
              <w:spacing w:after="40"/>
            </w:pPr>
            <w:r>
              <w:rPr>
                <w:rFonts w:ascii="Arial" w:cs="Arial" w:eastAsia="Arial" w:hAnsi="Arial"/>
                <w:b/>
                <w:bCs/>
                <w:color w:val="000000"/>
                <w:sz w:val="20"/>
                <w:szCs w:val="20"/>
              </w:rPr>
              <w:t xml:space="preserve">Sources cited</w:t>
            </w:r>
          </w:p>
        </w:tc>
      </w:tr>
      <w:tr>
        <w:tc>
          <w:p>
            <w:pPr>
              <w:spacing w:after="40"/>
            </w:pPr>
            <w:r>
              <w:rPr>
                <w:rFonts w:ascii="Arial" w:cs="Arial" w:eastAsia="Arial" w:hAnsi="Arial"/>
                <w:b w:val="false"/>
                <w:bCs w:val="false"/>
                <w:color w:val="000000"/>
                <w:sz w:val="20"/>
                <w:szCs w:val="20"/>
              </w:rPr>
              <w:t xml:space="preserve">—</w:t>
            </w:r>
          </w:p>
        </w:tc>
        <w:tc>
          <w:p>
            <w:pPr>
              <w:spacing w:after="40"/>
            </w:pPr>
            <w:r>
              <w:rPr>
                <w:rFonts w:ascii="Arial" w:cs="Arial" w:eastAsia="Arial" w:hAnsi="Arial"/>
                <w:i/>
                <w:iCs/>
                <w:color w:val="666666"/>
                <w:sz w:val="22"/>
                <w:szCs w:val="22"/>
              </w:rPr>
              <w:t xml:space="preserve">(no Phase 4 queries — halted at Phase 2)</w:t>
            </w:r>
          </w:p>
        </w:tc>
        <w:tc>
          <w:p>
            <w:pPr>
              <w:spacing w:after="40"/>
            </w:pPr>
            <w:r>
              <w:rPr>
                <w:rFonts w:ascii="Arial" w:cs="Arial" w:eastAsia="Arial" w:hAnsi="Arial"/>
                <w:b w:val="false"/>
                <w:bCs w:val="false"/>
                <w:color w:val="000000"/>
                <w:sz w:val="20"/>
                <w:szCs w:val="20"/>
              </w:rPr>
              <w:t xml:space="preserve">—</w:t>
            </w:r>
          </w:p>
        </w:tc>
        <w:tc>
          <w:p>
            <w:pPr>
              <w:spacing w:after="40"/>
            </w:pPr>
            <w:r>
              <w:rPr>
                <w:rFonts w:ascii="Arial" w:cs="Arial" w:eastAsia="Arial" w:hAnsi="Arial"/>
                <w:b w:val="false"/>
                <w:bCs w:val="false"/>
                <w:color w:val="000000"/>
                <w:sz w:val="20"/>
                <w:szCs w:val="20"/>
              </w:rPr>
              <w:t xml:space="preserve">0</w:t>
            </w:r>
          </w:p>
        </w:tc>
        <w:tc>
          <w:p>
            <w:pPr>
              <w:spacing w:after="40"/>
            </w:pPr>
            <w:r>
              <w:rPr>
                <w:rFonts w:ascii="Arial" w:cs="Arial" w:eastAsia="Arial" w:hAnsi="Arial"/>
                <w:b w:val="false"/>
                <w:bCs w:val="false"/>
                <w:color w:val="000000"/>
                <w:sz w:val="20"/>
                <w:szCs w:val="20"/>
              </w:rPr>
              <w:t xml:space="preserve">0</w:t>
            </w:r>
          </w:p>
        </w:tc>
      </w:tr>
    </w:tbl>
    <w:p>
      <w:pPr>
        <w:pStyle w:val="Heading2"/>
        <w:spacing w:after="100" w:before="240"/>
      </w:pPr>
      <w:r>
        <w:rPr>
          <w:rFonts w:ascii="Arial" w:cs="Arial" w:eastAsia="Arial" w:hAnsi="Arial"/>
          <w:b/>
          <w:bCs/>
          <w:color w:val="1a3a5c"/>
          <w:sz w:val="26"/>
          <w:szCs w:val="26"/>
        </w:rPr>
        <w:t xml:space="preserve">Integrity self-check (per SKILL.md Phase 10)</w:t>
      </w:r>
    </w:p>
    <w:p>
      <w:pPr>
        <w:pStyle w:val="ListParagraph"/>
        <w:numPr>
          <w:ilvl w:val="0"/>
          <w:numId w:val="1"/>
        </w:numPr>
        <w:spacing w:after="80"/>
      </w:pPr>
      <w:r>
        <w:rPr>
          <w:rFonts w:ascii="Arial" w:cs="Arial" w:eastAsia="Arial" w:hAnsi="Arial"/>
          <w:b/>
          <w:bCs/>
          <w:sz w:val="22"/>
          <w:szCs w:val="22"/>
        </w:rPr>
        <w:t xml:space="preserve">9 required sections present: </w:t>
      </w:r>
      <w:r>
        <w:rPr>
          <w:rFonts w:ascii="Arial" w:cs="Arial" w:eastAsia="Arial" w:hAnsi="Arial"/>
          <w:sz w:val="22"/>
          <w:szCs w:val="22"/>
        </w:rPr>
        <w:t xml:space="preserve">yes (sections 1–9 above).</w:t>
      </w:r>
    </w:p>
    <w:p>
      <w:pPr>
        <w:pStyle w:val="ListParagraph"/>
        <w:numPr>
          <w:ilvl w:val="0"/>
          <w:numId w:val="1"/>
        </w:numPr>
        <w:spacing w:after="80"/>
      </w:pPr>
      <w:r>
        <w:rPr>
          <w:rFonts w:ascii="Arial" w:cs="Arial" w:eastAsia="Arial" w:hAnsi="Arial"/>
          <w:b/>
          <w:bCs/>
          <w:sz w:val="22"/>
          <w:szCs w:val="22"/>
        </w:rPr>
        <w:t xml:space="preserve">No fabricated entity / paper / patent / statistic: </w:t>
      </w:r>
      <w:r>
        <w:rPr>
          <w:rFonts w:ascii="Arial" w:cs="Arial" w:eastAsia="Arial" w:hAnsi="Arial"/>
          <w:sz w:val="22"/>
          <w:szCs w:val="22"/>
        </w:rPr>
        <w:t xml:space="preserve">yes — every evidence slot is explicitly marked pending.</w:t>
      </w:r>
    </w:p>
    <w:p>
      <w:pPr>
        <w:pStyle w:val="ListParagraph"/>
        <w:numPr>
          <w:ilvl w:val="0"/>
          <w:numId w:val="1"/>
        </w:numPr>
        <w:spacing w:after="80"/>
      </w:pPr>
      <w:r>
        <w:rPr>
          <w:rFonts w:ascii="Arial" w:cs="Arial" w:eastAsia="Arial" w:hAnsi="Arial"/>
          <w:b/>
          <w:bCs/>
          <w:sz w:val="22"/>
          <w:szCs w:val="22"/>
        </w:rPr>
        <w:t xml:space="preserve">All cited sources from this session's tool calls: </w:t>
      </w:r>
      <w:r>
        <w:rPr>
          <w:rFonts w:ascii="Arial" w:cs="Arial" w:eastAsia="Arial" w:hAnsi="Arial"/>
          <w:sz w:val="22"/>
          <w:szCs w:val="22"/>
        </w:rPr>
        <w:t xml:space="preserve">yes — zero citations, zero violations.</w:t>
      </w:r>
    </w:p>
    <w:p>
      <w:pPr>
        <w:pStyle w:val="ListParagraph"/>
        <w:numPr>
          <w:ilvl w:val="0"/>
          <w:numId w:val="1"/>
        </w:numPr>
        <w:spacing w:after="80"/>
      </w:pPr>
      <w:r>
        <w:rPr>
          <w:rFonts w:ascii="Arial" w:cs="Arial" w:eastAsia="Arial" w:hAnsi="Arial"/>
          <w:b/>
          <w:bCs/>
          <w:sz w:val="22"/>
          <w:szCs w:val="22"/>
        </w:rPr>
        <w:t xml:space="preserve">Q4 hypothesis or flagged implicit fallback: </w:t>
      </w:r>
      <w:r>
        <w:rPr>
          <w:rFonts w:ascii="Arial" w:cs="Arial" w:eastAsia="Arial" w:hAnsi="Arial"/>
          <w:sz w:val="22"/>
          <w:szCs w:val="22"/>
        </w:rPr>
        <w:t xml:space="preserve">yes — implicit fallback flagged in audit table.</w:t>
      </w:r>
    </w:p>
    <w:p>
      <w:pPr>
        <w:pStyle w:val="ListParagraph"/>
        <w:numPr>
          <w:ilvl w:val="0"/>
          <w:numId w:val="1"/>
        </w:numPr>
        <w:spacing w:after="80"/>
      </w:pPr>
      <w:r>
        <w:rPr>
          <w:rFonts w:ascii="Arial" w:cs="Arial" w:eastAsia="Arial" w:hAnsi="Arial"/>
          <w:b/>
          <w:bCs/>
          <w:sz w:val="22"/>
          <w:szCs w:val="22"/>
        </w:rPr>
        <w:t xml:space="preserve">Tier on every flag: </w:t>
      </w:r>
      <w:r>
        <w:rPr>
          <w:rFonts w:ascii="Arial" w:cs="Arial" w:eastAsia="Arial" w:hAnsi="Arial"/>
          <w:sz w:val="22"/>
          <w:szCs w:val="22"/>
        </w:rPr>
        <w:t xml:space="preserve">yes — each Section 7 flag carries a [PRIMARY]/[SECONDARY] tier.</w:t>
      </w:r>
    </w:p>
    <w:p>
      <w:pPr>
        <w:pStyle w:val="ListParagraph"/>
        <w:numPr>
          <w:ilvl w:val="0"/>
          <w:numId w:val="1"/>
        </w:numPr>
        <w:spacing w:after="80"/>
      </w:pPr>
      <w:r>
        <w:rPr>
          <w:rFonts w:ascii="Arial" w:cs="Arial" w:eastAsia="Arial" w:hAnsi="Arial"/>
          <w:b/>
          <w:bCs/>
          <w:sz w:val="22"/>
          <w:szCs w:val="22"/>
        </w:rPr>
        <w:t xml:space="preserve">No generic conversation hooks: </w:t>
      </w:r>
      <w:r>
        <w:rPr>
          <w:rFonts w:ascii="Arial" w:cs="Arial" w:eastAsia="Arial" w:hAnsi="Arial"/>
          <w:sz w:val="22"/>
          <w:szCs w:val="22"/>
        </w:rPr>
        <w:t xml:space="preserve">yes — Section 8 explicitly ships zero hooks rather than padding.</w:t>
      </w:r>
    </w:p>
    <w:p>
      <w:pPr>
        <w:pStyle w:val="ListParagraph"/>
        <w:numPr>
          <w:ilvl w:val="0"/>
          <w:numId w:val="1"/>
        </w:numPr>
        <w:spacing w:after="80"/>
      </w:pPr>
      <w:r>
        <w:rPr>
          <w:rFonts w:ascii="Arial" w:cs="Arial" w:eastAsia="Arial" w:hAnsi="Arial"/>
          <w:b/>
          <w:bCs/>
          <w:sz w:val="22"/>
          <w:szCs w:val="22"/>
        </w:rPr>
        <w:t xml:space="preserve">DOCX zip integrity: </w:t>
      </w:r>
      <w:r>
        <w:rPr>
          <w:rFonts w:ascii="Arial" w:cs="Arial" w:eastAsia="Arial" w:hAnsi="Arial"/>
          <w:sz w:val="22"/>
          <w:szCs w:val="22"/>
        </w:rPr>
        <w:t xml:space="preserve">validated post-write via zipfile.testzip() (see delivery 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 Boundary/Complex-Scenario Test</dc:title>
  <dc:creator>dossier-skill</dc:creator>
  <dc:description>Edge-case dossier generated per dossier SKILL.md v1.0.0</dc:description>
  <cp:lastModifiedBy>Un-named</cp:lastModifiedBy>
  <cp:revision>1</cp:revision>
  <dcterms:created xsi:type="dcterms:W3CDTF">2026-08-10T09:01:42.242Z</dcterms:created>
  <dcterms:modified xsi:type="dcterms:W3CDTF">2026-08-10T09:01:42.246Z</dcterms:modified>
</cp:coreProperties>
</file>

<file path=docProps/custom.xml><?xml version="1.0" encoding="utf-8"?>
<Properties xmlns="http://schemas.openxmlformats.org/officeDocument/2006/custom-properties" xmlns:vt="http://schemas.openxmlformats.org/officeDocument/2006/docPropsVTypes"/>
</file>