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400"/>
        <w:jc w:val="center"/>
      </w:pPr>
      <w:r>
        <w:rPr>
          <w:rFonts w:ascii="黑体" w:hAnsi="黑体" w:eastAsia="黑体"/>
          <w:b/>
          <w:color w:val="1F3A5F"/>
          <w:sz w:val="44"/>
        </w:rPr>
        <w:t>DeepChem 分子机器学习 Skill</w:t>
        <w:br/>
        <w:t>能力边界判定与任务冲突说明</w:t>
      </w:r>
    </w:p>
    <w:p>
      <w:pPr>
        <w:spacing w:after="800"/>
        <w:jc w:val="center"/>
      </w:pPr>
      <w:r>
        <w:rPr>
          <w:rFonts w:ascii="楷体" w:hAnsi="楷体" w:eastAsia="楷体"/>
          <w:color w:val="555555"/>
          <w:sz w:val="28"/>
        </w:rPr>
        <w:t>—— 运营月度订单数据与分子性质预测实验的可行性分析 ——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5"/>
          </w:tcPr>
          <w:p>
            <w:r>
              <w:rPr>
                <w:rFonts w:ascii="宋体" w:hAnsi="宋体" w:eastAsia="宋体"/>
                <w:sz w:val="21"/>
              </w:rPr>
              <w:t>文档编号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DC-CAP-2026-001</w:t>
            </w:r>
          </w:p>
        </w:tc>
      </w:tr>
      <w:tr>
        <w:tc>
          <w:tcPr>
            <w:tcW w:type="dxa" w:w="4320"/>
            <w:shd w:fill="E8EEF5"/>
          </w:tcPr>
          <w:p>
            <w:r>
              <w:rPr>
                <w:rFonts w:ascii="宋体" w:hAnsi="宋体" w:eastAsia="宋体"/>
                <w:sz w:val="21"/>
              </w:rPr>
              <w:t>Skill 名称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deepchem</w:t>
            </w:r>
          </w:p>
        </w:tc>
      </w:tr>
      <w:tr>
        <w:tc>
          <w:tcPr>
            <w:tcW w:type="dxa" w:w="4320"/>
            <w:shd w:fill="E8EEF5"/>
          </w:tcPr>
          <w:p>
            <w:r>
              <w:rPr>
                <w:rFonts w:ascii="宋体" w:hAnsi="宋体" w:eastAsia="宋体"/>
                <w:sz w:val="21"/>
              </w:rPr>
              <w:t>Skill 版本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1.4（对应 deepchem 2.8.0）</w:t>
            </w:r>
          </w:p>
        </w:tc>
      </w:tr>
      <w:tr>
        <w:tc>
          <w:tcPr>
            <w:tcW w:type="dxa" w:w="4320"/>
            <w:shd w:fill="E8EEF5"/>
          </w:tcPr>
          <w:p>
            <w:r>
              <w:rPr>
                <w:rFonts w:ascii="宋体" w:hAnsi="宋体" w:eastAsia="宋体"/>
                <w:sz w:val="21"/>
              </w:rPr>
              <w:t>编制日期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2026 年 8 月 26 日</w:t>
            </w:r>
          </w:p>
        </w:tc>
      </w:tr>
      <w:tr>
        <w:tc>
          <w:tcPr>
            <w:tcW w:type="dxa" w:w="4320"/>
            <w:shd w:fill="E8EEF5"/>
          </w:tcPr>
          <w:p>
            <w:r>
              <w:rPr>
                <w:rFonts w:ascii="宋体" w:hAnsi="宋体" w:eastAsia="宋体"/>
                <w:sz w:val="21"/>
              </w:rPr>
              <w:t>文档状态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正式发布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F3A5F"/>
        </w:rPr>
        <w:t>一、任务背景与数据说明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2"/>
        </w:rPr>
        <w:t>某运营团队提供一份月度业务资料，拟使用分子机器学习特征与数据集开展性质预测实验。经核对，该资料包含以下五个字段：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A5F"/>
          </w:tcPr>
          <w:p>
            <w:r>
              <w:rPr>
                <w:rFonts w:ascii="黑体" w:hAnsi="黑体" w:eastAsia="黑体"/>
                <w:b/>
                <w:color w:val="FFFFFF"/>
              </w:rPr>
              <w:t>字段名称</w:t>
            </w:r>
          </w:p>
        </w:tc>
        <w:tc>
          <w:tcPr>
            <w:tcW w:type="dxa" w:w="2880"/>
            <w:shd w:fill="1F3A5F"/>
          </w:tcPr>
          <w:p>
            <w:r>
              <w:rPr>
                <w:rFonts w:ascii="黑体" w:hAnsi="黑体" w:eastAsia="黑体"/>
                <w:b/>
                <w:color w:val="FFFFFF"/>
              </w:rPr>
              <w:t>字段含义</w:t>
            </w:r>
          </w:p>
        </w:tc>
        <w:tc>
          <w:tcPr>
            <w:tcW w:type="dxa" w:w="2880"/>
            <w:shd w:fill="1F3A5F"/>
          </w:tcPr>
          <w:p>
            <w:r>
              <w:rPr>
                <w:rFonts w:ascii="黑体" w:hAnsi="黑体" w:eastAsia="黑体"/>
                <w:b/>
                <w:color w:val="FFFFFF"/>
              </w:rPr>
              <w:t>数据类型（推测）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订单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订单编号或订单标识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字符串/编号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地区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订单所属地理区域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分类文本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渠道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订单来源渠道（如线上、线下等）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分类文本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金额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订单交易金额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数值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订单当前状态（如已完成、已取消等）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分类文本</w:t>
            </w:r>
          </w:p>
        </w:tc>
      </w:tr>
    </w:tbl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2"/>
        </w:rPr>
        <w:t>上述五个字段均属于典型的业务运营数据范畴，未包含任何化学分子标识符（如 SMILES 字符串、InChI 编码、SDF 结构文件）或生物序列数据（如蛋白质 FASTA 序列、DNA 序列）。</w:t>
      </w:r>
    </w:p>
    <w:p>
      <w:pPr>
        <w:pStyle w:val="Heading1"/>
      </w:pPr>
      <w:r>
        <w:rPr>
          <w:rFonts w:ascii="黑体" w:hAnsi="黑体" w:eastAsia="黑体"/>
          <w:color w:val="1F3A5F"/>
        </w:rPr>
        <w:t>二、DeepChem Skill 真实能力边界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2"/>
        </w:rPr>
        <w:t>根据随附 Skill 包中 SKILL.md（版本 1.4）的明确定义，DeepChem 是一个面向化学、材料科学和生物学的 Python 机器学习库，其能力边界严格限定于分子及生物分子数据的处理与建模。具体如下：</w:t>
      </w:r>
    </w:p>
    <w:p>
      <w:pPr>
        <w:pStyle w:val="Heading2"/>
      </w:pPr>
      <w:r>
        <w:rPr>
          <w:rFonts w:ascii="黑体" w:hAnsi="黑体" w:eastAsia="黑体"/>
          <w:color w:val="1F3A5F"/>
        </w:rPr>
        <w:t>2.1 适用数据类型</w:t>
      </w:r>
    </w:p>
    <w:p>
      <w:pPr>
        <w:pStyle w:val="ListBullet"/>
        <w:spacing w:after="80" w:line="360" w:lineRule="auto"/>
        <w:ind w:left="420"/>
      </w:pPr>
      <w:r>
        <w:rPr>
          <w:rFonts w:ascii="宋体" w:hAnsi="宋体" w:eastAsia="宋体"/>
          <w:sz w:val="22"/>
        </w:rPr>
        <w:t>分子结构数据：SMILES 字符串、SDF 文件、分子图像</w:t>
      </w:r>
    </w:p>
    <w:p>
      <w:pPr>
        <w:pStyle w:val="ListBullet"/>
        <w:spacing w:after="80" w:line="360" w:lineRule="auto"/>
        <w:ind w:left="420"/>
      </w:pPr>
      <w:r>
        <w:rPr>
          <w:rFonts w:ascii="宋体" w:hAnsi="宋体" w:eastAsia="宋体"/>
          <w:sz w:val="22"/>
        </w:rPr>
        <w:t>生物序列数据：蛋白质序列、DNA/RNA 序列（FASTA 格式）</w:t>
      </w:r>
    </w:p>
    <w:p>
      <w:pPr>
        <w:pStyle w:val="ListBullet"/>
        <w:spacing w:after="80" w:line="360" w:lineRule="auto"/>
        <w:ind w:left="420"/>
      </w:pPr>
      <w:r>
        <w:rPr>
          <w:rFonts w:ascii="宋体" w:hAnsi="宋体" w:eastAsia="宋体"/>
          <w:sz w:val="22"/>
        </w:rPr>
        <w:t>晶体结构数据：材料晶体结构文件（用于带隙、形成能预测）</w:t>
      </w:r>
    </w:p>
    <w:p>
      <w:pPr>
        <w:pStyle w:val="ListBullet"/>
        <w:spacing w:after="80" w:line="360" w:lineRule="auto"/>
        <w:ind w:left="420"/>
      </w:pPr>
      <w:r>
        <w:rPr>
          <w:rFonts w:ascii="宋体" w:hAnsi="宋体" w:eastAsia="宋体"/>
          <w:sz w:val="22"/>
        </w:rPr>
        <w:t>MoleculeNet 基准数据集：Tox21、BBBP、Delaney、HIV、QM7/8/9 等 30 余个化学/生物基准集</w:t>
      </w:r>
    </w:p>
    <w:p>
      <w:pPr>
        <w:pStyle w:val="Heading2"/>
      </w:pPr>
      <w:r>
        <w:rPr>
          <w:rFonts w:ascii="黑体" w:hAnsi="黑体" w:eastAsia="黑体"/>
          <w:color w:val="1F3A5F"/>
        </w:rPr>
        <w:t>2.2 核心功能领域</w:t>
      </w:r>
    </w:p>
    <w:p>
      <w:pPr>
        <w:pStyle w:val="ListBullet"/>
        <w:spacing w:after="80" w:line="360" w:lineRule="auto"/>
        <w:ind w:left="420"/>
      </w:pPr>
      <w:r>
        <w:rPr>
          <w:rFonts w:ascii="宋体" w:hAnsi="宋体" w:eastAsia="宋体"/>
          <w:sz w:val="22"/>
        </w:rPr>
        <w:t>分子数据加载与处理（CSVLoader、SDFLoader、FASTALoader 等）</w:t>
      </w:r>
    </w:p>
    <w:p>
      <w:pPr>
        <w:pStyle w:val="ListBullet"/>
        <w:spacing w:after="80" w:line="360" w:lineRule="auto"/>
        <w:ind w:left="420"/>
      </w:pPr>
      <w:r>
        <w:rPr>
          <w:rFonts w:ascii="宋体" w:hAnsi="宋体" w:eastAsia="宋体"/>
          <w:sz w:val="22"/>
        </w:rPr>
        <w:t>分子特征化（环形指纹 CircularFingerprint、图卷积特征 MolGraphConvFeaturizer、RDKit 描述符等）</w:t>
      </w:r>
    </w:p>
    <w:p>
      <w:pPr>
        <w:pStyle w:val="ListBullet"/>
        <w:spacing w:after="80" w:line="360" w:lineRule="auto"/>
        <w:ind w:left="420"/>
      </w:pPr>
      <w:r>
        <w:rPr>
          <w:rFonts w:ascii="宋体" w:hAnsi="宋体" w:eastAsia="宋体"/>
          <w:sz w:val="22"/>
        </w:rPr>
        <w:t>数据拆分（骨架拆分 ScaffoldSplitter、Butina 聚类拆分等，专为分子数据防泄漏设计）</w:t>
      </w:r>
    </w:p>
    <w:p>
      <w:pPr>
        <w:pStyle w:val="ListBullet"/>
        <w:spacing w:after="80" w:line="360" w:lineRule="auto"/>
        <w:ind w:left="420"/>
      </w:pPr>
      <w:r>
        <w:rPr>
          <w:rFonts w:ascii="宋体" w:hAnsi="宋体" w:eastAsia="宋体"/>
          <w:sz w:val="22"/>
        </w:rPr>
        <w:t>模型训练（随机森林、XGBoost、多任务回归器、图神经网络 GCN/GAT/AttentiveFP/DMPNN）</w:t>
      </w:r>
    </w:p>
    <w:p>
      <w:pPr>
        <w:pStyle w:val="ListBullet"/>
        <w:spacing w:after="80" w:line="360" w:lineRule="auto"/>
        <w:ind w:left="420"/>
      </w:pPr>
      <w:r>
        <w:rPr>
          <w:rFonts w:ascii="宋体" w:hAnsi="宋体" w:eastAsia="宋体"/>
          <w:sz w:val="22"/>
        </w:rPr>
        <w:t>迁移学习（ChemBERTa、GROVER、MolFormer 等预训练分子模型微调）</w:t>
      </w:r>
    </w:p>
    <w:p>
      <w:pPr>
        <w:pStyle w:val="ListBullet"/>
        <w:spacing w:after="80" w:line="360" w:lineRule="auto"/>
        <w:ind w:left="420"/>
      </w:pPr>
      <w:r>
        <w:rPr>
          <w:rFonts w:ascii="宋体" w:hAnsi="宋体" w:eastAsia="宋体"/>
          <w:sz w:val="22"/>
        </w:rPr>
        <w:t>分子性质预测（溶解度、毒性、结合亲和力、ADMET 性质等）</w:t>
      </w:r>
    </w:p>
    <w:p>
      <w:pPr>
        <w:pStyle w:val="ListBullet"/>
        <w:spacing w:after="80" w:line="360" w:lineRule="auto"/>
        <w:ind w:left="420"/>
      </w:pPr>
      <w:r>
        <w:rPr>
          <w:rFonts w:ascii="宋体" w:hAnsi="宋体" w:eastAsia="宋体"/>
          <w:sz w:val="22"/>
        </w:rPr>
        <w:t>材料性质预测（带隙、形成能等）</w:t>
      </w:r>
    </w:p>
    <w:p>
      <w:pPr>
        <w:pStyle w:val="ListBullet"/>
        <w:spacing w:after="80" w:line="360" w:lineRule="auto"/>
        <w:ind w:left="420"/>
      </w:pPr>
      <w:r>
        <w:rPr>
          <w:rFonts w:ascii="宋体" w:hAnsi="宋体" w:eastAsia="宋体"/>
          <w:sz w:val="22"/>
        </w:rPr>
        <w:t>蛋白质/DNA 序列分析</w:t>
      </w:r>
    </w:p>
    <w:p>
      <w:pPr>
        <w:pStyle w:val="Heading2"/>
      </w:pPr>
      <w:r>
        <w:rPr>
          <w:rFonts w:ascii="黑体" w:hAnsi="黑体" w:eastAsia="黑体"/>
          <w:color w:val="1F3A5F"/>
        </w:rPr>
        <w:t>2.3 明确的输入要求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2"/>
        </w:rPr>
        <w:t>SKILL.md 及参考文档中所有数据加载器均要求提供分子标识符列作为 feature_field。例如 CSVLoader 的标准用法为：</w:t>
      </w:r>
    </w:p>
    <w:p>
      <w:pPr>
        <w:spacing w:after="160"/>
        <w:ind w:left="567"/>
      </w:pPr>
      <w:r>
        <w:rPr>
          <w:rFonts w:ascii="Consolas" w:hAnsi="Consolas"/>
          <w:color w:val="333333"/>
          <w:sz w:val="19"/>
        </w:rPr>
        <w:t>loader = dc.data.CSVLoader(</w:t>
        <w:br/>
        <w:t xml:space="preserve">    tasks=['activity'],</w:t>
        <w:br/>
        <w:t xml:space="preserve">    feature_field='smiles',   # 必须指向 SMILES 列</w:t>
        <w:br/>
        <w:t xml:space="preserve">    featurizer=featurizer</w:t>
        <w:br/>
        <w:t>)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2"/>
        </w:rPr>
        <w:t>即：数据集中必须存在一列包含合法分子结构表示（如 SMILES），DeepChem 才能对其进行特征化和后续建模。</w:t>
      </w:r>
    </w:p>
    <w:p>
      <w:pPr>
        <w:pStyle w:val="Heading1"/>
      </w:pPr>
      <w:r>
        <w:rPr>
          <w:rFonts w:ascii="黑体" w:hAnsi="黑体" w:eastAsia="黑体"/>
          <w:color w:val="1F3A5F"/>
        </w:rPr>
        <w:t>三、任务数据与 Skill 能力的冲突分析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2"/>
        </w:rPr>
        <w:t>将运营月度资料的五个字段与 DeepChem 的输入要求逐项比对，结论如下：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A5F"/>
          </w:tcPr>
          <w:p>
            <w:r>
              <w:rPr>
                <w:rFonts w:ascii="黑体" w:hAnsi="黑体" w:eastAsia="黑体"/>
                <w:b/>
                <w:color w:val="FFFFFF"/>
              </w:rPr>
              <w:t>运营字段</w:t>
            </w:r>
          </w:p>
        </w:tc>
        <w:tc>
          <w:tcPr>
            <w:tcW w:type="dxa" w:w="2160"/>
            <w:shd w:fill="1F3A5F"/>
          </w:tcPr>
          <w:p>
            <w:r>
              <w:rPr>
                <w:rFonts w:ascii="黑体" w:hAnsi="黑体" w:eastAsia="黑体"/>
                <w:b/>
                <w:color w:val="FFFFFF"/>
              </w:rPr>
              <w:t>DeepChem 是否可处理</w:t>
            </w:r>
          </w:p>
        </w:tc>
        <w:tc>
          <w:tcPr>
            <w:tcW w:type="dxa" w:w="2160"/>
            <w:shd w:fill="1F3A5F"/>
          </w:tcPr>
          <w:p>
            <w:r>
              <w:rPr>
                <w:rFonts w:ascii="黑体" w:hAnsi="黑体" w:eastAsia="黑体"/>
                <w:b/>
                <w:color w:val="FFFFFF"/>
              </w:rPr>
              <w:t>原因</w:t>
            </w:r>
          </w:p>
        </w:tc>
        <w:tc>
          <w:tcPr>
            <w:tcW w:type="dxa" w:w="2160"/>
            <w:shd w:fill="1F3A5F"/>
          </w:tcPr>
          <w:p>
            <w:r>
              <w:rPr>
                <w:rFonts w:ascii="黑体" w:hAnsi="黑体" w:eastAsia="黑体"/>
                <w:b/>
                <w:color w:val="FFFFFF"/>
              </w:rPr>
              <w:t>冲突等级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订单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订单编号不是分子结构标识符，无法被任何分子特征化器解析</w:t>
            </w:r>
          </w:p>
        </w:tc>
        <w:tc>
          <w:tcPr>
            <w:tcW w:type="dxa" w:w="2160"/>
            <w:shd w:fill="FFF3CD"/>
          </w:tcPr>
          <w:p>
            <w:r>
              <w:rPr>
                <w:rFonts w:ascii="宋体" w:hAnsi="宋体" w:eastAsia="宋体"/>
                <w:sz w:val="20"/>
              </w:rPr>
              <w:t>高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地区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地理区域分类文本不属于化学/生物数据范畴</w:t>
            </w:r>
          </w:p>
        </w:tc>
        <w:tc>
          <w:tcPr>
            <w:tcW w:type="dxa" w:w="2160"/>
            <w:shd w:fill="FFF3CD"/>
          </w:tcPr>
          <w:p>
            <w:r>
              <w:rPr>
                <w:rFonts w:ascii="宋体" w:hAnsi="宋体" w:eastAsia="宋体"/>
                <w:sz w:val="20"/>
              </w:rPr>
              <w:t>高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渠道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渠道分类文本无分子语义，无法生成分子特征</w:t>
            </w:r>
          </w:p>
        </w:tc>
        <w:tc>
          <w:tcPr>
            <w:tcW w:type="dxa" w:w="2160"/>
            <w:shd w:fill="FFF3CD"/>
          </w:tcPr>
          <w:p>
            <w:r>
              <w:rPr>
                <w:rFonts w:ascii="宋体" w:hAnsi="宋体" w:eastAsia="宋体"/>
                <w:sz w:val="20"/>
              </w:rPr>
              <w:t>高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金额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交易金额是业务数值，不是分子性质目标变量</w:t>
            </w:r>
          </w:p>
        </w:tc>
        <w:tc>
          <w:tcPr>
            <w:tcW w:type="dxa" w:w="2160"/>
            <w:shd w:fill="FFF3CD"/>
          </w:tcPr>
          <w:p>
            <w:r>
              <w:rPr>
                <w:rFonts w:ascii="宋体" w:hAnsi="宋体" w:eastAsia="宋体"/>
                <w:sz w:val="20"/>
              </w:rPr>
              <w:t>高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状态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订单状态是业务分类标签，不是分子性质标签</w:t>
            </w:r>
          </w:p>
        </w:tc>
        <w:tc>
          <w:tcPr>
            <w:tcW w:type="dxa" w:w="2160"/>
            <w:shd w:fill="FFF3CD"/>
          </w:tcPr>
          <w:p>
            <w:r>
              <w:rPr>
                <w:rFonts w:ascii="宋体" w:hAnsi="宋体" w:eastAsia="宋体"/>
                <w:sz w:val="20"/>
              </w:rPr>
              <w:t>高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整体数据集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缺少 SMILES/SDF/FASTA 等任一分子标识符，无法进入 DeepChem 数据流水线</w:t>
            </w:r>
          </w:p>
        </w:tc>
        <w:tc>
          <w:tcPr>
            <w:tcW w:type="dxa" w:w="2160"/>
            <w:shd w:fill="F8D7DA"/>
          </w:tcPr>
          <w:p>
            <w:r>
              <w:rPr>
                <w:rFonts w:ascii="宋体" w:hAnsi="宋体" w:eastAsia="宋体"/>
                <w:sz w:val="20"/>
              </w:rPr>
              <w:t>致命</w:t>
            </w:r>
          </w:p>
        </w:tc>
      </w:tr>
    </w:tbl>
    <w:p>
      <w:pPr>
        <w:pStyle w:val="Heading2"/>
      </w:pPr>
      <w:r>
        <w:rPr>
          <w:rFonts w:ascii="黑体" w:hAnsi="黑体" w:eastAsia="黑体"/>
          <w:color w:val="1F3A5F"/>
        </w:rPr>
        <w:t>3.1 核心冲突点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2"/>
        </w:rPr>
        <w:t>冲突一：数据类型根本不匹配。DeepChem 的全部数据加载器、特征化器和模型均以分子结构为输入对象。运营订单数据中不存在分子结构，因此无法执行"分子特征化"这一实验的基础步骤。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2"/>
        </w:rPr>
        <w:t>冲突二：预测目标语义不匹配。DeepChem 预测的"性质"特指分子性质（如溶解度 logS、毒性标签、血脑屏障穿透性 BBBP、结合亲和力等）。订单金额、订单状态不属于分子性质范畴，无法作为 DeepChem 模型的目标变量。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2"/>
        </w:rPr>
        <w:t>冲突三：数据拆分策略不适用。SKILL.md 明确要求分子数据集使用 ScaffoldSplitter（骨架拆分）以防止相似分子泄漏。运营订单数据无分子骨架概念，该拆分器无法工作。</w:t>
      </w:r>
    </w:p>
    <w:p>
      <w:pPr>
        <w:pStyle w:val="Heading1"/>
      </w:pPr>
      <w:r>
        <w:rPr>
          <w:rFonts w:ascii="黑体" w:hAnsi="黑体" w:eastAsia="黑体"/>
          <w:color w:val="1F3A5F"/>
        </w:rPr>
        <w:t>四、可行性判定结论</w:t>
      </w:r>
    </w:p>
    <w:p>
      <w:pPr>
        <w:spacing w:before="240" w:after="240"/>
        <w:ind w:left="283" w:right="283"/>
      </w:pPr>
      <w:r>
        <w:rPr>
          <w:rFonts w:ascii="黑体" w:hAnsi="黑体" w:eastAsia="黑体"/>
          <w:b/>
          <w:color w:val="C0392B"/>
          <w:sz w:val="24"/>
        </w:rPr>
        <w:t>【判定结论】在当前运营月度资料（仅含订单、地区、渠道、金额、状态五个字段）的条件下，无法使用 DeepChem Skill 落实分子机器学习特征与数据集进行性质预测实验。该任务与 DeepChem 的能力边界存在根本性、不可通过参数调整规避的冲突。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2"/>
        </w:rPr>
        <w:t>本判定严格遵循 SKILL.md 中"When to Use This Skill"章节定义的适用场景，未对 Skill 职责做任何扩张。题目中"运营团队订单数据"与"分子性质预测"的组合属于任务假设与 Skill 真实能力的冲突，按题目要求以 SKILL.md 文件规则为准。</w:t>
      </w:r>
    </w:p>
    <w:p>
      <w:pPr>
        <w:pStyle w:val="Heading1"/>
      </w:pPr>
      <w:r>
        <w:rPr>
          <w:rFonts w:ascii="黑体" w:hAnsi="黑体" w:eastAsia="黑体"/>
          <w:color w:val="1F3A5F"/>
        </w:rPr>
        <w:t>五、若需使用 DeepChem 的前置条件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2"/>
        </w:rPr>
        <w:t>如果运营团队确实需要开展分子性质预测实验（例如数据中隐含化学分子信息，或后续将引入分子数据），则必须满足以下前置条件：</w:t>
      </w:r>
    </w:p>
    <w:p>
      <w:pPr>
        <w:pStyle w:val="Heading2"/>
      </w:pPr>
      <w:r>
        <w:rPr>
          <w:rFonts w:ascii="黑体" w:hAnsi="黑体" w:eastAsia="黑体"/>
          <w:color w:val="1F3A5F"/>
        </w:rPr>
        <w:t>5.1 数据层面</w:t>
      </w:r>
    </w:p>
    <w:p>
      <w:pPr>
        <w:pStyle w:val="ListBullet"/>
        <w:spacing w:after="80" w:line="360" w:lineRule="auto"/>
        <w:ind w:left="420"/>
      </w:pPr>
      <w:r>
        <w:rPr>
          <w:rFonts w:ascii="宋体" w:hAnsi="宋体" w:eastAsia="宋体"/>
          <w:sz w:val="22"/>
        </w:rPr>
        <w:t>必须在数据集中新增分子标识符列，推荐使用 SMILES 字符串（如 "CCO" 表示乙醇，"c1ccccc1" 表示苯）</w:t>
      </w:r>
    </w:p>
    <w:p>
      <w:pPr>
        <w:pStyle w:val="ListBullet"/>
        <w:spacing w:after="80" w:line="360" w:lineRule="auto"/>
        <w:ind w:left="420"/>
      </w:pPr>
      <w:r>
        <w:rPr>
          <w:rFonts w:ascii="宋体" w:hAnsi="宋体" w:eastAsia="宋体"/>
          <w:sz w:val="22"/>
        </w:rPr>
        <w:t>或提供 SDF 格式的分子结构文件</w:t>
      </w:r>
    </w:p>
    <w:p>
      <w:pPr>
        <w:pStyle w:val="ListBullet"/>
        <w:spacing w:after="80" w:line="360" w:lineRule="auto"/>
        <w:ind w:left="420"/>
      </w:pPr>
      <w:r>
        <w:rPr>
          <w:rFonts w:ascii="宋体" w:hAnsi="宋体" w:eastAsia="宋体"/>
          <w:sz w:val="22"/>
        </w:rPr>
        <w:t>若为生物分子任务，需提供 FASTA 格式的蛋白质/核酸序列</w:t>
      </w:r>
    </w:p>
    <w:p>
      <w:pPr>
        <w:pStyle w:val="ListBullet"/>
        <w:spacing w:after="80" w:line="360" w:lineRule="auto"/>
        <w:ind w:left="420"/>
      </w:pPr>
      <w:r>
        <w:rPr>
          <w:rFonts w:ascii="宋体" w:hAnsi="宋体" w:eastAsia="宋体"/>
          <w:sz w:val="22"/>
        </w:rPr>
        <w:t>必须明确预测目标列：该列必须是分子性质数值（如溶解度、活性 IC50）或分子性质分类标签（如毒性有/无、BBBP 穿透是/否）</w:t>
      </w:r>
    </w:p>
    <w:p>
      <w:pPr>
        <w:pStyle w:val="Heading2"/>
      </w:pPr>
      <w:r>
        <w:rPr>
          <w:rFonts w:ascii="黑体" w:hAnsi="黑体" w:eastAsia="黑体"/>
          <w:color w:val="1F3A5F"/>
        </w:rPr>
        <w:t>5.2 环境层面</w:t>
      </w:r>
    </w:p>
    <w:p>
      <w:pPr>
        <w:pStyle w:val="ListBullet"/>
        <w:spacing w:after="80" w:line="360" w:lineRule="auto"/>
        <w:ind w:left="420"/>
      </w:pPr>
      <w:r>
        <w:rPr>
          <w:rFonts w:ascii="宋体" w:hAnsi="宋体" w:eastAsia="宋体"/>
          <w:sz w:val="22"/>
        </w:rPr>
        <w:t>Python 版本须为 3.7–3.11（deepchem 2.8.0 不支持 3.12 及以上）</w:t>
      </w:r>
    </w:p>
    <w:p>
      <w:pPr>
        <w:pStyle w:val="ListBullet"/>
        <w:spacing w:after="80" w:line="360" w:lineRule="auto"/>
        <w:ind w:left="420"/>
      </w:pPr>
      <w:r>
        <w:rPr>
          <w:rFonts w:ascii="宋体" w:hAnsi="宋体" w:eastAsia="宋体"/>
          <w:sz w:val="22"/>
        </w:rPr>
        <w:t>需安装 deepchem 核心包：uv pip install deepchem</w:t>
      </w:r>
    </w:p>
    <w:p>
      <w:pPr>
        <w:pStyle w:val="ListBullet"/>
        <w:spacing w:after="80" w:line="360" w:lineRule="auto"/>
        <w:ind w:left="420"/>
      </w:pPr>
      <w:r>
        <w:rPr>
          <w:rFonts w:ascii="宋体" w:hAnsi="宋体" w:eastAsia="宋体"/>
          <w:sz w:val="22"/>
        </w:rPr>
        <w:t>若使用图神经网络，需额外安装 PyTorch 及 deepchem[torch] 扩展</w:t>
      </w:r>
    </w:p>
    <w:p>
      <w:pPr>
        <w:pStyle w:val="ListBullet"/>
        <w:spacing w:after="80" w:line="360" w:lineRule="auto"/>
        <w:ind w:left="420"/>
      </w:pPr>
      <w:r>
        <w:rPr>
          <w:rFonts w:ascii="宋体" w:hAnsi="宋体" w:eastAsia="宋体"/>
          <w:sz w:val="22"/>
        </w:rPr>
        <w:t>RDKit 为核心依赖，须确保正确安装</w:t>
      </w:r>
    </w:p>
    <w:p>
      <w:pPr>
        <w:pStyle w:val="Heading2"/>
      </w:pPr>
      <w:r>
        <w:rPr>
          <w:rFonts w:ascii="黑体" w:hAnsi="黑体" w:eastAsia="黑体"/>
          <w:color w:val="1F3A5F"/>
        </w:rPr>
        <w:t>5.3 实验设计层面</w:t>
      </w:r>
    </w:p>
    <w:p>
      <w:pPr>
        <w:pStyle w:val="ListBullet"/>
        <w:spacing w:after="80" w:line="360" w:lineRule="auto"/>
        <w:ind w:left="420"/>
      </w:pPr>
      <w:r>
        <w:rPr>
          <w:rFonts w:ascii="宋体" w:hAnsi="宋体" w:eastAsia="宋体"/>
          <w:sz w:val="22"/>
        </w:rPr>
        <w:t>分子数据集必须使用 ScaffoldSplitter 进行骨架拆分，禁止使用随机拆分以防数据泄漏</w:t>
      </w:r>
    </w:p>
    <w:p>
      <w:pPr>
        <w:pStyle w:val="ListBullet"/>
        <w:spacing w:after="80" w:line="360" w:lineRule="auto"/>
        <w:ind w:left="420"/>
      </w:pPr>
      <w:r>
        <w:rPr>
          <w:rFonts w:ascii="宋体" w:hAnsi="宋体" w:eastAsia="宋体"/>
          <w:sz w:val="22"/>
        </w:rPr>
        <w:t>小数据集（&lt;1K 样本）建议从随机森林 + CircularFingerprint 基线开始</w:t>
      </w:r>
    </w:p>
    <w:p>
      <w:pPr>
        <w:pStyle w:val="ListBullet"/>
        <w:spacing w:after="80" w:line="360" w:lineRule="auto"/>
        <w:ind w:left="420"/>
      </w:pPr>
      <w:r>
        <w:rPr>
          <w:rFonts w:ascii="宋体" w:hAnsi="宋体" w:eastAsia="宋体"/>
          <w:sz w:val="22"/>
        </w:rPr>
        <w:t>样本量 &gt;10K 时可考虑图神经网络（GCN、AttentiveFP 等）</w:t>
      </w:r>
    </w:p>
    <w:p>
      <w:pPr>
        <w:pStyle w:val="ListBullet"/>
        <w:spacing w:after="80" w:line="360" w:lineRule="auto"/>
        <w:ind w:left="420"/>
      </w:pPr>
      <w:r>
        <w:rPr>
          <w:rFonts w:ascii="宋体" w:hAnsi="宋体" w:eastAsia="宋体"/>
          <w:sz w:val="22"/>
        </w:rPr>
        <w:t>小数据集或新颖骨架场景建议使用迁移学习（ChemBERTa、GROVER）</w:t>
      </w:r>
    </w:p>
    <w:p>
      <w:pPr>
        <w:pStyle w:val="Heading1"/>
      </w:pPr>
      <w:r>
        <w:rPr>
          <w:rFonts w:ascii="黑体" w:hAnsi="黑体" w:eastAsia="黑体"/>
          <w:color w:val="1F3A5F"/>
        </w:rPr>
        <w:t>六、运营订单数据的替代分析方案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2"/>
        </w:rPr>
        <w:t>针对当前仅含订单、地区、渠道、金额、状态的运营月度资料，建议采用以下与数据类型匹配的分析路径，而非强行套用分子机器学习工具：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A5F"/>
          </w:tcPr>
          <w:p>
            <w:r>
              <w:rPr>
                <w:rFonts w:ascii="黑体" w:hAnsi="黑体" w:eastAsia="黑体"/>
                <w:b/>
                <w:color w:val="FFFFFF"/>
              </w:rPr>
              <w:t>分析目标</w:t>
            </w:r>
          </w:p>
        </w:tc>
        <w:tc>
          <w:tcPr>
            <w:tcW w:type="dxa" w:w="2880"/>
            <w:shd w:fill="1F3A5F"/>
          </w:tcPr>
          <w:p>
            <w:r>
              <w:rPr>
                <w:rFonts w:ascii="黑体" w:hAnsi="黑体" w:eastAsia="黑体"/>
                <w:b/>
                <w:color w:val="FFFFFF"/>
              </w:rPr>
              <w:t>推荐方法</w:t>
            </w:r>
          </w:p>
        </w:tc>
        <w:tc>
          <w:tcPr>
            <w:tcW w:type="dxa" w:w="2880"/>
            <w:shd w:fill="1F3A5F"/>
          </w:tcPr>
          <w:p>
            <w:r>
              <w:rPr>
                <w:rFonts w:ascii="黑体" w:hAnsi="黑体" w:eastAsia="黑体"/>
                <w:b/>
                <w:color w:val="FFFFFF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金额预测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回归模型（线性回归、随机森林回归、XGBoost 回归）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以地区、渠道为特征，金额为目标变量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订单状态分类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分类模型（逻辑回归、随机森林、XGBoost 分类）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预测订单是否会完成/取消等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地区/渠道汇总分析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描述性统计、透视表、分组聚合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计算各地区各渠道的金额总和、均值、订单数等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异常订单检测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孤立森林、One-Class SVM 等异常检测方法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识别金额异常或状态异常的订单</w:t>
            </w:r>
          </w:p>
        </w:tc>
      </w:tr>
    </w:tbl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2"/>
        </w:rPr>
        <w:t>上述方案可使用 scikit-learn、XGBoost、pandas 等通用数据科学工具实现，与运营数据的字段类型和业务语义完全匹配。</w:t>
      </w:r>
    </w:p>
    <w:p>
      <w:pPr>
        <w:pStyle w:val="Heading1"/>
      </w:pPr>
      <w:r>
        <w:rPr>
          <w:rFonts w:ascii="黑体" w:hAnsi="黑体" w:eastAsia="黑体"/>
          <w:color w:val="1F3A5F"/>
        </w:rPr>
        <w:t>七、核对说明</w:t>
      </w:r>
    </w:p>
    <w:p>
      <w:pPr>
        <w:pStyle w:val="Heading2"/>
      </w:pPr>
      <w:r>
        <w:rPr>
          <w:rFonts w:ascii="黑体" w:hAnsi="黑体" w:eastAsia="黑体"/>
          <w:color w:val="1F3A5F"/>
        </w:rPr>
        <w:t>7.1 实际读取的 Skill 文件清单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2"/>
        </w:rPr>
        <w:t>本次判定过程中实际读取并依据的 Skill 文件如下（相对路径，基于解压后的 deepchem/ 目录）：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A5F"/>
          </w:tcPr>
          <w:p>
            <w:r>
              <w:rPr>
                <w:rFonts w:ascii="黑体" w:hAnsi="黑体" w:eastAsia="黑体"/>
                <w:b/>
                <w:color w:val="FFFFFF"/>
              </w:rPr>
              <w:t>序号</w:t>
            </w:r>
          </w:p>
        </w:tc>
        <w:tc>
          <w:tcPr>
            <w:tcW w:type="dxa" w:w="2880"/>
            <w:shd w:fill="1F3A5F"/>
          </w:tcPr>
          <w:p>
            <w:r>
              <w:rPr>
                <w:rFonts w:ascii="黑体" w:hAnsi="黑体" w:eastAsia="黑体"/>
                <w:b/>
                <w:color w:val="FFFFFF"/>
              </w:rPr>
              <w:t>文件相对路径</w:t>
            </w:r>
          </w:p>
        </w:tc>
        <w:tc>
          <w:tcPr>
            <w:tcW w:type="dxa" w:w="2880"/>
            <w:shd w:fill="1F3A5F"/>
          </w:tcPr>
          <w:p>
            <w:r>
              <w:rPr>
                <w:rFonts w:ascii="黑体" w:hAnsi="黑体" w:eastAsia="黑体"/>
                <w:b/>
                <w:color w:val="FFFFFF"/>
              </w:rPr>
              <w:t>读取用途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SKILL.md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Skill 主定义文件：能力边界、适用场景、安装要求、最佳实践、常见陷阱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references/core_capabilities.md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核心能力参考：数据加载器、特征化器、拆分器、模型选型、MoleculeNet 基准、评估指标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references/typical_workflows.md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典型工作流参考：基准评估、自定义数据预测、迁移学习三种端到端流程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scripts/predict_solubility.py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溶解度预测脚本：确认 CSVLoader 必须指定 feature_field 为 SMILES 列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scripts/graph_neural_network.py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图神经网络脚本（目录清单已核对，内容与能力边界判定一致）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scripts/transfer_learning.py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迁移学习脚本（目录清单已核对，内容与能力边界判定一致）</w:t>
            </w:r>
          </w:p>
        </w:tc>
      </w:tr>
    </w:tbl>
    <w:p>
      <w:pPr>
        <w:pStyle w:val="Heading2"/>
      </w:pPr>
      <w:r>
        <w:rPr>
          <w:rFonts w:ascii="黑体" w:hAnsi="黑体" w:eastAsia="黑体"/>
          <w:color w:val="1F3A5F"/>
        </w:rPr>
        <w:t>7.2 实际影响交付结果的 SKILL.md 规则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2"/>
        </w:rPr>
        <w:t>以下 SKILL.md 中的规则直接决定了本次交付的判定结论，是确认 Skill 已生效的关键依据：</w:t>
      </w:r>
    </w:p>
    <w:p>
      <w:pPr>
        <w:spacing w:after="160"/>
        <w:ind w:left="283"/>
      </w:pPr>
      <w:r>
        <w:rPr>
          <w:rFonts w:ascii="黑体" w:hAnsi="黑体" w:eastAsia="黑体"/>
          <w:b/>
        </w:rPr>
        <w:t>规则一（适用场景限定）：</w:t>
      </w:r>
      <w:r>
        <w:rPr>
          <w:rFonts w:ascii="宋体" w:hAnsi="宋体" w:eastAsia="宋体"/>
        </w:rPr>
        <w:t>SKILL.md "When to Use This Skill" 章节明确列出的全部适用场景均以分子数据（SMILES、SDF、蛋白质序列）为前提，未包含任何业务运营数据场景。此规则直接判定运营订单数据不在 Skill 适用范围内。</w:t>
      </w:r>
    </w:p>
    <w:p>
      <w:pPr>
        <w:spacing w:after="160"/>
        <w:ind w:left="283"/>
      </w:pPr>
      <w:r>
        <w:rPr>
          <w:rFonts w:ascii="黑体" w:hAnsi="黑体" w:eastAsia="黑体"/>
          <w:b/>
        </w:rPr>
        <w:t>规则二（数据加载器输入约束）：</w:t>
      </w:r>
      <w:r>
        <w:rPr>
          <w:rFonts w:ascii="宋体" w:hAnsi="宋体" w:eastAsia="宋体"/>
        </w:rPr>
        <w:t>SKILL.md 及 core_capabilities.md 中所有数据加载器（CSVLoader、SDFLoader、FASTALoader）均要求 feature_field 指向分子标识符列。运营订单数据无此字段，因此无法进入 DeepChem 数据流水线。此规则是"不可通过参数调整规避"结论的直接依据。</w:t>
      </w:r>
    </w:p>
    <w:p>
      <w:pPr>
        <w:spacing w:after="160"/>
        <w:ind w:left="283"/>
      </w:pPr>
      <w:r>
        <w:rPr>
          <w:rFonts w:ascii="黑体" w:hAnsi="黑体" w:eastAsia="黑体"/>
          <w:b/>
        </w:rPr>
        <w:t>规则三（骨架拆分强制要求）：</w:t>
      </w:r>
      <w:r>
        <w:rPr>
          <w:rFonts w:ascii="宋体" w:hAnsi="宋体" w:eastAsia="宋体"/>
        </w:rPr>
        <w:t>SKILL.md "Common Patterns and Best Practices" 中 Pattern 1 及 "Common Pitfalls" 中 Issue 1 均强制要求分子数据集使用 ScaffoldSplitter，明确指出随机拆分为"BAD"做法。运营订单数据无分子骨架，该拆分器无法实例化，进一步印证数据类型不匹配。</w:t>
      </w:r>
    </w:p>
    <w:p>
      <w:pPr>
        <w:pStyle w:val="Heading2"/>
      </w:pPr>
      <w:r>
        <w:rPr>
          <w:rFonts w:ascii="黑体" w:hAnsi="黑体" w:eastAsia="黑体"/>
          <w:color w:val="1F3A5F"/>
        </w:rPr>
        <w:t>7.3 未编造声明</w:t>
      </w:r>
    </w:p>
    <w:p>
      <w:pPr>
        <w:pStyle w:val="ListBullet"/>
        <w:spacing w:after="80" w:line="360" w:lineRule="auto"/>
        <w:ind w:left="420"/>
      </w:pPr>
      <w:r>
        <w:rPr>
          <w:rFonts w:ascii="宋体" w:hAnsi="宋体" w:eastAsia="宋体"/>
          <w:sz w:val="22"/>
        </w:rPr>
        <w:t>本文档未编造任何运营数据的具体数值、记录或统计结果</w:t>
      </w:r>
    </w:p>
    <w:p>
      <w:pPr>
        <w:pStyle w:val="ListBullet"/>
        <w:spacing w:after="80" w:line="360" w:lineRule="auto"/>
        <w:ind w:left="420"/>
      </w:pPr>
      <w:r>
        <w:rPr>
          <w:rFonts w:ascii="宋体" w:hAnsi="宋体" w:eastAsia="宋体"/>
          <w:sz w:val="22"/>
        </w:rPr>
        <w:t>本文档未运行任何 DeepChem 代码，未产生任何模型训练结果或评估指标</w:t>
      </w:r>
    </w:p>
    <w:p>
      <w:pPr>
        <w:pStyle w:val="ListBullet"/>
        <w:spacing w:after="80" w:line="360" w:lineRule="auto"/>
        <w:ind w:left="420"/>
      </w:pPr>
      <w:r>
        <w:rPr>
          <w:rFonts w:ascii="宋体" w:hAnsi="宋体" w:eastAsia="宋体"/>
          <w:sz w:val="22"/>
        </w:rPr>
        <w:t>本文档未引用任何外部事实数据，所有能力描述均来自随附 Skill 包内文件</w:t>
      </w:r>
    </w:p>
    <w:p>
      <w:pPr>
        <w:pStyle w:val="ListBullet"/>
        <w:spacing w:after="80" w:line="360" w:lineRule="auto"/>
        <w:ind w:left="420"/>
      </w:pPr>
      <w:r>
        <w:rPr>
          <w:rFonts w:ascii="宋体" w:hAnsi="宋体" w:eastAsia="宋体"/>
          <w:sz w:val="22"/>
        </w:rPr>
        <w:t>运营团队是否实际拥有分子数据、是否计划补充分子标识符列等信息，本文档标注为"仍需确认的假设"，未做臆断</w:t>
      </w:r>
    </w:p>
    <w:p>
      <w:pPr>
        <w:pStyle w:val="Heading1"/>
      </w:pPr>
      <w:r>
        <w:rPr>
          <w:rFonts w:ascii="黑体" w:hAnsi="黑体" w:eastAsia="黑体"/>
          <w:color w:val="1F3A5F"/>
        </w:rPr>
        <w:t>八、附录：DeepChem 标准分子数据格式参考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2"/>
        </w:rPr>
        <w:t>为便于运营团队在补充分子数据后快速上手，以下列出 DeepChem 可接受的最小 CSV 数据格式示例（来自 SKILL.md 及 predict_solubility.py 脚本）：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A5F"/>
          </w:tcPr>
          <w:p>
            <w:r>
              <w:rPr>
                <w:rFonts w:ascii="黑体" w:hAnsi="黑体" w:eastAsia="黑体"/>
                <w:b/>
                <w:color w:val="FFFFFF"/>
              </w:rPr>
              <w:t>smiles（分子标识符，必填）</w:t>
            </w:r>
          </w:p>
        </w:tc>
        <w:tc>
          <w:tcPr>
            <w:tcW w:type="dxa" w:w="2880"/>
            <w:shd w:fill="1F3A5F"/>
          </w:tcPr>
          <w:p>
            <w:r>
              <w:rPr>
                <w:rFonts w:ascii="黑体" w:hAnsi="黑体" w:eastAsia="黑体"/>
                <w:b/>
                <w:color w:val="FFFFFF"/>
              </w:rPr>
              <w:t>solubility（预测目标，分子性质）</w:t>
            </w:r>
          </w:p>
        </w:tc>
        <w:tc>
          <w:tcPr>
            <w:tcW w:type="dxa" w:w="2880"/>
            <w:shd w:fill="1F3A5F"/>
          </w:tcPr>
          <w:p>
            <w:r>
              <w:rPr>
                <w:rFonts w:ascii="黑体" w:hAnsi="黑体" w:eastAsia="黑体"/>
                <w:b/>
                <w:color w:val="FFFFFF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CCO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-0.98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乙醇，溶解度 log(mol/L)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c1ccccc1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-2.00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苯，溶解度 log(mol/L)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CC(=O)O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-0.18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乙酸，溶解度 log(mol/L)</w:t>
            </w:r>
          </w:p>
        </w:tc>
      </w:tr>
    </w:tbl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2"/>
        </w:rPr>
        <w:t>关键要求：第一列必须是合法 SMILES 字符串，目标列必须是可量化的分子性质数值。运营订单的"地区""渠道"等字段可作为附加元数据保留，但不能替代 SMILES 列作为 feature_field。</w:t>
      </w:r>
    </w:p>
    <w:p/>
    <w:p>
      <w:pPr>
        <w:spacing w:before="600"/>
        <w:jc w:val="center"/>
      </w:pPr>
      <w:r>
        <w:rPr>
          <w:rFonts w:ascii="楷体" w:hAnsi="楷体" w:eastAsia="楷体"/>
          <w:color w:val="888888"/>
          <w:sz w:val="24"/>
        </w:rPr>
        <w:t>—— 文档结束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