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712" w:rsidRPr="001342A5" w:rsidRDefault="00DD727D">
      <w:pPr>
        <w:rPr>
          <w:b/>
        </w:rPr>
      </w:pPr>
      <w:r w:rsidRPr="001342A5">
        <w:rPr>
          <w:b/>
        </w:rPr>
        <w:t>Ověření zděné klenby metodou mezní analýzy</w:t>
      </w:r>
    </w:p>
    <w:p w:rsidR="00DD727D" w:rsidRDefault="00DD727D">
      <w:r>
        <w:t xml:space="preserve">Byla použitá kinematická varianta mezní analýzy </w:t>
      </w:r>
      <w:r w:rsidRPr="00877076">
        <w:t>[1, 2, 3]</w:t>
      </w:r>
      <w:r>
        <w:t xml:space="preserve">, </w:t>
      </w:r>
      <w:r w:rsidR="00877076">
        <w:t xml:space="preserve">která předpokládá infinitní pevnost materiálu a tření ve spáře podle </w:t>
      </w:r>
      <w:proofErr w:type="spellStart"/>
      <w:r w:rsidR="00877076">
        <w:t>Drucknera</w:t>
      </w:r>
      <w:proofErr w:type="spellEnd"/>
      <w:r w:rsidR="00877076">
        <w:t xml:space="preserve"> [4]. Tento algoritmus je možné modifikovat s omezením pevnosti zdiva několika způsoby [5]</w:t>
      </w:r>
      <w:r w:rsidR="00AA752C">
        <w:t xml:space="preserve"> tak, aby mezní stav odpovídat v průřezu ekvivalentnímu obdélníkovému pracovnímu </w:t>
      </w:r>
      <w:proofErr w:type="spellStart"/>
      <w:r w:rsidR="00AA752C">
        <w:t>diagamu</w:t>
      </w:r>
      <w:proofErr w:type="spellEnd"/>
      <w:r w:rsidR="00AA752C">
        <w:t xml:space="preserve"> a jemu odpovídajícímu průběhu normálového napětí v průřezu zdiva, jak je uvedeno v ČSN EN 1996-1-1</w:t>
      </w:r>
      <w:r w:rsidR="00877076">
        <w:t xml:space="preserve">. </w:t>
      </w:r>
    </w:p>
    <w:p w:rsidR="009609F4" w:rsidRDefault="009609F4">
      <w:r>
        <w:t>Algoritmus hledá z množiny přípustných kinematických mechanizmů porušení klenby</w:t>
      </w:r>
      <w:r w:rsidR="0033270F">
        <w:t xml:space="preserve"> ten s nejmenším násobkem referenčního zatížení. Úloha vede k optimalizační úloze lineárního programování.</w:t>
      </w:r>
    </w:p>
    <w:p w:rsidR="00AA752C" w:rsidRDefault="00AA752C"/>
    <w:p w:rsidR="00AA752C" w:rsidRDefault="00AA752C">
      <w:r>
        <w:t>Vstupní předpoklady výpočtu jsou:</w:t>
      </w:r>
    </w:p>
    <w:p w:rsidR="00AA752C" w:rsidRDefault="00AA752C" w:rsidP="00AA752C">
      <w:pPr>
        <w:pStyle w:val="Odstavecseseznamem"/>
        <w:numPr>
          <w:ilvl w:val="0"/>
          <w:numId w:val="1"/>
        </w:numPr>
      </w:pPr>
      <w:r>
        <w:t>Valená klenba, konstantního poloměru zakřivení</w:t>
      </w:r>
    </w:p>
    <w:p w:rsidR="00AA752C" w:rsidRDefault="00AA752C" w:rsidP="00AA752C">
      <w:pPr>
        <w:pStyle w:val="Odstavecseseznamem"/>
        <w:numPr>
          <w:ilvl w:val="0"/>
          <w:numId w:val="1"/>
        </w:numPr>
      </w:pPr>
      <w:r>
        <w:t>světlé rozpětí 3,14 m</w:t>
      </w:r>
    </w:p>
    <w:p w:rsidR="00AA752C" w:rsidRDefault="00AA752C" w:rsidP="00AA752C">
      <w:pPr>
        <w:pStyle w:val="Odstavecseseznamem"/>
        <w:numPr>
          <w:ilvl w:val="0"/>
          <w:numId w:val="1"/>
        </w:numPr>
      </w:pPr>
      <w:r>
        <w:t>vzepětí klenby 0,26 m</w:t>
      </w:r>
    </w:p>
    <w:p w:rsidR="00AA752C" w:rsidRDefault="00AA752C" w:rsidP="00AA752C">
      <w:pPr>
        <w:pStyle w:val="Odstavecseseznamem"/>
        <w:numPr>
          <w:ilvl w:val="0"/>
          <w:numId w:val="1"/>
        </w:numPr>
      </w:pPr>
      <w:r>
        <w:t xml:space="preserve">tloušťka </w:t>
      </w:r>
      <w:proofErr w:type="spellStart"/>
      <w:r>
        <w:t>kenby</w:t>
      </w:r>
      <w:proofErr w:type="spellEnd"/>
      <w:r>
        <w:t xml:space="preserve"> 0,14 m</w:t>
      </w:r>
    </w:p>
    <w:p w:rsidR="00AA752C" w:rsidRDefault="00AA752C" w:rsidP="00AA752C">
      <w:pPr>
        <w:pStyle w:val="Odstavecseseznamem"/>
        <w:numPr>
          <w:ilvl w:val="0"/>
          <w:numId w:val="1"/>
        </w:numPr>
      </w:pPr>
      <w:r>
        <w:t xml:space="preserve">výška </w:t>
      </w:r>
      <w:proofErr w:type="spellStart"/>
      <w:r>
        <w:t>nadnásypu</w:t>
      </w:r>
      <w:proofErr w:type="spellEnd"/>
      <w:r>
        <w:t xml:space="preserve"> ve vrcholu klenby 0,1 m</w:t>
      </w:r>
    </w:p>
    <w:p w:rsidR="00AA752C" w:rsidRDefault="00AA752C" w:rsidP="00AA752C">
      <w:pPr>
        <w:pStyle w:val="Odstavecseseznamem"/>
        <w:numPr>
          <w:ilvl w:val="0"/>
          <w:numId w:val="1"/>
        </w:numPr>
      </w:pPr>
      <w:r>
        <w:t xml:space="preserve">objemová tína klenby charakteristická 18 </w:t>
      </w:r>
      <w:proofErr w:type="spellStart"/>
      <w:r>
        <w:t>kN</w:t>
      </w:r>
      <w:proofErr w:type="spellEnd"/>
      <w:r>
        <w:t xml:space="preserve">/m3, návrhová 24,3 </w:t>
      </w:r>
      <w:proofErr w:type="spellStart"/>
      <w:r>
        <w:t>kN</w:t>
      </w:r>
      <w:proofErr w:type="spellEnd"/>
      <w:r>
        <w:t>/m3</w:t>
      </w:r>
    </w:p>
    <w:p w:rsidR="00AA752C" w:rsidRDefault="00AA752C" w:rsidP="00AA752C">
      <w:pPr>
        <w:pStyle w:val="Odstavecseseznamem"/>
        <w:numPr>
          <w:ilvl w:val="0"/>
          <w:numId w:val="1"/>
        </w:numPr>
      </w:pPr>
      <w:r>
        <w:t xml:space="preserve">objemová tíha </w:t>
      </w:r>
      <w:proofErr w:type="spellStart"/>
      <w:r>
        <w:t>nadnásypu</w:t>
      </w:r>
      <w:proofErr w:type="spellEnd"/>
      <w:r>
        <w:t xml:space="preserve"> charakteristická 16 </w:t>
      </w:r>
      <w:proofErr w:type="spellStart"/>
      <w:r>
        <w:t>kN</w:t>
      </w:r>
      <w:proofErr w:type="spellEnd"/>
      <w:r>
        <w:t xml:space="preserve">/m3, návrhová 21,76 </w:t>
      </w:r>
      <w:proofErr w:type="spellStart"/>
      <w:r>
        <w:t>kN</w:t>
      </w:r>
      <w:proofErr w:type="spellEnd"/>
      <w:r>
        <w:t>/m3</w:t>
      </w:r>
    </w:p>
    <w:p w:rsidR="00AA752C" w:rsidRDefault="00AA752C" w:rsidP="00AA752C">
      <w:pPr>
        <w:pStyle w:val="Odstavecseseznamem"/>
        <w:numPr>
          <w:ilvl w:val="0"/>
          <w:numId w:val="1"/>
        </w:numPr>
      </w:pPr>
      <w:r>
        <w:t xml:space="preserve">návrhová hodnota pevnosti zdiva </w:t>
      </w:r>
      <w:proofErr w:type="spellStart"/>
      <w:r>
        <w:t>fd</w:t>
      </w:r>
      <w:proofErr w:type="spellEnd"/>
      <w:r>
        <w:t xml:space="preserve"> = 950 </w:t>
      </w:r>
      <w:proofErr w:type="spellStart"/>
      <w:r>
        <w:t>kPa</w:t>
      </w:r>
      <w:proofErr w:type="spellEnd"/>
    </w:p>
    <w:p w:rsidR="00AA752C" w:rsidRDefault="00AA752C" w:rsidP="00AA752C">
      <w:pPr>
        <w:pStyle w:val="Odstavecseseznamem"/>
        <w:numPr>
          <w:ilvl w:val="0"/>
          <w:numId w:val="1"/>
        </w:numPr>
      </w:pPr>
      <w:r>
        <w:t xml:space="preserve">součinitel pro model tření dle </w:t>
      </w:r>
      <w:proofErr w:type="spellStart"/>
      <w:r>
        <w:t>Drucknera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0,05</w:t>
      </w:r>
    </w:p>
    <w:p w:rsidR="00F452EA" w:rsidRDefault="00AA752C" w:rsidP="00F452EA">
      <w:pPr>
        <w:pStyle w:val="Odstavecseseznamem"/>
        <w:numPr>
          <w:ilvl w:val="0"/>
          <w:numId w:val="1"/>
        </w:numPr>
      </w:pPr>
      <w:r>
        <w:t xml:space="preserve">Omezení pevnosti materiálu bylo provedenou metodou podle </w:t>
      </w:r>
      <w:proofErr w:type="spellStart"/>
      <w:r w:rsidRPr="00616531">
        <w:rPr>
          <w:rFonts w:ascii="TimesNewRoman" w:hAnsi="TimesNewRoman" w:cs="TimesNewRoman"/>
          <w:sz w:val="24"/>
          <w:szCs w:val="24"/>
        </w:rPr>
        <w:t>Livensley</w:t>
      </w:r>
      <w:r w:rsidRPr="00616531">
        <w:rPr>
          <w:rFonts w:ascii="TimesNewRoman" w:hAnsi="TimesNewRoman" w:cs="TimesNewRoman"/>
          <w:sz w:val="24"/>
          <w:szCs w:val="24"/>
        </w:rPr>
        <w:t>e</w:t>
      </w:r>
      <w:proofErr w:type="spellEnd"/>
      <w:r w:rsidRPr="00616531">
        <w:rPr>
          <w:rFonts w:ascii="TimesNewRoman" w:hAnsi="TimesNewRoman" w:cs="TimesNewRoman"/>
          <w:sz w:val="24"/>
          <w:szCs w:val="24"/>
        </w:rPr>
        <w:t xml:space="preserve"> [5]</w:t>
      </w:r>
      <w:r w:rsidR="00616531">
        <w:rPr>
          <w:rFonts w:ascii="TimesNewRoman" w:hAnsi="TimesNewRoman" w:cs="TimesNewRoman"/>
          <w:sz w:val="24"/>
          <w:szCs w:val="24"/>
        </w:rPr>
        <w:t>.</w:t>
      </w:r>
    </w:p>
    <w:p w:rsidR="00F452EA" w:rsidRDefault="00F452EA" w:rsidP="00AA752C">
      <w:r>
        <w:t xml:space="preserve">Vlastní hmotnost klenby a </w:t>
      </w:r>
      <w:proofErr w:type="spellStart"/>
      <w:r>
        <w:t>nadnásypu</w:t>
      </w:r>
      <w:proofErr w:type="spellEnd"/>
      <w:r>
        <w:t xml:space="preserve"> byla </w:t>
      </w:r>
      <w:r w:rsidR="009609F4">
        <w:t>již</w:t>
      </w:r>
      <w:r w:rsidR="009609F4">
        <w:t xml:space="preserve"> </w:t>
      </w:r>
      <w:r>
        <w:t>zahrnuta algoritmem výpočtu.</w:t>
      </w:r>
    </w:p>
    <w:p w:rsidR="00AA752C" w:rsidRDefault="00AA752C" w:rsidP="00AA752C">
      <w:r>
        <w:t xml:space="preserve">Zatížení užitné a zatížení betonové mazaniny bylo uvažováno jako jednotkové roznášené rovnoměrně na horní povrch zdiva klenby. Ta byla zatěžována v excentrických částech až téměř rovnoměrně. Výstupem modelu je násobek tohoto </w:t>
      </w:r>
      <w:r w:rsidR="002B67CF">
        <w:t xml:space="preserve">jednotkového </w:t>
      </w:r>
      <w:r>
        <w:t>zatížení</w:t>
      </w:r>
      <w:r w:rsidR="002B67CF">
        <w:t>, který musí být větší než součet návrhového zatížení betonové mazaniny a užitného zatížení.</w:t>
      </w:r>
    </w:p>
    <w:p w:rsidR="002B67CF" w:rsidRDefault="002B67CF" w:rsidP="00AA752C">
      <w:r>
        <w:t xml:space="preserve">Užitné zatížení lze uvažovat charakteristickou hodnotou 5 </w:t>
      </w:r>
      <w:proofErr w:type="spellStart"/>
      <w:r>
        <w:t>kN</w:t>
      </w:r>
      <w:proofErr w:type="spellEnd"/>
      <w:r>
        <w:t xml:space="preserve">/m2 a výpočtovou 7,5 </w:t>
      </w:r>
      <w:proofErr w:type="spellStart"/>
      <w:r>
        <w:t>kN</w:t>
      </w:r>
      <w:proofErr w:type="spellEnd"/>
      <w:r>
        <w:t>/m2.</w:t>
      </w:r>
    </w:p>
    <w:p w:rsidR="002B67CF" w:rsidRDefault="002B67CF" w:rsidP="00AA752C">
      <w:r>
        <w:t xml:space="preserve">Návrhové </w:t>
      </w:r>
      <w:proofErr w:type="spellStart"/>
      <w:r>
        <w:t>atížení</w:t>
      </w:r>
      <w:proofErr w:type="spellEnd"/>
      <w:r>
        <w:t xml:space="preserve"> betonové mazaniny je 2,5 </w:t>
      </w:r>
      <w:proofErr w:type="spellStart"/>
      <w:r>
        <w:t>kN</w:t>
      </w:r>
      <w:proofErr w:type="spellEnd"/>
      <w:r>
        <w:t xml:space="preserve">/m2. Návrhové zatížení přitížení konstrukce od mazaniny a užitného zatížení celkem je tedy 10 </w:t>
      </w:r>
      <w:proofErr w:type="spellStart"/>
      <w:r>
        <w:t>kN</w:t>
      </w:r>
      <w:proofErr w:type="spellEnd"/>
      <w:r>
        <w:t>/m2. Celková násobek z analýzy pro jednotkové zatížení musí být tedy větší než 10.</w:t>
      </w:r>
    </w:p>
    <w:p w:rsidR="00BD6B36" w:rsidRDefault="00BD6B36" w:rsidP="00AA752C">
      <w:r>
        <w:t>Přehled vypočtených stavů je v tab.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BD6B36" w:rsidTr="00BD6B36">
        <w:tc>
          <w:tcPr>
            <w:tcW w:w="1510" w:type="dxa"/>
          </w:tcPr>
          <w:p w:rsidR="00BD6B36" w:rsidRDefault="00BD6B36" w:rsidP="00AA752C">
            <w:r>
              <w:t>č. výpočtu</w:t>
            </w:r>
          </w:p>
        </w:tc>
        <w:tc>
          <w:tcPr>
            <w:tcW w:w="1510" w:type="dxa"/>
          </w:tcPr>
          <w:p w:rsidR="00BD6B36" w:rsidRDefault="00BD6B36" w:rsidP="00AA752C">
            <w:r>
              <w:t>model pevnosti</w:t>
            </w:r>
          </w:p>
        </w:tc>
        <w:tc>
          <w:tcPr>
            <w:tcW w:w="1510" w:type="dxa"/>
          </w:tcPr>
          <w:p w:rsidR="00BD6B36" w:rsidRDefault="00BD6B36" w:rsidP="00AA752C">
            <w:r>
              <w:t>násobek jednotkového zatížení</w:t>
            </w:r>
          </w:p>
        </w:tc>
        <w:tc>
          <w:tcPr>
            <w:tcW w:w="1510" w:type="dxa"/>
          </w:tcPr>
          <w:p w:rsidR="00BD6B36" w:rsidRDefault="00BD6B36" w:rsidP="00AA752C">
            <w:r>
              <w:t>redukční násobek z interakčního diagramu</w:t>
            </w:r>
          </w:p>
        </w:tc>
        <w:tc>
          <w:tcPr>
            <w:tcW w:w="1511" w:type="dxa"/>
          </w:tcPr>
          <w:p w:rsidR="00BD6B36" w:rsidRDefault="00BD6B36" w:rsidP="00AA752C">
            <w:r>
              <w:t>celkem</w:t>
            </w:r>
          </w:p>
        </w:tc>
        <w:tc>
          <w:tcPr>
            <w:tcW w:w="1511" w:type="dxa"/>
          </w:tcPr>
          <w:p w:rsidR="00BD6B36" w:rsidRDefault="00BD6B36" w:rsidP="00AA752C">
            <w:r>
              <w:t>podmínka</w:t>
            </w:r>
            <w:r w:rsidR="004A1032">
              <w:t>:</w:t>
            </w:r>
            <w:r>
              <w:t xml:space="preserve"> je větší </w:t>
            </w:r>
            <w:r w:rsidR="004A1032">
              <w:t xml:space="preserve">než </w:t>
            </w:r>
            <w:r>
              <w:t>10?</w:t>
            </w:r>
          </w:p>
        </w:tc>
      </w:tr>
      <w:tr w:rsidR="00BD6B36" w:rsidTr="00BD6B36">
        <w:tc>
          <w:tcPr>
            <w:tcW w:w="1510" w:type="dxa"/>
          </w:tcPr>
          <w:p w:rsidR="00BD6B36" w:rsidRDefault="00F452EA" w:rsidP="00AA752C">
            <w:r>
              <w:t>1</w:t>
            </w:r>
          </w:p>
        </w:tc>
        <w:tc>
          <w:tcPr>
            <w:tcW w:w="1510" w:type="dxa"/>
          </w:tcPr>
          <w:p w:rsidR="00BD6B36" w:rsidRDefault="00BD6B36" w:rsidP="00AA752C">
            <w:proofErr w:type="spellStart"/>
            <w:r>
              <w:rPr>
                <w:rFonts w:ascii="TimesNewRoman" w:hAnsi="TimesNewRoman" w:cs="TimesNewRoman"/>
                <w:sz w:val="24"/>
                <w:szCs w:val="24"/>
              </w:rPr>
              <w:t>Livensley</w:t>
            </w:r>
            <w:proofErr w:type="spellEnd"/>
          </w:p>
        </w:tc>
        <w:tc>
          <w:tcPr>
            <w:tcW w:w="1510" w:type="dxa"/>
          </w:tcPr>
          <w:p w:rsidR="00BD6B36" w:rsidRDefault="00BD6B36" w:rsidP="00AA752C">
            <w:r>
              <w:t>22,69</w:t>
            </w:r>
          </w:p>
        </w:tc>
        <w:tc>
          <w:tcPr>
            <w:tcW w:w="1510" w:type="dxa"/>
          </w:tcPr>
          <w:p w:rsidR="00BD6B36" w:rsidRDefault="00BD6B36" w:rsidP="00AA752C">
            <w:r>
              <w:t>1,00</w:t>
            </w:r>
          </w:p>
        </w:tc>
        <w:tc>
          <w:tcPr>
            <w:tcW w:w="1511" w:type="dxa"/>
          </w:tcPr>
          <w:p w:rsidR="00BD6B36" w:rsidRDefault="00BD6B36" w:rsidP="00AA752C">
            <w:r>
              <w:t>22,69</w:t>
            </w:r>
          </w:p>
        </w:tc>
        <w:tc>
          <w:tcPr>
            <w:tcW w:w="1511" w:type="dxa"/>
          </w:tcPr>
          <w:p w:rsidR="00BD6B36" w:rsidRDefault="00BD6B36" w:rsidP="00AA752C">
            <w:r>
              <w:t>splněno</w:t>
            </w:r>
          </w:p>
        </w:tc>
      </w:tr>
      <w:tr w:rsidR="00BD6B36" w:rsidTr="00BD6B36">
        <w:tc>
          <w:tcPr>
            <w:tcW w:w="1510" w:type="dxa"/>
          </w:tcPr>
          <w:p w:rsidR="00BD6B36" w:rsidRDefault="00F452EA" w:rsidP="00AA752C">
            <w:r>
              <w:t>2</w:t>
            </w:r>
          </w:p>
        </w:tc>
        <w:tc>
          <w:tcPr>
            <w:tcW w:w="1510" w:type="dxa"/>
          </w:tcPr>
          <w:p w:rsidR="00BD6B36" w:rsidRDefault="00BD6B36" w:rsidP="00AA752C">
            <w:proofErr w:type="spellStart"/>
            <w:r>
              <w:rPr>
                <w:rFonts w:ascii="TimesNewRoman" w:hAnsi="TimesNewRoman" w:cs="TimesNewRoman"/>
                <w:sz w:val="24"/>
                <w:szCs w:val="24"/>
              </w:rPr>
              <w:t>Livensley</w:t>
            </w:r>
            <w:proofErr w:type="spellEnd"/>
          </w:p>
        </w:tc>
        <w:tc>
          <w:tcPr>
            <w:tcW w:w="1510" w:type="dxa"/>
          </w:tcPr>
          <w:p w:rsidR="00BD6B36" w:rsidRDefault="00BD6B36" w:rsidP="00AA752C">
            <w:r>
              <w:t>20,48</w:t>
            </w:r>
          </w:p>
        </w:tc>
        <w:tc>
          <w:tcPr>
            <w:tcW w:w="1510" w:type="dxa"/>
          </w:tcPr>
          <w:p w:rsidR="00BD6B36" w:rsidRDefault="00BD6B36" w:rsidP="00AA752C">
            <w:r>
              <w:t>1,00</w:t>
            </w:r>
          </w:p>
        </w:tc>
        <w:tc>
          <w:tcPr>
            <w:tcW w:w="1511" w:type="dxa"/>
          </w:tcPr>
          <w:p w:rsidR="00BD6B36" w:rsidRDefault="00BD6B36" w:rsidP="00AA752C">
            <w:r>
              <w:t>20,48</w:t>
            </w:r>
          </w:p>
        </w:tc>
        <w:tc>
          <w:tcPr>
            <w:tcW w:w="1511" w:type="dxa"/>
          </w:tcPr>
          <w:p w:rsidR="00BD6B36" w:rsidRDefault="00BD6B36" w:rsidP="00AA752C">
            <w:r>
              <w:t>splněno</w:t>
            </w:r>
          </w:p>
        </w:tc>
      </w:tr>
      <w:tr w:rsidR="00BD6B36" w:rsidTr="00BD6B36">
        <w:tc>
          <w:tcPr>
            <w:tcW w:w="1510" w:type="dxa"/>
          </w:tcPr>
          <w:p w:rsidR="00BD6B36" w:rsidRDefault="00F452EA" w:rsidP="00AA752C">
            <w:r>
              <w:t>3</w:t>
            </w:r>
          </w:p>
        </w:tc>
        <w:tc>
          <w:tcPr>
            <w:tcW w:w="1510" w:type="dxa"/>
          </w:tcPr>
          <w:p w:rsidR="00BD6B36" w:rsidRDefault="00BD6B36" w:rsidP="00AA752C">
            <w:proofErr w:type="spellStart"/>
            <w:r>
              <w:rPr>
                <w:rFonts w:ascii="TimesNewRoman" w:hAnsi="TimesNewRoman" w:cs="TimesNewRoman"/>
                <w:sz w:val="24"/>
                <w:szCs w:val="24"/>
              </w:rPr>
              <w:t>Livensley</w:t>
            </w:r>
            <w:proofErr w:type="spellEnd"/>
          </w:p>
        </w:tc>
        <w:tc>
          <w:tcPr>
            <w:tcW w:w="1510" w:type="dxa"/>
          </w:tcPr>
          <w:p w:rsidR="00BD6B36" w:rsidRDefault="00BD6B36" w:rsidP="00AA752C">
            <w:r>
              <w:t>16,61</w:t>
            </w:r>
          </w:p>
        </w:tc>
        <w:tc>
          <w:tcPr>
            <w:tcW w:w="1510" w:type="dxa"/>
          </w:tcPr>
          <w:p w:rsidR="00BD6B36" w:rsidRDefault="00BD6B36" w:rsidP="00AA752C">
            <w:r>
              <w:t>1,00</w:t>
            </w:r>
          </w:p>
        </w:tc>
        <w:tc>
          <w:tcPr>
            <w:tcW w:w="1511" w:type="dxa"/>
          </w:tcPr>
          <w:p w:rsidR="00BD6B36" w:rsidRDefault="00BD6B36" w:rsidP="00AA752C">
            <w:r>
              <w:t>16,61</w:t>
            </w:r>
          </w:p>
        </w:tc>
        <w:tc>
          <w:tcPr>
            <w:tcW w:w="1511" w:type="dxa"/>
          </w:tcPr>
          <w:p w:rsidR="00BD6B36" w:rsidRDefault="00BD6B36" w:rsidP="00AA752C">
            <w:r>
              <w:t>splněno</w:t>
            </w:r>
          </w:p>
        </w:tc>
      </w:tr>
      <w:tr w:rsidR="00BD6B36" w:rsidTr="00BD6B36">
        <w:tc>
          <w:tcPr>
            <w:tcW w:w="1510" w:type="dxa"/>
          </w:tcPr>
          <w:p w:rsidR="00BD6B36" w:rsidRDefault="00F452EA" w:rsidP="00AA752C">
            <w:r>
              <w:t>4</w:t>
            </w:r>
          </w:p>
        </w:tc>
        <w:tc>
          <w:tcPr>
            <w:tcW w:w="1510" w:type="dxa"/>
          </w:tcPr>
          <w:p w:rsidR="00BD6B36" w:rsidRDefault="00BD6B36" w:rsidP="00AA752C">
            <w:proofErr w:type="spellStart"/>
            <w:r>
              <w:rPr>
                <w:rFonts w:ascii="TimesNewRoman" w:hAnsi="TimesNewRoman" w:cs="TimesNewRoman"/>
                <w:sz w:val="24"/>
                <w:szCs w:val="24"/>
              </w:rPr>
              <w:t>Livensley</w:t>
            </w:r>
            <w:proofErr w:type="spellEnd"/>
          </w:p>
        </w:tc>
        <w:tc>
          <w:tcPr>
            <w:tcW w:w="1510" w:type="dxa"/>
          </w:tcPr>
          <w:p w:rsidR="00BD6B36" w:rsidRDefault="00BD6B36" w:rsidP="00AA752C">
            <w:r>
              <w:t>19,23</w:t>
            </w:r>
          </w:p>
        </w:tc>
        <w:tc>
          <w:tcPr>
            <w:tcW w:w="1510" w:type="dxa"/>
          </w:tcPr>
          <w:p w:rsidR="00BD6B36" w:rsidRDefault="00BD6B36" w:rsidP="00AA752C">
            <w:r>
              <w:t>1,00</w:t>
            </w:r>
          </w:p>
        </w:tc>
        <w:tc>
          <w:tcPr>
            <w:tcW w:w="1511" w:type="dxa"/>
          </w:tcPr>
          <w:p w:rsidR="00BD6B36" w:rsidRDefault="00BD6B36" w:rsidP="00AA752C">
            <w:r>
              <w:t>19,23</w:t>
            </w:r>
          </w:p>
        </w:tc>
        <w:tc>
          <w:tcPr>
            <w:tcW w:w="1511" w:type="dxa"/>
          </w:tcPr>
          <w:p w:rsidR="00BD6B36" w:rsidRDefault="00BD6B36" w:rsidP="00AA752C">
            <w:r>
              <w:t>splněno</w:t>
            </w:r>
          </w:p>
        </w:tc>
      </w:tr>
      <w:tr w:rsidR="00BD6B36" w:rsidTr="00BD6B36">
        <w:tc>
          <w:tcPr>
            <w:tcW w:w="1510" w:type="dxa"/>
          </w:tcPr>
          <w:p w:rsidR="00BD6B36" w:rsidRDefault="00F452EA" w:rsidP="00AA752C">
            <w:r>
              <w:t>5</w:t>
            </w:r>
          </w:p>
        </w:tc>
        <w:tc>
          <w:tcPr>
            <w:tcW w:w="1510" w:type="dxa"/>
          </w:tcPr>
          <w:p w:rsidR="00BD6B36" w:rsidRDefault="00BD6B36" w:rsidP="00AA752C">
            <w:r>
              <w:t>jádro průřezu</w:t>
            </w:r>
          </w:p>
        </w:tc>
        <w:tc>
          <w:tcPr>
            <w:tcW w:w="1510" w:type="dxa"/>
          </w:tcPr>
          <w:p w:rsidR="00BD6B36" w:rsidRDefault="00BD6B36" w:rsidP="00AA752C">
            <w:r>
              <w:t>33,02</w:t>
            </w:r>
          </w:p>
        </w:tc>
        <w:tc>
          <w:tcPr>
            <w:tcW w:w="1510" w:type="dxa"/>
          </w:tcPr>
          <w:p w:rsidR="00BD6B36" w:rsidRDefault="00BD6B36" w:rsidP="00AA752C">
            <w:r>
              <w:t>0,56</w:t>
            </w:r>
          </w:p>
        </w:tc>
        <w:tc>
          <w:tcPr>
            <w:tcW w:w="1511" w:type="dxa"/>
          </w:tcPr>
          <w:p w:rsidR="00BD6B36" w:rsidRDefault="00BD6B36" w:rsidP="00AA752C">
            <w:r>
              <w:t>18,49</w:t>
            </w:r>
          </w:p>
        </w:tc>
        <w:tc>
          <w:tcPr>
            <w:tcW w:w="1511" w:type="dxa"/>
          </w:tcPr>
          <w:p w:rsidR="00BD6B36" w:rsidRDefault="00BD6B36" w:rsidP="00AA752C">
            <w:r>
              <w:t>splněno</w:t>
            </w:r>
          </w:p>
        </w:tc>
      </w:tr>
    </w:tbl>
    <w:p w:rsidR="00BD6B36" w:rsidRDefault="00BD6B36" w:rsidP="00AA752C"/>
    <w:p w:rsidR="002B67CF" w:rsidRDefault="002B67CF" w:rsidP="00AA752C"/>
    <w:p w:rsidR="002B67CF" w:rsidRDefault="002B67CF" w:rsidP="00AA752C">
      <w:r>
        <w:rPr>
          <w:noProof/>
        </w:rPr>
        <w:drawing>
          <wp:inline distT="0" distB="0" distL="0" distR="0">
            <wp:extent cx="5760720" cy="1495425"/>
            <wp:effectExtent l="0" t="0" r="0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lenba_1_arch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41" b="28523"/>
                    <a:stretch/>
                  </pic:blipFill>
                  <pic:spPr bwMode="auto">
                    <a:xfrm>
                      <a:off x="0" y="0"/>
                      <a:ext cx="5760720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7CF" w:rsidRDefault="002B67CF" w:rsidP="00AA752C">
      <w:r>
        <w:rPr>
          <w:noProof/>
        </w:rPr>
        <w:drawing>
          <wp:inline distT="0" distB="0" distL="0" distR="0">
            <wp:extent cx="5760720" cy="4279265"/>
            <wp:effectExtent l="0" t="0" r="0" b="698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lenba_1_interacti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7CF" w:rsidRDefault="002B67CF">
      <w:r>
        <w:br w:type="page"/>
      </w:r>
    </w:p>
    <w:p w:rsidR="002B67CF" w:rsidRDefault="002B67CF" w:rsidP="00AA752C"/>
    <w:p w:rsidR="00AA752C" w:rsidRDefault="002B67CF" w:rsidP="00AA752C">
      <w:r>
        <w:rPr>
          <w:noProof/>
        </w:rPr>
        <w:drawing>
          <wp:inline distT="0" distB="0" distL="0" distR="0">
            <wp:extent cx="5760720" cy="140970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lenba_2_arch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22" b="29032"/>
                    <a:stretch/>
                  </pic:blipFill>
                  <pic:spPr bwMode="auto">
                    <a:xfrm>
                      <a:off x="0" y="0"/>
                      <a:ext cx="576072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7CF" w:rsidRDefault="002B67CF" w:rsidP="00AA752C">
      <w:r>
        <w:rPr>
          <w:noProof/>
        </w:rPr>
        <w:drawing>
          <wp:inline distT="0" distB="0" distL="0" distR="0">
            <wp:extent cx="5760720" cy="4279265"/>
            <wp:effectExtent l="0" t="0" r="0" b="6985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lenba_2_interact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7CF" w:rsidRDefault="002B67CF">
      <w:r>
        <w:br w:type="page"/>
      </w:r>
    </w:p>
    <w:p w:rsidR="00AA752C" w:rsidRDefault="00AA752C" w:rsidP="00AA752C"/>
    <w:p w:rsidR="00AA752C" w:rsidRDefault="00AA752C"/>
    <w:p w:rsidR="00AA752C" w:rsidRDefault="002B67CF">
      <w:r>
        <w:rPr>
          <w:noProof/>
        </w:rPr>
        <w:drawing>
          <wp:inline distT="0" distB="0" distL="0" distR="0">
            <wp:extent cx="5760720" cy="1419225"/>
            <wp:effectExtent l="0" t="0" r="0" b="9525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lenba_3_arch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60" b="29540"/>
                    <a:stretch/>
                  </pic:blipFill>
                  <pic:spPr bwMode="auto">
                    <a:xfrm>
                      <a:off x="0" y="0"/>
                      <a:ext cx="5760720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752C" w:rsidRDefault="002B67CF" w:rsidP="00DD727D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  <w:r>
        <w:rPr>
          <w:rFonts w:cs="TimesNewRoman"/>
          <w:noProof/>
          <w:sz w:val="24"/>
          <w:szCs w:val="24"/>
        </w:rPr>
        <w:drawing>
          <wp:inline distT="0" distB="0" distL="0" distR="0">
            <wp:extent cx="5760720" cy="4279265"/>
            <wp:effectExtent l="0" t="0" r="0" b="698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lenba_3_interacti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52C" w:rsidRDefault="00AA752C" w:rsidP="00DD727D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</w:p>
    <w:p w:rsidR="002B67CF" w:rsidRDefault="002B67CF" w:rsidP="00DD727D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  <w:r>
        <w:rPr>
          <w:rFonts w:cs="TimesNewRoman"/>
          <w:noProof/>
          <w:sz w:val="24"/>
          <w:szCs w:val="24"/>
        </w:rPr>
        <w:lastRenderedPageBreak/>
        <w:drawing>
          <wp:inline distT="0" distB="0" distL="0" distR="0">
            <wp:extent cx="5760720" cy="1504950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lenba_4_arch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04" b="27505"/>
                    <a:stretch/>
                  </pic:blipFill>
                  <pic:spPr bwMode="auto">
                    <a:xfrm>
                      <a:off x="0" y="0"/>
                      <a:ext cx="576072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NewRoman"/>
          <w:noProof/>
          <w:sz w:val="24"/>
          <w:szCs w:val="24"/>
        </w:rPr>
        <w:drawing>
          <wp:inline distT="0" distB="0" distL="0" distR="0">
            <wp:extent cx="5760720" cy="4279265"/>
            <wp:effectExtent l="0" t="0" r="0" b="6985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lenba_4_interactio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7CF" w:rsidRDefault="002B67CF" w:rsidP="00DD727D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</w:p>
    <w:p w:rsidR="002B67CF" w:rsidRDefault="002B67CF" w:rsidP="00DD727D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  <w:r>
        <w:rPr>
          <w:rFonts w:cs="TimesNewRoman"/>
          <w:noProof/>
          <w:sz w:val="24"/>
          <w:szCs w:val="24"/>
        </w:rPr>
        <w:lastRenderedPageBreak/>
        <w:drawing>
          <wp:inline distT="0" distB="0" distL="0" distR="0">
            <wp:extent cx="5760720" cy="1409700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lenba_5_arch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67" b="29286"/>
                    <a:stretch/>
                  </pic:blipFill>
                  <pic:spPr bwMode="auto">
                    <a:xfrm>
                      <a:off x="0" y="0"/>
                      <a:ext cx="576072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NewRoman"/>
          <w:noProof/>
          <w:sz w:val="24"/>
          <w:szCs w:val="24"/>
        </w:rPr>
        <w:drawing>
          <wp:inline distT="0" distB="0" distL="0" distR="0">
            <wp:extent cx="5760720" cy="4279265"/>
            <wp:effectExtent l="0" t="0" r="0" b="6985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lenba_5_interactio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7CF" w:rsidRDefault="00F452EA" w:rsidP="004A1032">
      <w:pPr>
        <w:autoSpaceDE w:val="0"/>
        <w:autoSpaceDN w:val="0"/>
        <w:adjustRightInd w:val="0"/>
        <w:spacing w:after="0" w:line="240" w:lineRule="auto"/>
        <w:ind w:firstLine="708"/>
        <w:rPr>
          <w:rFonts w:cs="TimesNewRoman"/>
          <w:sz w:val="24"/>
          <w:szCs w:val="24"/>
        </w:rPr>
      </w:pPr>
      <w:r>
        <w:rPr>
          <w:rFonts w:cs="TimesNewRoman"/>
          <w:sz w:val="24"/>
          <w:szCs w:val="24"/>
        </w:rPr>
        <w:t>U výpočtu č. 5 došlo</w:t>
      </w:r>
      <w:r w:rsidR="004A1032">
        <w:rPr>
          <w:rFonts w:cs="TimesNewRoman"/>
          <w:sz w:val="24"/>
          <w:szCs w:val="24"/>
        </w:rPr>
        <w:t xml:space="preserve"> již</w:t>
      </w:r>
      <w:r>
        <w:rPr>
          <w:rFonts w:cs="TimesNewRoman"/>
          <w:sz w:val="24"/>
          <w:szCs w:val="24"/>
        </w:rPr>
        <w:t xml:space="preserve"> k tzv. kinematickému zamknutí klenby,</w:t>
      </w:r>
      <w:r w:rsidR="004A1032">
        <w:rPr>
          <w:rFonts w:cs="TimesNewRoman"/>
          <w:sz w:val="24"/>
          <w:szCs w:val="24"/>
        </w:rPr>
        <w:t xml:space="preserve"> a kinematický mechanizmus nebyl nalezen.</w:t>
      </w:r>
      <w:r>
        <w:rPr>
          <w:rFonts w:cs="TimesNewRoman"/>
          <w:sz w:val="24"/>
          <w:szCs w:val="24"/>
        </w:rPr>
        <w:t xml:space="preserve"> </w:t>
      </w:r>
      <w:r w:rsidR="004A1032">
        <w:rPr>
          <w:rFonts w:cs="TimesNewRoman"/>
          <w:sz w:val="24"/>
          <w:szCs w:val="24"/>
        </w:rPr>
        <w:t>B</w:t>
      </w:r>
      <w:r>
        <w:rPr>
          <w:rFonts w:cs="TimesNewRoman"/>
          <w:sz w:val="24"/>
          <w:szCs w:val="24"/>
        </w:rPr>
        <w:t xml:space="preserve">ylo však možné určit alespoň tvar tlakové čáry z podmínky omezení do jádra průřezu, kdy byl algoritmus dokončen. </w:t>
      </w:r>
      <w:r w:rsidR="009609F4">
        <w:rPr>
          <w:rFonts w:cs="TimesNewRoman"/>
          <w:sz w:val="24"/>
          <w:szCs w:val="24"/>
        </w:rPr>
        <w:t>Nebylo ale možné omezit tímto postupem pevnost</w:t>
      </w:r>
      <w:r w:rsidR="004A1032">
        <w:rPr>
          <w:rFonts w:cs="TimesNewRoman"/>
          <w:sz w:val="24"/>
          <w:szCs w:val="24"/>
        </w:rPr>
        <w:t xml:space="preserve"> materiálu</w:t>
      </w:r>
      <w:r w:rsidR="009609F4">
        <w:rPr>
          <w:rFonts w:cs="TimesNewRoman"/>
          <w:sz w:val="24"/>
          <w:szCs w:val="24"/>
        </w:rPr>
        <w:t xml:space="preserve">, </w:t>
      </w:r>
      <w:r w:rsidR="004A1032">
        <w:rPr>
          <w:rFonts w:cs="TimesNewRoman"/>
          <w:sz w:val="24"/>
          <w:szCs w:val="24"/>
        </w:rPr>
        <w:t xml:space="preserve">a </w:t>
      </w:r>
      <w:r w:rsidR="009609F4">
        <w:rPr>
          <w:rFonts w:cs="TimesNewRoman"/>
          <w:sz w:val="24"/>
          <w:szCs w:val="24"/>
        </w:rPr>
        <w:t>proto byl zjištěn redukční součinitel, který zaručuje stav vnitřních sil uvnitř podmínky plasticity, kterou je interakční diagram tlačeného průřezu zdiva.</w:t>
      </w:r>
      <w:r w:rsidR="004A1032">
        <w:rPr>
          <w:rFonts w:cs="TimesNewRoman"/>
          <w:sz w:val="24"/>
          <w:szCs w:val="24"/>
        </w:rPr>
        <w:t xml:space="preserve"> Existuje tedy pro toto zatížení staticky přípustný stav, který vyhovuje podmínkám plasticity v průřezu.</w:t>
      </w:r>
    </w:p>
    <w:p w:rsidR="0033270F" w:rsidRDefault="0033270F" w:rsidP="004A1032">
      <w:pPr>
        <w:autoSpaceDE w:val="0"/>
        <w:autoSpaceDN w:val="0"/>
        <w:adjustRightInd w:val="0"/>
        <w:spacing w:after="0" w:line="240" w:lineRule="auto"/>
        <w:ind w:firstLine="708"/>
        <w:rPr>
          <w:rFonts w:cs="TimesNewRoman"/>
          <w:sz w:val="24"/>
          <w:szCs w:val="24"/>
        </w:rPr>
      </w:pPr>
      <w:r>
        <w:rPr>
          <w:rFonts w:cs="TimesNewRoman"/>
          <w:sz w:val="24"/>
          <w:szCs w:val="24"/>
        </w:rPr>
        <w:t xml:space="preserve">U případů 1 až 4 již bylo omezení pevnosti zahrnuto a případný přesah z interakčního diagramu je jen </w:t>
      </w:r>
      <w:r w:rsidR="001342A5">
        <w:rPr>
          <w:rFonts w:cs="TimesNewRoman"/>
          <w:sz w:val="24"/>
          <w:szCs w:val="24"/>
        </w:rPr>
        <w:t xml:space="preserve">zaokrouhlovací </w:t>
      </w:r>
      <w:r>
        <w:rPr>
          <w:rFonts w:cs="TimesNewRoman"/>
          <w:sz w:val="24"/>
          <w:szCs w:val="24"/>
        </w:rPr>
        <w:t>chyba výpočetního algoritmu.</w:t>
      </w:r>
    </w:p>
    <w:p w:rsidR="0033270F" w:rsidRDefault="0033270F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</w:p>
    <w:p w:rsidR="0033270F" w:rsidRPr="001342A5" w:rsidRDefault="0033270F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b/>
          <w:sz w:val="24"/>
          <w:szCs w:val="24"/>
        </w:rPr>
      </w:pPr>
      <w:r w:rsidRPr="001342A5">
        <w:rPr>
          <w:rFonts w:cs="TimesNewRoman"/>
          <w:b/>
          <w:sz w:val="24"/>
          <w:szCs w:val="24"/>
        </w:rPr>
        <w:t xml:space="preserve">Odhad </w:t>
      </w:r>
      <w:r w:rsidR="001342A5" w:rsidRPr="001342A5">
        <w:rPr>
          <w:rFonts w:cs="TimesNewRoman"/>
          <w:b/>
          <w:sz w:val="24"/>
          <w:szCs w:val="24"/>
        </w:rPr>
        <w:t xml:space="preserve">při </w:t>
      </w:r>
      <w:r w:rsidRPr="001342A5">
        <w:rPr>
          <w:rFonts w:cs="TimesNewRoman"/>
          <w:b/>
          <w:sz w:val="24"/>
          <w:szCs w:val="24"/>
        </w:rPr>
        <w:t>plné</w:t>
      </w:r>
      <w:r w:rsidR="001342A5" w:rsidRPr="001342A5">
        <w:rPr>
          <w:rFonts w:cs="TimesNewRoman"/>
          <w:b/>
          <w:sz w:val="24"/>
          <w:szCs w:val="24"/>
        </w:rPr>
        <w:t>m</w:t>
      </w:r>
      <w:r w:rsidRPr="001342A5">
        <w:rPr>
          <w:rFonts w:cs="TimesNewRoman"/>
          <w:b/>
          <w:sz w:val="24"/>
          <w:szCs w:val="24"/>
        </w:rPr>
        <w:t xml:space="preserve"> zatížení klenby</w:t>
      </w:r>
    </w:p>
    <w:p w:rsidR="001342A5" w:rsidRDefault="001342A5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</w:p>
    <w:p w:rsidR="001342A5" w:rsidRDefault="001342A5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  <w:r>
        <w:rPr>
          <w:rFonts w:cs="TimesNewRoman"/>
          <w:sz w:val="24"/>
          <w:szCs w:val="24"/>
        </w:rPr>
        <w:t xml:space="preserve">Zatížení celkem stálé i nahodilé, návrhové hodnoty, je cca 55,33 </w:t>
      </w:r>
      <w:proofErr w:type="spellStart"/>
      <w:r>
        <w:rPr>
          <w:rFonts w:cs="TimesNewRoman"/>
          <w:sz w:val="24"/>
          <w:szCs w:val="24"/>
        </w:rPr>
        <w:t>kN</w:t>
      </w:r>
      <w:proofErr w:type="spellEnd"/>
      <w:r>
        <w:rPr>
          <w:rFonts w:cs="TimesNewRoman"/>
          <w:sz w:val="24"/>
          <w:szCs w:val="24"/>
        </w:rPr>
        <w:t>.</w:t>
      </w:r>
    </w:p>
    <w:p w:rsidR="001342A5" w:rsidRDefault="001342A5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  <w:r>
        <w:rPr>
          <w:rFonts w:cs="TimesNewRoman"/>
          <w:sz w:val="24"/>
          <w:szCs w:val="24"/>
        </w:rPr>
        <w:t>Střednice v patě klenby ve sklonu cca 71,2° od svislice.</w:t>
      </w:r>
    </w:p>
    <w:p w:rsidR="001342A5" w:rsidRDefault="001342A5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  <w:r>
        <w:rPr>
          <w:rFonts w:cs="TimesNewRoman"/>
          <w:sz w:val="24"/>
          <w:szCs w:val="24"/>
        </w:rPr>
        <w:t xml:space="preserve">Šikmá síla </w:t>
      </w:r>
      <w:r>
        <w:rPr>
          <w:rFonts w:cs="TimesNewRoman"/>
          <w:sz w:val="24"/>
          <w:szCs w:val="24"/>
        </w:rPr>
        <w:t>v patě klenby</w:t>
      </w:r>
      <w:r>
        <w:rPr>
          <w:rFonts w:cs="TimesNewRoman"/>
          <w:sz w:val="24"/>
          <w:szCs w:val="24"/>
        </w:rPr>
        <w:t xml:space="preserve">, resp. normálová síla v patním průřezu je N = 55,33 / (2 * cos 71,2°) = 85,85 </w:t>
      </w:r>
      <w:proofErr w:type="spellStart"/>
      <w:r>
        <w:rPr>
          <w:rFonts w:cs="TimesNewRoman"/>
          <w:sz w:val="24"/>
          <w:szCs w:val="24"/>
        </w:rPr>
        <w:t>kN</w:t>
      </w:r>
      <w:proofErr w:type="spellEnd"/>
      <w:r>
        <w:rPr>
          <w:rFonts w:cs="TimesNewRoman"/>
          <w:sz w:val="24"/>
          <w:szCs w:val="24"/>
        </w:rPr>
        <w:t>.</w:t>
      </w:r>
    </w:p>
    <w:p w:rsidR="001342A5" w:rsidRDefault="001342A5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</w:p>
    <w:p w:rsidR="001342A5" w:rsidRDefault="001342A5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  <w:r>
        <w:rPr>
          <w:rFonts w:cs="TimesNewRoman"/>
          <w:sz w:val="24"/>
          <w:szCs w:val="24"/>
        </w:rPr>
        <w:lastRenderedPageBreak/>
        <w:t>Normálové napětí při centrickém působení N/(</w:t>
      </w:r>
      <w:proofErr w:type="spellStart"/>
      <w:r>
        <w:rPr>
          <w:rFonts w:cs="TimesNewRoman"/>
          <w:sz w:val="24"/>
          <w:szCs w:val="24"/>
        </w:rPr>
        <w:t>bh</w:t>
      </w:r>
      <w:proofErr w:type="spellEnd"/>
      <w:r>
        <w:rPr>
          <w:rFonts w:cs="TimesNewRoman"/>
          <w:sz w:val="24"/>
          <w:szCs w:val="24"/>
        </w:rPr>
        <w:t xml:space="preserve">) = 85,85 </w:t>
      </w:r>
      <w:proofErr w:type="gramStart"/>
      <w:r>
        <w:rPr>
          <w:rFonts w:cs="TimesNewRoman"/>
          <w:sz w:val="24"/>
          <w:szCs w:val="24"/>
        </w:rPr>
        <w:t>/(</w:t>
      </w:r>
      <w:proofErr w:type="gramEnd"/>
      <w:r>
        <w:rPr>
          <w:rFonts w:cs="TimesNewRoman"/>
          <w:sz w:val="24"/>
          <w:szCs w:val="24"/>
        </w:rPr>
        <w:t xml:space="preserve">1 * 0,14) = 613 </w:t>
      </w:r>
      <w:proofErr w:type="spellStart"/>
      <w:r>
        <w:rPr>
          <w:rFonts w:cs="TimesNewRoman"/>
          <w:sz w:val="24"/>
          <w:szCs w:val="24"/>
        </w:rPr>
        <w:t>kPa</w:t>
      </w:r>
      <w:proofErr w:type="spellEnd"/>
      <w:r>
        <w:rPr>
          <w:rFonts w:cs="TimesNewRoman"/>
          <w:sz w:val="24"/>
          <w:szCs w:val="24"/>
        </w:rPr>
        <w:t xml:space="preserve"> a to je menší než 950 </w:t>
      </w:r>
      <w:proofErr w:type="spellStart"/>
      <w:r>
        <w:rPr>
          <w:rFonts w:cs="TimesNewRoman"/>
          <w:sz w:val="24"/>
          <w:szCs w:val="24"/>
        </w:rPr>
        <w:t>kPa</w:t>
      </w:r>
      <w:proofErr w:type="spellEnd"/>
      <w:r>
        <w:rPr>
          <w:rFonts w:cs="TimesNewRoman"/>
          <w:sz w:val="24"/>
          <w:szCs w:val="24"/>
        </w:rPr>
        <w:t>.</w:t>
      </w:r>
    </w:p>
    <w:p w:rsidR="0033270F" w:rsidRDefault="0033270F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</w:p>
    <w:p w:rsidR="0033270F" w:rsidRDefault="0033270F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</w:p>
    <w:p w:rsidR="0033270F" w:rsidRDefault="0033270F" w:rsidP="0033270F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</w:p>
    <w:p w:rsidR="002B67CF" w:rsidRDefault="002B67CF" w:rsidP="00DD727D">
      <w:pPr>
        <w:autoSpaceDE w:val="0"/>
        <w:autoSpaceDN w:val="0"/>
        <w:adjustRightInd w:val="0"/>
        <w:spacing w:after="0" w:line="240" w:lineRule="auto"/>
        <w:rPr>
          <w:rFonts w:cs="TimesNewRoman"/>
          <w:sz w:val="24"/>
          <w:szCs w:val="24"/>
        </w:rPr>
      </w:pPr>
    </w:p>
    <w:p w:rsidR="00AA752C" w:rsidRPr="005469FC" w:rsidRDefault="00AA752C" w:rsidP="005469FC">
      <w:pPr>
        <w:rPr>
          <w:b/>
        </w:rPr>
      </w:pPr>
      <w:r w:rsidRPr="005469FC">
        <w:rPr>
          <w:b/>
        </w:rPr>
        <w:t>Literatura</w:t>
      </w:r>
      <w:bookmarkStart w:id="0" w:name="_GoBack"/>
      <w:bookmarkEnd w:id="0"/>
    </w:p>
    <w:p w:rsidR="00DD727D" w:rsidRDefault="00877076" w:rsidP="00DD727D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4"/>
          <w:szCs w:val="24"/>
        </w:rPr>
      </w:pPr>
      <w:r>
        <w:rPr>
          <w:rFonts w:cs="TimesNewRoman"/>
          <w:sz w:val="24"/>
          <w:szCs w:val="24"/>
        </w:rPr>
        <w:t xml:space="preserve">[1] </w:t>
      </w:r>
      <w:r w:rsidR="00DD727D">
        <w:rPr>
          <w:rFonts w:ascii="TimesNewRoman" w:hAnsi="TimesNewRoman" w:cs="TimesNewRoman"/>
          <w:sz w:val="24"/>
          <w:szCs w:val="24"/>
        </w:rPr>
        <w:t xml:space="preserve">GILBERT, M; MELBOURNE, C. </w:t>
      </w:r>
      <w:proofErr w:type="spellStart"/>
      <w:r w:rsidR="00DD727D">
        <w:rPr>
          <w:rFonts w:ascii="TimesNewRoman" w:hAnsi="TimesNewRoman" w:cs="TimesNewRoman"/>
          <w:sz w:val="24"/>
          <w:szCs w:val="24"/>
        </w:rPr>
        <w:t>Rigid-block</w:t>
      </w:r>
      <w:proofErr w:type="spellEnd"/>
      <w:r w:rsidR="00DD727D"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="00DD727D">
        <w:rPr>
          <w:rFonts w:ascii="TimesNewRoman" w:hAnsi="TimesNewRoman" w:cs="TimesNewRoman"/>
          <w:sz w:val="24"/>
          <w:szCs w:val="24"/>
        </w:rPr>
        <w:t>analysis</w:t>
      </w:r>
      <w:proofErr w:type="spellEnd"/>
      <w:r w:rsidR="00DD727D"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="00DD727D">
        <w:rPr>
          <w:rFonts w:ascii="TimesNewRoman" w:hAnsi="TimesNewRoman" w:cs="TimesNewRoman"/>
          <w:sz w:val="24"/>
          <w:szCs w:val="24"/>
        </w:rPr>
        <w:t>of</w:t>
      </w:r>
      <w:proofErr w:type="spellEnd"/>
      <w:r w:rsidR="00DD727D"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="00DD727D">
        <w:rPr>
          <w:rFonts w:ascii="TimesNewRoman" w:hAnsi="TimesNewRoman" w:cs="TimesNewRoman"/>
          <w:sz w:val="24"/>
          <w:szCs w:val="24"/>
        </w:rPr>
        <w:t>masonry</w:t>
      </w:r>
      <w:proofErr w:type="spellEnd"/>
      <w:r w:rsidR="00DD727D"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="00DD727D">
        <w:rPr>
          <w:rFonts w:ascii="TimesNewRoman" w:hAnsi="TimesNewRoman" w:cs="TimesNewRoman"/>
          <w:sz w:val="24"/>
          <w:szCs w:val="24"/>
        </w:rPr>
        <w:t>structures</w:t>
      </w:r>
      <w:proofErr w:type="spellEnd"/>
      <w:r w:rsidR="00DD727D">
        <w:rPr>
          <w:rFonts w:ascii="TimesNewRoman" w:hAnsi="TimesNewRoman" w:cs="TimesNewRoman"/>
          <w:sz w:val="24"/>
          <w:szCs w:val="24"/>
        </w:rPr>
        <w:t xml:space="preserve">. </w:t>
      </w:r>
      <w:proofErr w:type="spellStart"/>
      <w:r w:rsidR="00DD727D">
        <w:rPr>
          <w:rFonts w:ascii="TimesNewRoman,Italic" w:hAnsi="TimesNewRoman,Italic" w:cs="TimesNewRoman,Italic"/>
          <w:i/>
          <w:iCs/>
          <w:sz w:val="24"/>
          <w:szCs w:val="24"/>
        </w:rPr>
        <w:t>The</w:t>
      </w:r>
      <w:proofErr w:type="spellEnd"/>
    </w:p>
    <w:p w:rsidR="00DD727D" w:rsidRDefault="00DD727D" w:rsidP="00DD727D">
      <w:pPr>
        <w:rPr>
          <w:rFonts w:ascii="TimesNewRoman" w:hAnsi="TimesNewRoman" w:cs="TimesNewRoman"/>
          <w:sz w:val="24"/>
          <w:szCs w:val="24"/>
        </w:rPr>
      </w:pP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Structure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Engineer</w:t>
      </w:r>
      <w:proofErr w:type="spellEnd"/>
      <w:r>
        <w:rPr>
          <w:rFonts w:ascii="TimesNewRoman" w:hAnsi="TimesNewRoman" w:cs="TimesNewRoman"/>
          <w:sz w:val="24"/>
          <w:szCs w:val="24"/>
        </w:rPr>
        <w:t>, 1994, Vol. 72, No. 21, pp. 356-361.</w:t>
      </w:r>
    </w:p>
    <w:p w:rsidR="00DD727D" w:rsidRDefault="00877076" w:rsidP="00DD727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[2] </w:t>
      </w:r>
      <w:r w:rsidR="00DD727D">
        <w:rPr>
          <w:rFonts w:ascii="TimesNewRoman" w:hAnsi="TimesNewRoman" w:cs="TimesNewRoman"/>
          <w:sz w:val="24"/>
          <w:szCs w:val="24"/>
        </w:rPr>
        <w:t xml:space="preserve">MELBOURNE, C.; GILBERT, M. </w:t>
      </w:r>
      <w:proofErr w:type="spellStart"/>
      <w:r w:rsidR="00DD727D">
        <w:rPr>
          <w:rFonts w:ascii="TimesNewRoman" w:hAnsi="TimesNewRoman" w:cs="TimesNewRoman"/>
          <w:sz w:val="24"/>
          <w:szCs w:val="24"/>
        </w:rPr>
        <w:t>The</w:t>
      </w:r>
      <w:proofErr w:type="spellEnd"/>
      <w:r w:rsidR="00DD727D"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="00DD727D">
        <w:rPr>
          <w:rFonts w:ascii="TimesNewRoman" w:hAnsi="TimesNewRoman" w:cs="TimesNewRoman"/>
          <w:sz w:val="24"/>
          <w:szCs w:val="24"/>
        </w:rPr>
        <w:t>behaviour</w:t>
      </w:r>
      <w:proofErr w:type="spellEnd"/>
      <w:r w:rsidR="00DD727D"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="00DD727D">
        <w:rPr>
          <w:rFonts w:ascii="TimesNewRoman" w:hAnsi="TimesNewRoman" w:cs="TimesNewRoman"/>
          <w:sz w:val="24"/>
          <w:szCs w:val="24"/>
        </w:rPr>
        <w:t>of</w:t>
      </w:r>
      <w:proofErr w:type="spellEnd"/>
      <w:r w:rsidR="00DD727D"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="00DD727D">
        <w:rPr>
          <w:rFonts w:ascii="TimesNewRoman" w:hAnsi="TimesNewRoman" w:cs="TimesNewRoman"/>
          <w:sz w:val="24"/>
          <w:szCs w:val="24"/>
        </w:rPr>
        <w:t>multiring</w:t>
      </w:r>
      <w:proofErr w:type="spellEnd"/>
      <w:r w:rsidR="00DD727D"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="00DD727D">
        <w:rPr>
          <w:rFonts w:ascii="TimesNewRoman" w:hAnsi="TimesNewRoman" w:cs="TimesNewRoman"/>
          <w:sz w:val="24"/>
          <w:szCs w:val="24"/>
        </w:rPr>
        <w:t>brickwork</w:t>
      </w:r>
      <w:proofErr w:type="spellEnd"/>
      <w:r w:rsidR="00DD727D">
        <w:rPr>
          <w:rFonts w:ascii="TimesNewRoman" w:hAnsi="TimesNewRoman" w:cs="TimesNewRoman"/>
          <w:sz w:val="24"/>
          <w:szCs w:val="24"/>
        </w:rPr>
        <w:t xml:space="preserve"> arch</w:t>
      </w:r>
    </w:p>
    <w:p w:rsidR="00DD727D" w:rsidRDefault="00DD727D" w:rsidP="00DD727D">
      <w:pPr>
        <w:rPr>
          <w:rFonts w:ascii="TimesNewRoman" w:hAnsi="TimesNewRoman" w:cs="TimesNewRoman"/>
          <w:sz w:val="24"/>
          <w:szCs w:val="24"/>
        </w:rPr>
      </w:pPr>
      <w:proofErr w:type="spellStart"/>
      <w:r>
        <w:rPr>
          <w:rFonts w:ascii="TimesNewRoman" w:hAnsi="TimesNewRoman" w:cs="TimesNewRoman"/>
          <w:sz w:val="24"/>
          <w:szCs w:val="24"/>
        </w:rPr>
        <w:t>bridges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.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The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Structure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Engineer</w:t>
      </w:r>
      <w:proofErr w:type="spellEnd"/>
      <w:r>
        <w:rPr>
          <w:rFonts w:ascii="TimesNewRoman" w:hAnsi="TimesNewRoman" w:cs="TimesNewRoman"/>
          <w:sz w:val="24"/>
          <w:szCs w:val="24"/>
        </w:rPr>
        <w:t>, 1995, Vol. 73, No. 3, pp. 39-47.</w:t>
      </w:r>
    </w:p>
    <w:p w:rsidR="00877076" w:rsidRDefault="00877076" w:rsidP="00877076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t xml:space="preserve">[3] </w:t>
      </w:r>
      <w:r>
        <w:rPr>
          <w:rFonts w:ascii="TimesNewRoman" w:hAnsi="TimesNewRoman" w:cs="TimesNewRoman"/>
          <w:sz w:val="24"/>
          <w:szCs w:val="24"/>
        </w:rPr>
        <w:t xml:space="preserve">MELBOURNE, C.; GILBERT, M.; WAGSTAFF, M. </w:t>
      </w:r>
      <w:proofErr w:type="spellStart"/>
      <w:r>
        <w:rPr>
          <w:rFonts w:ascii="TimesNewRoman" w:hAnsi="TimesNewRoman" w:cs="TimesNewRoman"/>
          <w:sz w:val="24"/>
          <w:szCs w:val="24"/>
        </w:rPr>
        <w:t>The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>
        <w:rPr>
          <w:rFonts w:ascii="TimesNewRoman" w:hAnsi="TimesNewRoman" w:cs="TimesNewRoman"/>
          <w:sz w:val="24"/>
          <w:szCs w:val="24"/>
        </w:rPr>
        <w:t>collapse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>
        <w:rPr>
          <w:rFonts w:ascii="TimesNewRoman" w:hAnsi="TimesNewRoman" w:cs="TimesNewRoman"/>
          <w:sz w:val="24"/>
          <w:szCs w:val="24"/>
        </w:rPr>
        <w:t>behaviour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>
        <w:rPr>
          <w:rFonts w:ascii="TimesNewRoman" w:hAnsi="TimesNewRoman" w:cs="TimesNewRoman"/>
          <w:sz w:val="24"/>
          <w:szCs w:val="24"/>
        </w:rPr>
        <w:t>of</w:t>
      </w:r>
      <w:proofErr w:type="spellEnd"/>
    </w:p>
    <w:p w:rsidR="00877076" w:rsidRDefault="00877076" w:rsidP="00877076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proofErr w:type="spellStart"/>
      <w:r>
        <w:rPr>
          <w:rFonts w:ascii="TimesNewRoman" w:hAnsi="TimesNewRoman" w:cs="TimesNewRoman"/>
          <w:sz w:val="24"/>
          <w:szCs w:val="24"/>
        </w:rPr>
        <w:t>multispan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>
        <w:rPr>
          <w:rFonts w:ascii="TimesNewRoman" w:hAnsi="TimesNewRoman" w:cs="TimesNewRoman"/>
          <w:sz w:val="24"/>
          <w:szCs w:val="24"/>
        </w:rPr>
        <w:t>brickwork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 arch </w:t>
      </w:r>
      <w:proofErr w:type="spellStart"/>
      <w:r>
        <w:rPr>
          <w:rFonts w:ascii="TimesNewRoman" w:hAnsi="TimesNewRoman" w:cs="TimesNewRoman"/>
          <w:sz w:val="24"/>
          <w:szCs w:val="24"/>
        </w:rPr>
        <w:t>bridges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.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The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Structure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Engineer</w:t>
      </w:r>
      <w:proofErr w:type="spellEnd"/>
      <w:r>
        <w:rPr>
          <w:rFonts w:ascii="TimesNewRoman" w:hAnsi="TimesNewRoman" w:cs="TimesNewRoman"/>
          <w:sz w:val="24"/>
          <w:szCs w:val="24"/>
        </w:rPr>
        <w:t>, 1997, Vol. 75, No. 17,</w:t>
      </w:r>
    </w:p>
    <w:p w:rsidR="00877076" w:rsidRDefault="00877076" w:rsidP="00877076">
      <w:pPr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pp. 297-305.</w:t>
      </w:r>
    </w:p>
    <w:p w:rsidR="00877076" w:rsidRDefault="00877076" w:rsidP="00877076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4"/>
          <w:szCs w:val="24"/>
        </w:rPr>
      </w:pPr>
      <w:r>
        <w:t xml:space="preserve">[4] </w:t>
      </w:r>
      <w:r>
        <w:rPr>
          <w:rFonts w:ascii="TimesNewRoman" w:hAnsi="TimesNewRoman" w:cs="TimesNewRoman"/>
          <w:sz w:val="24"/>
          <w:szCs w:val="24"/>
        </w:rPr>
        <w:t xml:space="preserve">DRUCKNER, D.C. Coulomb </w:t>
      </w:r>
      <w:proofErr w:type="spellStart"/>
      <w:r>
        <w:rPr>
          <w:rFonts w:ascii="TimesNewRoman" w:hAnsi="TimesNewRoman" w:cs="TimesNewRoman"/>
          <w:sz w:val="24"/>
          <w:szCs w:val="24"/>
        </w:rPr>
        <w:t>friction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, plasticity and limit </w:t>
      </w:r>
      <w:proofErr w:type="spellStart"/>
      <w:r>
        <w:rPr>
          <w:rFonts w:ascii="TimesNewRoman" w:hAnsi="TimesNewRoman" w:cs="TimesNewRoman"/>
          <w:sz w:val="24"/>
          <w:szCs w:val="24"/>
        </w:rPr>
        <w:t>loads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.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Transactions</w:t>
      </w:r>
      <w:proofErr w:type="spellEnd"/>
    </w:p>
    <w:p w:rsidR="00877076" w:rsidRDefault="00877076" w:rsidP="00877076">
      <w:pPr>
        <w:rPr>
          <w:rFonts w:ascii="TimesNewRoman" w:hAnsi="TimesNewRoman" w:cs="TimesNewRoman"/>
          <w:sz w:val="24"/>
          <w:szCs w:val="24"/>
        </w:rPr>
      </w:pP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American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 Society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Mechanical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Engineering</w:t>
      </w:r>
      <w:proofErr w:type="spellEnd"/>
      <w:r>
        <w:rPr>
          <w:rFonts w:ascii="TimesNewRoman" w:hAnsi="TimesNewRoman" w:cs="TimesNewRoman"/>
          <w:sz w:val="24"/>
          <w:szCs w:val="24"/>
        </w:rPr>
        <w:t>, 1953, Vol. 76, pp. 71-74.</w:t>
      </w:r>
    </w:p>
    <w:p w:rsidR="00877076" w:rsidRDefault="00877076" w:rsidP="00877076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[5] </w:t>
      </w:r>
      <w:r>
        <w:rPr>
          <w:rFonts w:ascii="TimesNewRoman" w:hAnsi="TimesNewRoman" w:cs="TimesNewRoman"/>
          <w:sz w:val="24"/>
          <w:szCs w:val="24"/>
        </w:rPr>
        <w:t xml:space="preserve">GILBERT, Matthew. On </w:t>
      </w:r>
      <w:proofErr w:type="spellStart"/>
      <w:r>
        <w:rPr>
          <w:rFonts w:ascii="TimesNewRoman" w:hAnsi="TimesNewRoman" w:cs="TimesNewRoman"/>
          <w:sz w:val="24"/>
          <w:szCs w:val="24"/>
        </w:rPr>
        <w:t>the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>
        <w:rPr>
          <w:rFonts w:ascii="TimesNewRoman" w:hAnsi="TimesNewRoman" w:cs="TimesNewRoman"/>
          <w:sz w:val="24"/>
          <w:szCs w:val="24"/>
        </w:rPr>
        <w:t>analysis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>
        <w:rPr>
          <w:rFonts w:ascii="TimesNewRoman" w:hAnsi="TimesNewRoman" w:cs="TimesNewRoman"/>
          <w:sz w:val="24"/>
          <w:szCs w:val="24"/>
        </w:rPr>
        <w:t>of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>
        <w:rPr>
          <w:rFonts w:ascii="TimesNewRoman" w:hAnsi="TimesNewRoman" w:cs="TimesNewRoman"/>
          <w:sz w:val="24"/>
          <w:szCs w:val="24"/>
        </w:rPr>
        <w:t>multi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-ring </w:t>
      </w:r>
      <w:proofErr w:type="spellStart"/>
      <w:r>
        <w:rPr>
          <w:rFonts w:ascii="TimesNewRoman" w:hAnsi="TimesNewRoman" w:cs="TimesNewRoman"/>
          <w:sz w:val="24"/>
          <w:szCs w:val="24"/>
        </w:rPr>
        <w:t>brickwork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 arch </w:t>
      </w:r>
      <w:proofErr w:type="spellStart"/>
      <w:r>
        <w:rPr>
          <w:rFonts w:ascii="TimesNewRoman" w:hAnsi="TimesNewRoman" w:cs="TimesNewRoman"/>
          <w:sz w:val="24"/>
          <w:szCs w:val="24"/>
        </w:rPr>
        <w:t>bridges</w:t>
      </w:r>
      <w:proofErr w:type="spellEnd"/>
      <w:r>
        <w:rPr>
          <w:rFonts w:ascii="TimesNewRoman" w:hAnsi="TimesNewRoman" w:cs="TimesNewRoman"/>
          <w:sz w:val="24"/>
          <w:szCs w:val="24"/>
        </w:rPr>
        <w:t xml:space="preserve">. In </w:t>
      </w:r>
      <w:r>
        <w:rPr>
          <w:rFonts w:ascii="TimesNewRoman,Italic" w:hAnsi="TimesNewRoman,Italic" w:cs="TimesNewRoman,Italic"/>
          <w:i/>
          <w:iCs/>
          <w:sz w:val="24"/>
          <w:szCs w:val="24"/>
        </w:rPr>
        <w:t>Arch</w:t>
      </w:r>
    </w:p>
    <w:p w:rsidR="00877076" w:rsidRDefault="00877076" w:rsidP="00877076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Bridges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,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History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,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analysis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,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assessment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,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maintenance</w:t>
      </w:r>
      <w:proofErr w:type="spellEnd"/>
      <w:r>
        <w:rPr>
          <w:rFonts w:ascii="TimesNewRoman,Italic" w:hAnsi="TimesNewRoman,Italic" w:cs="TimesNewRoman,Italic"/>
          <w:i/>
          <w:iCs/>
          <w:sz w:val="24"/>
          <w:szCs w:val="24"/>
        </w:rPr>
        <w:t xml:space="preserve"> and </w:t>
      </w:r>
      <w:proofErr w:type="spellStart"/>
      <w:r>
        <w:rPr>
          <w:rFonts w:ascii="TimesNewRoman,Italic" w:hAnsi="TimesNewRoman,Italic" w:cs="TimesNewRoman,Italic"/>
          <w:i/>
          <w:iCs/>
          <w:sz w:val="24"/>
          <w:szCs w:val="24"/>
        </w:rPr>
        <w:t>repair</w:t>
      </w:r>
      <w:proofErr w:type="spellEnd"/>
      <w:r>
        <w:rPr>
          <w:rFonts w:ascii="TimesNewRoman" w:hAnsi="TimesNewRoman" w:cs="TimesNewRoman"/>
          <w:sz w:val="24"/>
          <w:szCs w:val="24"/>
        </w:rPr>
        <w:t>. Ed. Anna</w:t>
      </w:r>
    </w:p>
    <w:p w:rsidR="00877076" w:rsidRDefault="00877076" w:rsidP="00877076">
      <w:r>
        <w:rPr>
          <w:rFonts w:ascii="TimesNewRoman" w:hAnsi="TimesNewRoman" w:cs="TimesNewRoman"/>
          <w:sz w:val="24"/>
          <w:szCs w:val="24"/>
        </w:rPr>
        <w:t xml:space="preserve">SINOPOLI. </w:t>
      </w:r>
      <w:proofErr w:type="gramStart"/>
      <w:r>
        <w:rPr>
          <w:rFonts w:ascii="TimesNewRoman" w:hAnsi="TimesNewRoman" w:cs="TimesNewRoman"/>
          <w:sz w:val="24"/>
          <w:szCs w:val="24"/>
        </w:rPr>
        <w:t>Rotterdam :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>
        <w:rPr>
          <w:rFonts w:ascii="TimesNewRoman" w:hAnsi="TimesNewRoman" w:cs="TimesNewRoman"/>
          <w:sz w:val="24"/>
          <w:szCs w:val="24"/>
        </w:rPr>
        <w:t>A.A.Balkema</w:t>
      </w:r>
      <w:proofErr w:type="spellEnd"/>
      <w:r>
        <w:rPr>
          <w:rFonts w:ascii="TimesNewRoman" w:hAnsi="TimesNewRoman" w:cs="TimesNewRoman"/>
          <w:sz w:val="24"/>
          <w:szCs w:val="24"/>
        </w:rPr>
        <w:t>, 1998. pp. 109-118. ISBN 90-5809-012-4.</w:t>
      </w:r>
    </w:p>
    <w:sectPr w:rsidR="008770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EC7B91"/>
    <w:multiLevelType w:val="hybridMultilevel"/>
    <w:tmpl w:val="68C269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7D"/>
    <w:rsid w:val="001342A5"/>
    <w:rsid w:val="002B67CF"/>
    <w:rsid w:val="0033270F"/>
    <w:rsid w:val="003B3712"/>
    <w:rsid w:val="004A1032"/>
    <w:rsid w:val="005469FC"/>
    <w:rsid w:val="00616531"/>
    <w:rsid w:val="00661EC5"/>
    <w:rsid w:val="00665994"/>
    <w:rsid w:val="00877076"/>
    <w:rsid w:val="009609F4"/>
    <w:rsid w:val="00AA752C"/>
    <w:rsid w:val="00BD6B36"/>
    <w:rsid w:val="00DD727D"/>
    <w:rsid w:val="00F4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5371D6"/>
  <w15:chartTrackingRefBased/>
  <w15:docId w15:val="{17C93ED9-4E7D-417E-87B4-8C3CCE37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A752C"/>
    <w:pPr>
      <w:ind w:left="720"/>
      <w:contextualSpacing/>
    </w:pPr>
  </w:style>
  <w:style w:type="table" w:styleId="Mkatabulky">
    <w:name w:val="Table Grid"/>
    <w:basedOn w:val="Normlntabulka"/>
    <w:uiPriority w:val="39"/>
    <w:rsid w:val="00BD6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600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Vokac, Miroslav</dc:creator>
  <cp:keywords/>
  <dc:description/>
  <cp:lastModifiedBy>Vokac, Miroslav</cp:lastModifiedBy>
  <cp:revision>7</cp:revision>
  <dcterms:created xsi:type="dcterms:W3CDTF">2026-07-14T11:48:00Z</dcterms:created>
  <dcterms:modified xsi:type="dcterms:W3CDTF">2026-07-14T13:22:00Z</dcterms:modified>
</cp:coreProperties>
</file>