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Times New Roman"/>
          <w:b/>
          <w:bCs/>
          <w:sz w:val="28"/>
          <w:szCs w:val="32"/>
        </w:rPr>
      </w:pPr>
      <w:r>
        <w:rPr>
          <w:rFonts w:hint="eastAsia" w:ascii="Times New Roman" w:hAnsi="Times New Roman" w:eastAsia="宋体" w:cs="Times New Roman"/>
          <w:b/>
          <w:bCs/>
          <w:sz w:val="28"/>
          <w:szCs w:val="32"/>
        </w:rPr>
        <w:t>数据说明：s</w:t>
      </w:r>
      <w:r>
        <w:rPr>
          <w:rFonts w:ascii="Times New Roman" w:hAnsi="Times New Roman" w:eastAsia="宋体" w:cs="Times New Roman"/>
          <w:b/>
          <w:bCs/>
          <w:sz w:val="28"/>
          <w:szCs w:val="32"/>
        </w:rPr>
        <w:t>imudata.csv</w:t>
      </w:r>
    </w:p>
    <w:p>
      <w:pPr>
        <w:spacing w:line="360" w:lineRule="auto"/>
        <w:ind w:firstLine="420"/>
        <w:rPr>
          <w:rFonts w:ascii="Times New Roman" w:hAnsi="Times New Roman" w:eastAsia="宋体" w:cs="Times New Roman"/>
          <w:sz w:val="24"/>
          <w:szCs w:val="28"/>
        </w:rPr>
      </w:pPr>
      <w:r>
        <w:rPr>
          <w:rFonts w:hint="eastAsia" w:ascii="Times New Roman" w:hAnsi="Times New Roman" w:eastAsia="宋体" w:cs="Times New Roman"/>
          <w:sz w:val="24"/>
          <w:szCs w:val="28"/>
        </w:rPr>
        <w:t>此数据为某公司用户在第三方交易平台的用户的日常刷卡行为数据，数据提供了一批用户行为记录，包括：年龄、银行卡数、借贷比率、交易笔数、所有行为均值、</w:t>
      </w:r>
      <w:r>
        <w:rPr>
          <w:rFonts w:ascii="Times New Roman" w:hAnsi="Times New Roman" w:eastAsia="宋体" w:cs="Times New Roman"/>
          <w:sz w:val="24"/>
          <w:szCs w:val="28"/>
        </w:rPr>
        <w:t xml:space="preserve"> 所有行为最大值等。详细的变量含义及说明如下：</w:t>
      </w:r>
    </w:p>
    <w:p>
      <w:pPr>
        <w:rPr>
          <w:rFonts w:ascii="Times New Roman" w:hAnsi="Times New Roman" w:eastAsia="宋体" w:cs="Times New Roman"/>
          <w:sz w:val="24"/>
          <w:szCs w:val="28"/>
        </w:rPr>
      </w:pPr>
    </w:p>
    <w:tbl>
      <w:tblPr>
        <w:tblStyle w:val="4"/>
        <w:tblW w:w="10775" w:type="dxa"/>
        <w:jc w:val="cente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autofit"/>
        <w:tblCellMar>
          <w:top w:w="0" w:type="dxa"/>
          <w:left w:w="108" w:type="dxa"/>
          <w:bottom w:w="0" w:type="dxa"/>
          <w:right w:w="108" w:type="dxa"/>
        </w:tblCellMar>
      </w:tblPr>
      <w:tblGrid>
        <w:gridCol w:w="1134"/>
        <w:gridCol w:w="1561"/>
        <w:gridCol w:w="1417"/>
        <w:gridCol w:w="1560"/>
        <w:gridCol w:w="1701"/>
        <w:gridCol w:w="3402"/>
      </w:tblGrid>
      <w:tr>
        <w:trPr>
          <w:trHeight w:val="280" w:hRule="atLeast"/>
          <w:jc w:val="center"/>
        </w:trPr>
        <w:tc>
          <w:tcPr>
            <w:tcW w:w="1134" w:type="dxa"/>
            <w:tcBorders>
              <w:top w:val="single" w:color="FFC000" w:themeColor="accent4" w:sz="4" w:space="0"/>
              <w:left w:val="single" w:color="FFC000" w:themeColor="accent4" w:sz="4" w:space="0"/>
              <w:bottom w:val="single" w:color="FFC000" w:themeColor="accent4" w:sz="4" w:space="0"/>
              <w:right w:val="nil"/>
              <w:insideH w:val="single" w:sz="4" w:space="0"/>
              <w:insideV w:val="nil"/>
            </w:tcBorders>
            <w:shd w:val="clear" w:color="auto" w:fill="FFC000" w:themeFill="accent4"/>
            <w:noWrap/>
            <w:vAlign w:val="center"/>
          </w:tcPr>
          <w:p>
            <w:pPr>
              <w:widowControl/>
              <w:jc w:val="center"/>
              <w:rPr>
                <w:rFonts w:ascii="Times New Roman" w:hAnsi="Times New Roman" w:eastAsia="宋体" w:cs="Times New Roman"/>
                <w:b/>
                <w:bCs/>
                <w:color w:val="000000"/>
                <w:kern w:val="0"/>
                <w:sz w:val="22"/>
              </w:rPr>
            </w:pPr>
            <w:r>
              <w:rPr>
                <w:rFonts w:ascii="Times New Roman" w:hAnsi="Times New Roman" w:eastAsia="宋体" w:cs="Times New Roman"/>
                <w:b/>
                <w:bCs/>
                <w:color w:val="000000"/>
                <w:kern w:val="0"/>
                <w:sz w:val="22"/>
              </w:rPr>
              <w:t>变量类型</w:t>
            </w:r>
          </w:p>
        </w:tc>
        <w:tc>
          <w:tcPr>
            <w:tcW w:w="1561" w:type="dxa"/>
            <w:tcBorders>
              <w:top w:val="single" w:color="FFC000" w:themeColor="accent4" w:sz="4" w:space="0"/>
              <w:bottom w:val="single" w:color="FFC000" w:themeColor="accent4" w:sz="4" w:space="0"/>
              <w:right w:val="nil"/>
              <w:insideH w:val="single" w:sz="4" w:space="0"/>
              <w:insideV w:val="nil"/>
            </w:tcBorders>
            <w:shd w:val="clear" w:color="auto" w:fill="FFC000" w:themeFill="accent4"/>
            <w:noWrap/>
            <w:vAlign w:val="center"/>
          </w:tcPr>
          <w:p>
            <w:pPr>
              <w:widowControl/>
              <w:jc w:val="center"/>
              <w:rPr>
                <w:rFonts w:ascii="Times New Roman" w:hAnsi="Times New Roman" w:eastAsia="宋体" w:cs="Times New Roman"/>
                <w:b/>
                <w:bCs/>
                <w:color w:val="000000"/>
                <w:kern w:val="0"/>
                <w:sz w:val="22"/>
              </w:rPr>
            </w:pPr>
            <w:r>
              <w:rPr>
                <w:rFonts w:ascii="Times New Roman" w:hAnsi="Times New Roman" w:eastAsia="宋体" w:cs="Times New Roman"/>
                <w:b/>
                <w:bCs/>
                <w:color w:val="000000"/>
                <w:kern w:val="0"/>
                <w:sz w:val="22"/>
              </w:rPr>
              <w:t>变量名</w:t>
            </w:r>
          </w:p>
        </w:tc>
        <w:tc>
          <w:tcPr>
            <w:tcW w:w="1417" w:type="dxa"/>
            <w:tcBorders>
              <w:top w:val="single" w:color="FFC000" w:themeColor="accent4" w:sz="4" w:space="0"/>
              <w:bottom w:val="single" w:color="FFC000" w:themeColor="accent4" w:sz="4" w:space="0"/>
              <w:right w:val="nil"/>
              <w:insideH w:val="single" w:sz="4" w:space="0"/>
              <w:insideV w:val="nil"/>
            </w:tcBorders>
            <w:shd w:val="clear" w:color="auto" w:fill="FFC000" w:themeFill="accent4"/>
            <w:noWrap/>
            <w:vAlign w:val="center"/>
          </w:tcPr>
          <w:p>
            <w:pPr>
              <w:widowControl/>
              <w:jc w:val="center"/>
              <w:rPr>
                <w:rFonts w:ascii="Times New Roman" w:hAnsi="Times New Roman" w:eastAsia="宋体" w:cs="Times New Roman"/>
                <w:b/>
                <w:bCs/>
                <w:color w:val="000000"/>
                <w:kern w:val="0"/>
                <w:sz w:val="22"/>
              </w:rPr>
            </w:pPr>
            <w:r>
              <w:rPr>
                <w:rFonts w:ascii="Times New Roman" w:hAnsi="Times New Roman" w:eastAsia="宋体" w:cs="Times New Roman"/>
                <w:b/>
                <w:bCs/>
                <w:color w:val="000000"/>
                <w:kern w:val="0"/>
                <w:sz w:val="22"/>
              </w:rPr>
              <w:t>变量含义</w:t>
            </w:r>
          </w:p>
        </w:tc>
        <w:tc>
          <w:tcPr>
            <w:tcW w:w="1560" w:type="dxa"/>
            <w:tcBorders>
              <w:top w:val="single" w:color="FFC000" w:themeColor="accent4" w:sz="4" w:space="0"/>
              <w:bottom w:val="single" w:color="FFC000" w:themeColor="accent4" w:sz="4" w:space="0"/>
              <w:right w:val="nil"/>
              <w:insideH w:val="single" w:sz="4" w:space="0"/>
              <w:insideV w:val="nil"/>
            </w:tcBorders>
            <w:shd w:val="clear" w:color="auto" w:fill="FFC000" w:themeFill="accent4"/>
            <w:noWrap/>
            <w:vAlign w:val="center"/>
          </w:tcPr>
          <w:p>
            <w:pPr>
              <w:widowControl/>
              <w:jc w:val="center"/>
              <w:rPr>
                <w:rFonts w:ascii="Times New Roman" w:hAnsi="Times New Roman" w:eastAsia="宋体" w:cs="Times New Roman"/>
                <w:b/>
                <w:bCs/>
                <w:color w:val="000000"/>
                <w:kern w:val="0"/>
                <w:sz w:val="22"/>
              </w:rPr>
            </w:pPr>
            <w:r>
              <w:rPr>
                <w:rFonts w:ascii="Times New Roman" w:hAnsi="Times New Roman" w:eastAsia="宋体" w:cs="Times New Roman"/>
                <w:b/>
                <w:bCs/>
                <w:color w:val="000000"/>
                <w:kern w:val="0"/>
                <w:sz w:val="22"/>
              </w:rPr>
              <w:t>详细说明</w:t>
            </w:r>
          </w:p>
        </w:tc>
        <w:tc>
          <w:tcPr>
            <w:tcW w:w="1701" w:type="dxa"/>
            <w:tcBorders>
              <w:top w:val="single" w:color="FFC000" w:themeColor="accent4" w:sz="4" w:space="0"/>
              <w:bottom w:val="single" w:color="FFC000" w:themeColor="accent4" w:sz="4" w:space="0"/>
              <w:right w:val="nil"/>
              <w:insideH w:val="single" w:sz="4" w:space="0"/>
              <w:insideV w:val="nil"/>
            </w:tcBorders>
            <w:shd w:val="clear" w:color="auto" w:fill="FFC000" w:themeFill="accent4"/>
            <w:noWrap/>
            <w:vAlign w:val="center"/>
          </w:tcPr>
          <w:p>
            <w:pPr>
              <w:widowControl/>
              <w:jc w:val="center"/>
              <w:rPr>
                <w:rFonts w:ascii="Times New Roman" w:hAnsi="Times New Roman" w:eastAsia="宋体" w:cs="Times New Roman"/>
                <w:b/>
                <w:bCs/>
                <w:color w:val="000000"/>
                <w:kern w:val="0"/>
                <w:sz w:val="22"/>
              </w:rPr>
            </w:pPr>
            <w:r>
              <w:rPr>
                <w:rFonts w:ascii="Times New Roman" w:hAnsi="Times New Roman" w:eastAsia="宋体" w:cs="Times New Roman"/>
                <w:b/>
                <w:bCs/>
                <w:color w:val="000000"/>
                <w:kern w:val="0"/>
                <w:sz w:val="22"/>
              </w:rPr>
              <w:t>取值范围</w:t>
            </w:r>
          </w:p>
        </w:tc>
        <w:tc>
          <w:tcPr>
            <w:tcW w:w="3402" w:type="dxa"/>
            <w:tcBorders>
              <w:top w:val="single" w:color="FFC000" w:themeColor="accent4" w:sz="4" w:space="0"/>
              <w:bottom w:val="single" w:color="FFC000" w:themeColor="accent4" w:sz="4" w:space="0"/>
              <w:right w:val="single" w:color="FFC000" w:themeColor="accent4" w:sz="4" w:space="0"/>
              <w:insideH w:val="single" w:sz="4" w:space="0"/>
              <w:insideV w:val="nil"/>
            </w:tcBorders>
            <w:shd w:val="clear" w:color="auto" w:fill="FFC000" w:themeFill="accent4"/>
            <w:noWrap/>
            <w:vAlign w:val="center"/>
          </w:tcPr>
          <w:p>
            <w:pPr>
              <w:widowControl/>
              <w:jc w:val="center"/>
              <w:rPr>
                <w:rFonts w:ascii="Times New Roman" w:hAnsi="Times New Roman" w:eastAsia="宋体" w:cs="Times New Roman"/>
                <w:b/>
                <w:bCs/>
                <w:color w:val="000000"/>
                <w:kern w:val="0"/>
                <w:sz w:val="22"/>
              </w:rPr>
            </w:pPr>
            <w:r>
              <w:rPr>
                <w:rFonts w:ascii="Times New Roman" w:hAnsi="Times New Roman" w:eastAsia="宋体" w:cs="Times New Roman"/>
                <w:b/>
                <w:bCs/>
                <w:color w:val="000000"/>
                <w:kern w:val="0"/>
                <w:sz w:val="22"/>
              </w:rPr>
              <w:t>备注</w:t>
            </w:r>
          </w:p>
        </w:tc>
      </w:tr>
      <w:tr>
        <w:trPr>
          <w:trHeight w:val="560" w:hRule="atLeast"/>
          <w:jc w:val="center"/>
        </w:trPr>
        <w:tc>
          <w:tcPr>
            <w:tcW w:w="1134" w:type="dxa"/>
            <w:shd w:val="clear" w:color="auto" w:fill="FEF2CC" w:themeFill="accent4" w:themeFillTint="33"/>
            <w:noWrap/>
            <w:vAlign w:val="center"/>
          </w:tcPr>
          <w:p>
            <w:pPr>
              <w:widowControl/>
              <w:jc w:val="center"/>
              <w:rPr>
                <w:rFonts w:ascii="Times New Roman" w:hAnsi="Times New Roman" w:eastAsia="宋体" w:cs="Times New Roman"/>
                <w:b/>
                <w:bCs/>
                <w:color w:val="000000"/>
                <w:kern w:val="0"/>
                <w:sz w:val="22"/>
              </w:rPr>
            </w:pPr>
            <w:r>
              <w:rPr>
                <w:rFonts w:ascii="Times New Roman" w:hAnsi="Times New Roman" w:eastAsia="宋体" w:cs="Times New Roman"/>
                <w:b/>
                <w:bCs/>
                <w:color w:val="000000"/>
                <w:kern w:val="0"/>
                <w:sz w:val="22"/>
              </w:rPr>
              <w:t>因变量</w:t>
            </w:r>
          </w:p>
        </w:tc>
        <w:tc>
          <w:tcPr>
            <w:tcW w:w="1561"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black</w:t>
            </w:r>
          </w:p>
        </w:tc>
        <w:tc>
          <w:tcPr>
            <w:tcW w:w="1417"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是否违约</w:t>
            </w:r>
          </w:p>
        </w:tc>
        <w:tc>
          <w:tcPr>
            <w:tcW w:w="1560" w:type="dxa"/>
            <w:shd w:val="clear" w:color="auto" w:fill="FEF2CC" w:themeFill="accent4" w:themeFillTint="33"/>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定性变量</w:t>
            </w:r>
            <w:r>
              <w:rPr>
                <w:rFonts w:ascii="Times New Roman" w:hAnsi="Times New Roman" w:eastAsia="宋体" w:cs="Times New Roman"/>
                <w:color w:val="000000"/>
                <w:kern w:val="0"/>
                <w:sz w:val="22"/>
              </w:rPr>
              <w:br w:type="textWrapping"/>
            </w:r>
            <w:r>
              <w:rPr>
                <w:rFonts w:ascii="Times New Roman" w:hAnsi="Times New Roman" w:eastAsia="宋体" w:cs="Times New Roman"/>
                <w:color w:val="000000"/>
                <w:kern w:val="0"/>
                <w:sz w:val="22"/>
              </w:rPr>
              <w:t>（2个水平）</w:t>
            </w:r>
          </w:p>
        </w:tc>
        <w:tc>
          <w:tcPr>
            <w:tcW w:w="1701" w:type="dxa"/>
            <w:shd w:val="clear" w:color="auto" w:fill="FEF2CC" w:themeFill="accent4" w:themeFillTint="33"/>
            <w:vAlign w:val="center"/>
          </w:tcPr>
          <w:p>
            <w:pPr>
              <w:widowControl/>
              <w:jc w:val="center"/>
              <w:rPr>
                <w:rFonts w:ascii="Times New Roman" w:hAnsi="Times New Roman" w:eastAsia="宋体" w:cs="Times New Roman"/>
                <w:color w:val="000000"/>
                <w:kern w:val="0"/>
                <w:sz w:val="22"/>
              </w:rPr>
            </w:pPr>
            <w:r>
              <w:rPr>
                <w:rFonts w:hint="eastAsia" w:ascii="Times New Roman" w:hAnsi="Times New Roman" w:eastAsia="宋体" w:cs="Times New Roman"/>
                <w:color w:val="000000"/>
                <w:kern w:val="0"/>
                <w:sz w:val="22"/>
              </w:rPr>
              <w:t>1</w:t>
            </w:r>
            <w:r>
              <w:rPr>
                <w:rFonts w:ascii="Times New Roman" w:hAnsi="Times New Roman" w:eastAsia="宋体" w:cs="Times New Roman"/>
                <w:color w:val="000000"/>
                <w:kern w:val="0"/>
                <w:sz w:val="22"/>
              </w:rPr>
              <w:t>表示违约</w:t>
            </w:r>
            <w:r>
              <w:rPr>
                <w:rFonts w:ascii="Times New Roman" w:hAnsi="Times New Roman" w:eastAsia="宋体" w:cs="Times New Roman"/>
                <w:color w:val="000000"/>
                <w:kern w:val="0"/>
                <w:sz w:val="22"/>
              </w:rPr>
              <w:br w:type="textWrapping"/>
            </w:r>
            <w:r>
              <w:rPr>
                <w:rFonts w:hint="eastAsia" w:ascii="Times New Roman" w:hAnsi="Times New Roman" w:eastAsia="宋体" w:cs="Times New Roman"/>
                <w:color w:val="000000"/>
                <w:kern w:val="0"/>
                <w:sz w:val="22"/>
              </w:rPr>
              <w:t>0</w:t>
            </w:r>
            <w:r>
              <w:rPr>
                <w:rFonts w:ascii="Times New Roman" w:hAnsi="Times New Roman" w:eastAsia="宋体" w:cs="Times New Roman"/>
                <w:color w:val="000000"/>
                <w:kern w:val="0"/>
                <w:sz w:val="22"/>
              </w:rPr>
              <w:t>表示未违约</w:t>
            </w:r>
          </w:p>
        </w:tc>
        <w:tc>
          <w:tcPr>
            <w:tcW w:w="3402"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违约占比33.37%</w:t>
            </w:r>
          </w:p>
        </w:tc>
      </w:tr>
      <w:tr>
        <w:trPr>
          <w:trHeight w:val="280" w:hRule="atLeast"/>
          <w:jc w:val="center"/>
        </w:trPr>
        <w:tc>
          <w:tcPr>
            <w:tcW w:w="1134" w:type="dxa"/>
            <w:vMerge w:val="restart"/>
            <w:noWrap/>
            <w:vAlign w:val="center"/>
          </w:tcPr>
          <w:p>
            <w:pPr>
              <w:widowControl/>
              <w:jc w:val="center"/>
              <w:rPr>
                <w:rFonts w:ascii="Times New Roman" w:hAnsi="Times New Roman" w:eastAsia="宋体" w:cs="Times New Roman"/>
                <w:b/>
                <w:bCs/>
                <w:color w:val="000000"/>
                <w:kern w:val="0"/>
                <w:sz w:val="22"/>
              </w:rPr>
            </w:pPr>
            <w:r>
              <w:rPr>
                <w:rFonts w:ascii="Times New Roman" w:hAnsi="Times New Roman" w:eastAsia="宋体" w:cs="Times New Roman"/>
                <w:b/>
                <w:bCs/>
                <w:color w:val="000000"/>
                <w:kern w:val="0"/>
                <w:sz w:val="22"/>
              </w:rPr>
              <w:t>自变量</w:t>
            </w:r>
          </w:p>
        </w:tc>
        <w:tc>
          <w:tcPr>
            <w:tcW w:w="1561"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age</w:t>
            </w:r>
          </w:p>
        </w:tc>
        <w:tc>
          <w:tcPr>
            <w:tcW w:w="1417"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年龄</w:t>
            </w:r>
          </w:p>
        </w:tc>
        <w:tc>
          <w:tcPr>
            <w:tcW w:w="1560"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连续变量</w:t>
            </w:r>
          </w:p>
        </w:tc>
        <w:tc>
          <w:tcPr>
            <w:tcW w:w="1701"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14-47</w:t>
            </w:r>
          </w:p>
        </w:tc>
        <w:tc>
          <w:tcPr>
            <w:tcW w:w="3402"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只取整数</w:t>
            </w:r>
          </w:p>
        </w:tc>
      </w:tr>
      <w:tr>
        <w:trPr>
          <w:trHeight w:val="280" w:hRule="atLeast"/>
          <w:jc w:val="center"/>
        </w:trPr>
        <w:tc>
          <w:tcPr>
            <w:tcW w:w="1134" w:type="dxa"/>
            <w:vMerge w:val="continue"/>
            <w:shd w:val="clear" w:color="auto" w:fill="FEF2CC" w:themeFill="accent4" w:themeFillTint="33"/>
            <w:vAlign w:val="center"/>
          </w:tcPr>
          <w:p>
            <w:pPr>
              <w:widowControl/>
              <w:jc w:val="center"/>
              <w:rPr>
                <w:rFonts w:ascii="Times New Roman" w:hAnsi="Times New Roman" w:eastAsia="宋体" w:cs="Times New Roman"/>
                <w:b/>
                <w:bCs/>
                <w:color w:val="000000"/>
                <w:kern w:val="0"/>
                <w:sz w:val="22"/>
              </w:rPr>
            </w:pPr>
          </w:p>
        </w:tc>
        <w:tc>
          <w:tcPr>
            <w:tcW w:w="1561"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cardnum</w:t>
            </w:r>
          </w:p>
        </w:tc>
        <w:tc>
          <w:tcPr>
            <w:tcW w:w="1417"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银行卡数</w:t>
            </w:r>
          </w:p>
        </w:tc>
        <w:tc>
          <w:tcPr>
            <w:tcW w:w="1560"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连续变量</w:t>
            </w:r>
          </w:p>
        </w:tc>
        <w:tc>
          <w:tcPr>
            <w:tcW w:w="1701"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0-16</w:t>
            </w:r>
          </w:p>
        </w:tc>
        <w:tc>
          <w:tcPr>
            <w:tcW w:w="3402"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只取整数</w:t>
            </w:r>
          </w:p>
        </w:tc>
      </w:tr>
      <w:tr>
        <w:trPr>
          <w:trHeight w:val="280" w:hRule="atLeast"/>
          <w:jc w:val="center"/>
        </w:trPr>
        <w:tc>
          <w:tcPr>
            <w:tcW w:w="1134" w:type="dxa"/>
            <w:vMerge w:val="continue"/>
            <w:vAlign w:val="center"/>
          </w:tcPr>
          <w:p>
            <w:pPr>
              <w:widowControl/>
              <w:jc w:val="center"/>
              <w:rPr>
                <w:rFonts w:ascii="Times New Roman" w:hAnsi="Times New Roman" w:eastAsia="宋体" w:cs="Times New Roman"/>
                <w:b/>
                <w:bCs/>
                <w:color w:val="000000"/>
                <w:kern w:val="0"/>
                <w:sz w:val="22"/>
              </w:rPr>
            </w:pPr>
          </w:p>
        </w:tc>
        <w:tc>
          <w:tcPr>
            <w:tcW w:w="1561"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creded</w:t>
            </w:r>
          </w:p>
        </w:tc>
        <w:tc>
          <w:tcPr>
            <w:tcW w:w="1417"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借贷比率</w:t>
            </w:r>
          </w:p>
        </w:tc>
        <w:tc>
          <w:tcPr>
            <w:tcW w:w="1560"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连续变量</w:t>
            </w:r>
          </w:p>
        </w:tc>
        <w:tc>
          <w:tcPr>
            <w:tcW w:w="1701"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0-0.82</w:t>
            </w:r>
          </w:p>
        </w:tc>
        <w:tc>
          <w:tcPr>
            <w:tcW w:w="3402"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用户所有行为中，采用贷记卡（或称为信用卡）交易的次数占所有采用贷记卡或者借记卡（或称为储蓄卡）交易次数的比率。</w:t>
            </w:r>
          </w:p>
        </w:tc>
      </w:tr>
      <w:tr>
        <w:trPr>
          <w:trHeight w:val="280" w:hRule="atLeast"/>
          <w:jc w:val="center"/>
        </w:trPr>
        <w:tc>
          <w:tcPr>
            <w:tcW w:w="1134" w:type="dxa"/>
            <w:vMerge w:val="continue"/>
            <w:shd w:val="clear" w:color="auto" w:fill="FEF2CC" w:themeFill="accent4" w:themeFillTint="33"/>
            <w:vAlign w:val="center"/>
          </w:tcPr>
          <w:p>
            <w:pPr>
              <w:widowControl/>
              <w:jc w:val="center"/>
              <w:rPr>
                <w:rFonts w:ascii="Times New Roman" w:hAnsi="Times New Roman" w:eastAsia="宋体" w:cs="Times New Roman"/>
                <w:b/>
                <w:bCs/>
                <w:color w:val="000000"/>
                <w:kern w:val="0"/>
                <w:sz w:val="22"/>
              </w:rPr>
            </w:pPr>
          </w:p>
        </w:tc>
        <w:tc>
          <w:tcPr>
            <w:tcW w:w="1561"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billnum</w:t>
            </w:r>
          </w:p>
        </w:tc>
        <w:tc>
          <w:tcPr>
            <w:tcW w:w="1417"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交易笔数</w:t>
            </w:r>
          </w:p>
        </w:tc>
        <w:tc>
          <w:tcPr>
            <w:tcW w:w="1560"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连续变量</w:t>
            </w:r>
          </w:p>
        </w:tc>
        <w:tc>
          <w:tcPr>
            <w:tcW w:w="1701"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0-427</w:t>
            </w:r>
          </w:p>
        </w:tc>
        <w:tc>
          <w:tcPr>
            <w:tcW w:w="3402"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用户自从第一笔交易记录开始，被记录的交易总笔数。</w:t>
            </w:r>
          </w:p>
        </w:tc>
      </w:tr>
      <w:tr>
        <w:trPr>
          <w:trHeight w:val="280" w:hRule="atLeast"/>
          <w:jc w:val="center"/>
        </w:trPr>
        <w:tc>
          <w:tcPr>
            <w:tcW w:w="1134" w:type="dxa"/>
            <w:vMerge w:val="continue"/>
            <w:vAlign w:val="center"/>
          </w:tcPr>
          <w:p>
            <w:pPr>
              <w:widowControl/>
              <w:jc w:val="center"/>
              <w:rPr>
                <w:rFonts w:ascii="Times New Roman" w:hAnsi="Times New Roman" w:eastAsia="宋体" w:cs="Times New Roman"/>
                <w:b/>
                <w:bCs/>
                <w:color w:val="000000"/>
                <w:kern w:val="0"/>
                <w:sz w:val="22"/>
              </w:rPr>
            </w:pPr>
          </w:p>
        </w:tc>
        <w:tc>
          <w:tcPr>
            <w:tcW w:w="1561"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meanpay</w:t>
            </w:r>
          </w:p>
        </w:tc>
        <w:tc>
          <w:tcPr>
            <w:tcW w:w="1417"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所有行为</w:t>
            </w:r>
          </w:p>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均值</w:t>
            </w:r>
          </w:p>
        </w:tc>
        <w:tc>
          <w:tcPr>
            <w:tcW w:w="1560"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连续变量</w:t>
            </w:r>
          </w:p>
        </w:tc>
        <w:tc>
          <w:tcPr>
            <w:tcW w:w="1701"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0-1346594</w:t>
            </w:r>
          </w:p>
        </w:tc>
        <w:tc>
          <w:tcPr>
            <w:tcW w:w="3402"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用户被记录的所有交易行为的平均金额。</w:t>
            </w:r>
          </w:p>
        </w:tc>
      </w:tr>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Ex>
        <w:trPr>
          <w:trHeight w:val="280" w:hRule="atLeast"/>
          <w:jc w:val="center"/>
        </w:trPr>
        <w:tc>
          <w:tcPr>
            <w:tcW w:w="1134" w:type="dxa"/>
            <w:vMerge w:val="continue"/>
            <w:shd w:val="clear" w:color="auto" w:fill="FEF2CC" w:themeFill="accent4" w:themeFillTint="33"/>
            <w:vAlign w:val="center"/>
          </w:tcPr>
          <w:p>
            <w:pPr>
              <w:widowControl/>
              <w:jc w:val="center"/>
              <w:rPr>
                <w:rFonts w:ascii="Times New Roman" w:hAnsi="Times New Roman" w:eastAsia="宋体" w:cs="Times New Roman"/>
                <w:b/>
                <w:bCs/>
                <w:color w:val="000000"/>
                <w:kern w:val="0"/>
                <w:sz w:val="22"/>
              </w:rPr>
            </w:pPr>
          </w:p>
        </w:tc>
        <w:tc>
          <w:tcPr>
            <w:tcW w:w="1561"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maxpay</w:t>
            </w:r>
          </w:p>
        </w:tc>
        <w:tc>
          <w:tcPr>
            <w:tcW w:w="1417"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所有行为</w:t>
            </w:r>
          </w:p>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最大值</w:t>
            </w:r>
          </w:p>
        </w:tc>
        <w:tc>
          <w:tcPr>
            <w:tcW w:w="1560"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连续变量</w:t>
            </w:r>
          </w:p>
        </w:tc>
        <w:tc>
          <w:tcPr>
            <w:tcW w:w="1701"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9-6470316</w:t>
            </w:r>
          </w:p>
        </w:tc>
        <w:tc>
          <w:tcPr>
            <w:tcW w:w="3402"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用户自从第一笔交易开始，所有交易行为的金额的最大值，可以度量用户的极端行为情况。</w:t>
            </w:r>
          </w:p>
        </w:tc>
      </w:tr>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Ex>
        <w:trPr>
          <w:trHeight w:val="280" w:hRule="atLeast"/>
          <w:jc w:val="center"/>
        </w:trPr>
        <w:tc>
          <w:tcPr>
            <w:tcW w:w="1134" w:type="dxa"/>
            <w:vMerge w:val="continue"/>
            <w:vAlign w:val="center"/>
          </w:tcPr>
          <w:p>
            <w:pPr>
              <w:widowControl/>
              <w:jc w:val="center"/>
              <w:rPr>
                <w:rFonts w:ascii="Times New Roman" w:hAnsi="Times New Roman" w:eastAsia="宋体" w:cs="Times New Roman"/>
                <w:b/>
                <w:bCs/>
                <w:color w:val="000000"/>
                <w:kern w:val="0"/>
                <w:sz w:val="22"/>
              </w:rPr>
            </w:pPr>
          </w:p>
        </w:tc>
        <w:tc>
          <w:tcPr>
            <w:tcW w:w="1561"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xiaofeiF</w:t>
            </w:r>
          </w:p>
        </w:tc>
        <w:tc>
          <w:tcPr>
            <w:tcW w:w="1417"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消费类F</w:t>
            </w:r>
          </w:p>
        </w:tc>
        <w:tc>
          <w:tcPr>
            <w:tcW w:w="1560"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连续变量</w:t>
            </w:r>
          </w:p>
        </w:tc>
        <w:tc>
          <w:tcPr>
            <w:tcW w:w="1701"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0-19</w:t>
            </w:r>
          </w:p>
        </w:tc>
        <w:tc>
          <w:tcPr>
            <w:tcW w:w="3402" w:type="dxa"/>
            <w:vMerge w:val="restart"/>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详见下述说明</w:t>
            </w:r>
          </w:p>
        </w:tc>
      </w:tr>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Ex>
        <w:trPr>
          <w:trHeight w:val="280" w:hRule="atLeast"/>
          <w:jc w:val="center"/>
        </w:trPr>
        <w:tc>
          <w:tcPr>
            <w:tcW w:w="1134" w:type="dxa"/>
            <w:vMerge w:val="continue"/>
            <w:shd w:val="clear" w:color="auto" w:fill="FEF2CC" w:themeFill="accent4" w:themeFillTint="33"/>
            <w:vAlign w:val="center"/>
          </w:tcPr>
          <w:p>
            <w:pPr>
              <w:widowControl/>
              <w:jc w:val="center"/>
              <w:rPr>
                <w:rFonts w:ascii="Times New Roman" w:hAnsi="Times New Roman" w:eastAsia="宋体" w:cs="Times New Roman"/>
                <w:b/>
                <w:bCs/>
                <w:color w:val="000000"/>
                <w:kern w:val="0"/>
                <w:sz w:val="22"/>
              </w:rPr>
            </w:pPr>
          </w:p>
        </w:tc>
        <w:tc>
          <w:tcPr>
            <w:tcW w:w="1561"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jinkaF</w:t>
            </w:r>
          </w:p>
        </w:tc>
        <w:tc>
          <w:tcPr>
            <w:tcW w:w="1417"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金卡类F</w:t>
            </w:r>
          </w:p>
        </w:tc>
        <w:tc>
          <w:tcPr>
            <w:tcW w:w="1560"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连续变量</w:t>
            </w:r>
          </w:p>
        </w:tc>
        <w:tc>
          <w:tcPr>
            <w:tcW w:w="1701"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0-44</w:t>
            </w:r>
          </w:p>
        </w:tc>
        <w:tc>
          <w:tcPr>
            <w:tcW w:w="3402" w:type="dxa"/>
            <w:vMerge w:val="continue"/>
            <w:shd w:val="clear" w:color="auto" w:fill="FEF2CC" w:themeFill="accent4" w:themeFillTint="33"/>
            <w:vAlign w:val="center"/>
          </w:tcPr>
          <w:p>
            <w:pPr>
              <w:widowControl/>
              <w:jc w:val="center"/>
              <w:rPr>
                <w:rFonts w:ascii="Times New Roman" w:hAnsi="Times New Roman" w:eastAsia="宋体" w:cs="Times New Roman"/>
                <w:color w:val="000000"/>
                <w:kern w:val="0"/>
                <w:sz w:val="22"/>
              </w:rPr>
            </w:pPr>
          </w:p>
        </w:tc>
      </w:tr>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Ex>
        <w:trPr>
          <w:trHeight w:val="280" w:hRule="atLeast"/>
          <w:jc w:val="center"/>
        </w:trPr>
        <w:tc>
          <w:tcPr>
            <w:tcW w:w="1134" w:type="dxa"/>
            <w:vMerge w:val="continue"/>
            <w:vAlign w:val="center"/>
          </w:tcPr>
          <w:p>
            <w:pPr>
              <w:widowControl/>
              <w:jc w:val="center"/>
              <w:rPr>
                <w:rFonts w:ascii="Times New Roman" w:hAnsi="Times New Roman" w:eastAsia="宋体" w:cs="Times New Roman"/>
                <w:b/>
                <w:bCs/>
                <w:color w:val="000000"/>
                <w:kern w:val="0"/>
                <w:sz w:val="22"/>
              </w:rPr>
            </w:pPr>
          </w:p>
        </w:tc>
        <w:tc>
          <w:tcPr>
            <w:tcW w:w="1561"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youxiM</w:t>
            </w:r>
          </w:p>
        </w:tc>
        <w:tc>
          <w:tcPr>
            <w:tcW w:w="1417"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游戏类M</w:t>
            </w:r>
          </w:p>
        </w:tc>
        <w:tc>
          <w:tcPr>
            <w:tcW w:w="1560"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连续变量</w:t>
            </w:r>
          </w:p>
        </w:tc>
        <w:tc>
          <w:tcPr>
            <w:tcW w:w="1701"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0-1939</w:t>
            </w:r>
          </w:p>
        </w:tc>
        <w:tc>
          <w:tcPr>
            <w:tcW w:w="3402" w:type="dxa"/>
            <w:vMerge w:val="continue"/>
            <w:vAlign w:val="center"/>
          </w:tcPr>
          <w:p>
            <w:pPr>
              <w:widowControl/>
              <w:jc w:val="center"/>
              <w:rPr>
                <w:rFonts w:ascii="Times New Roman" w:hAnsi="Times New Roman" w:eastAsia="宋体" w:cs="Times New Roman"/>
                <w:color w:val="000000"/>
                <w:kern w:val="0"/>
                <w:sz w:val="22"/>
              </w:rPr>
            </w:pPr>
          </w:p>
        </w:tc>
      </w:tr>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Ex>
        <w:trPr>
          <w:trHeight w:val="280" w:hRule="atLeast"/>
          <w:jc w:val="center"/>
        </w:trPr>
        <w:tc>
          <w:tcPr>
            <w:tcW w:w="1134" w:type="dxa"/>
            <w:vMerge w:val="continue"/>
            <w:shd w:val="clear" w:color="auto" w:fill="FEF2CC" w:themeFill="accent4" w:themeFillTint="33"/>
            <w:vAlign w:val="center"/>
          </w:tcPr>
          <w:p>
            <w:pPr>
              <w:widowControl/>
              <w:jc w:val="center"/>
              <w:rPr>
                <w:rFonts w:ascii="Times New Roman" w:hAnsi="Times New Roman" w:eastAsia="宋体" w:cs="Times New Roman"/>
                <w:b/>
                <w:bCs/>
                <w:color w:val="000000"/>
                <w:kern w:val="0"/>
                <w:sz w:val="22"/>
              </w:rPr>
            </w:pPr>
          </w:p>
        </w:tc>
        <w:tc>
          <w:tcPr>
            <w:tcW w:w="1561"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debitM</w:t>
            </w:r>
          </w:p>
        </w:tc>
        <w:tc>
          <w:tcPr>
            <w:tcW w:w="1417"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借记类M</w:t>
            </w:r>
          </w:p>
        </w:tc>
        <w:tc>
          <w:tcPr>
            <w:tcW w:w="1560"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连续变量</w:t>
            </w:r>
          </w:p>
        </w:tc>
        <w:tc>
          <w:tcPr>
            <w:tcW w:w="1701"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26-1436086</w:t>
            </w:r>
          </w:p>
        </w:tc>
        <w:tc>
          <w:tcPr>
            <w:tcW w:w="3402" w:type="dxa"/>
            <w:vMerge w:val="continue"/>
            <w:shd w:val="clear" w:color="auto" w:fill="FEF2CC" w:themeFill="accent4" w:themeFillTint="33"/>
            <w:vAlign w:val="center"/>
          </w:tcPr>
          <w:p>
            <w:pPr>
              <w:widowControl/>
              <w:jc w:val="center"/>
              <w:rPr>
                <w:rFonts w:ascii="Times New Roman" w:hAnsi="Times New Roman" w:eastAsia="宋体" w:cs="Times New Roman"/>
                <w:color w:val="000000"/>
                <w:kern w:val="0"/>
                <w:sz w:val="22"/>
              </w:rPr>
            </w:pPr>
          </w:p>
        </w:tc>
      </w:tr>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Ex>
        <w:trPr>
          <w:trHeight w:val="280" w:hRule="atLeast"/>
          <w:jc w:val="center"/>
        </w:trPr>
        <w:tc>
          <w:tcPr>
            <w:tcW w:w="1134" w:type="dxa"/>
            <w:vMerge w:val="continue"/>
            <w:vAlign w:val="center"/>
          </w:tcPr>
          <w:p>
            <w:pPr>
              <w:widowControl/>
              <w:jc w:val="center"/>
              <w:rPr>
                <w:rFonts w:ascii="Times New Roman" w:hAnsi="Times New Roman" w:eastAsia="宋体" w:cs="Times New Roman"/>
                <w:b/>
                <w:bCs/>
                <w:color w:val="000000"/>
                <w:kern w:val="0"/>
                <w:sz w:val="22"/>
              </w:rPr>
            </w:pPr>
          </w:p>
        </w:tc>
        <w:tc>
          <w:tcPr>
            <w:tcW w:w="1561"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debitF</w:t>
            </w:r>
          </w:p>
        </w:tc>
        <w:tc>
          <w:tcPr>
            <w:tcW w:w="1417"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借记类F</w:t>
            </w:r>
          </w:p>
        </w:tc>
        <w:tc>
          <w:tcPr>
            <w:tcW w:w="1560"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连续变量</w:t>
            </w:r>
          </w:p>
        </w:tc>
        <w:tc>
          <w:tcPr>
            <w:tcW w:w="1701"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0-202</w:t>
            </w:r>
          </w:p>
        </w:tc>
        <w:tc>
          <w:tcPr>
            <w:tcW w:w="3402" w:type="dxa"/>
            <w:vMerge w:val="continue"/>
            <w:vAlign w:val="center"/>
          </w:tcPr>
          <w:p>
            <w:pPr>
              <w:widowControl/>
              <w:jc w:val="center"/>
              <w:rPr>
                <w:rFonts w:ascii="Times New Roman" w:hAnsi="Times New Roman" w:eastAsia="宋体" w:cs="Times New Roman"/>
                <w:color w:val="000000"/>
                <w:kern w:val="0"/>
                <w:sz w:val="22"/>
              </w:rPr>
            </w:pPr>
          </w:p>
        </w:tc>
      </w:tr>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Ex>
        <w:trPr>
          <w:trHeight w:val="280" w:hRule="atLeast"/>
          <w:jc w:val="center"/>
        </w:trPr>
        <w:tc>
          <w:tcPr>
            <w:tcW w:w="1134" w:type="dxa"/>
            <w:vMerge w:val="continue"/>
            <w:shd w:val="clear" w:color="auto" w:fill="FEF2CC" w:themeFill="accent4" w:themeFillTint="33"/>
            <w:vAlign w:val="center"/>
          </w:tcPr>
          <w:p>
            <w:pPr>
              <w:widowControl/>
              <w:jc w:val="center"/>
              <w:rPr>
                <w:rFonts w:ascii="Times New Roman" w:hAnsi="Times New Roman" w:eastAsia="宋体" w:cs="Times New Roman"/>
                <w:b/>
                <w:bCs/>
                <w:color w:val="000000"/>
                <w:kern w:val="0"/>
                <w:sz w:val="22"/>
              </w:rPr>
            </w:pPr>
          </w:p>
        </w:tc>
        <w:tc>
          <w:tcPr>
            <w:tcW w:w="1561"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gongjiaoR</w:t>
            </w:r>
          </w:p>
        </w:tc>
        <w:tc>
          <w:tcPr>
            <w:tcW w:w="1417"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公缴类R</w:t>
            </w:r>
          </w:p>
        </w:tc>
        <w:tc>
          <w:tcPr>
            <w:tcW w:w="1560"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连续变量</w:t>
            </w:r>
          </w:p>
        </w:tc>
        <w:tc>
          <w:tcPr>
            <w:tcW w:w="1701"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206.3-365</w:t>
            </w:r>
          </w:p>
        </w:tc>
        <w:tc>
          <w:tcPr>
            <w:tcW w:w="3402" w:type="dxa"/>
            <w:vMerge w:val="continue"/>
            <w:shd w:val="clear" w:color="auto" w:fill="FEF2CC" w:themeFill="accent4" w:themeFillTint="33"/>
            <w:vAlign w:val="center"/>
          </w:tcPr>
          <w:p>
            <w:pPr>
              <w:widowControl/>
              <w:jc w:val="center"/>
              <w:rPr>
                <w:rFonts w:ascii="Times New Roman" w:hAnsi="Times New Roman" w:eastAsia="宋体" w:cs="Times New Roman"/>
                <w:color w:val="000000"/>
                <w:kern w:val="0"/>
                <w:sz w:val="22"/>
              </w:rPr>
            </w:pPr>
          </w:p>
        </w:tc>
      </w:tr>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Ex>
        <w:trPr>
          <w:trHeight w:val="280" w:hRule="atLeast"/>
          <w:jc w:val="center"/>
        </w:trPr>
        <w:tc>
          <w:tcPr>
            <w:tcW w:w="1134" w:type="dxa"/>
            <w:vMerge w:val="continue"/>
            <w:vAlign w:val="center"/>
          </w:tcPr>
          <w:p>
            <w:pPr>
              <w:widowControl/>
              <w:jc w:val="center"/>
              <w:rPr>
                <w:rFonts w:ascii="Times New Roman" w:hAnsi="Times New Roman" w:eastAsia="宋体" w:cs="Times New Roman"/>
                <w:b/>
                <w:bCs/>
                <w:color w:val="000000"/>
                <w:kern w:val="0"/>
                <w:sz w:val="22"/>
              </w:rPr>
            </w:pPr>
          </w:p>
        </w:tc>
        <w:tc>
          <w:tcPr>
            <w:tcW w:w="1561"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gongjiaoF</w:t>
            </w:r>
          </w:p>
        </w:tc>
        <w:tc>
          <w:tcPr>
            <w:tcW w:w="1417"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公缴类F</w:t>
            </w:r>
          </w:p>
        </w:tc>
        <w:tc>
          <w:tcPr>
            <w:tcW w:w="1560"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连续变量</w:t>
            </w:r>
          </w:p>
        </w:tc>
        <w:tc>
          <w:tcPr>
            <w:tcW w:w="1701"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0-7</w:t>
            </w:r>
          </w:p>
        </w:tc>
        <w:tc>
          <w:tcPr>
            <w:tcW w:w="3402" w:type="dxa"/>
            <w:vMerge w:val="continue"/>
            <w:vAlign w:val="center"/>
          </w:tcPr>
          <w:p>
            <w:pPr>
              <w:widowControl/>
              <w:jc w:val="center"/>
              <w:rPr>
                <w:rFonts w:ascii="Times New Roman" w:hAnsi="Times New Roman" w:eastAsia="宋体" w:cs="Times New Roman"/>
                <w:color w:val="000000"/>
                <w:kern w:val="0"/>
                <w:sz w:val="22"/>
              </w:rPr>
            </w:pPr>
          </w:p>
        </w:tc>
      </w:tr>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Ex>
        <w:trPr>
          <w:trHeight w:val="280" w:hRule="atLeast"/>
          <w:jc w:val="center"/>
        </w:trPr>
        <w:tc>
          <w:tcPr>
            <w:tcW w:w="1134" w:type="dxa"/>
            <w:vMerge w:val="continue"/>
            <w:shd w:val="clear" w:color="auto" w:fill="FEF2CC" w:themeFill="accent4" w:themeFillTint="33"/>
            <w:vAlign w:val="center"/>
          </w:tcPr>
          <w:p>
            <w:pPr>
              <w:widowControl/>
              <w:jc w:val="center"/>
              <w:rPr>
                <w:rFonts w:ascii="Times New Roman" w:hAnsi="Times New Roman" w:eastAsia="宋体" w:cs="Times New Roman"/>
                <w:b/>
                <w:bCs/>
                <w:color w:val="000000"/>
                <w:kern w:val="0"/>
                <w:sz w:val="22"/>
              </w:rPr>
            </w:pPr>
          </w:p>
        </w:tc>
        <w:tc>
          <w:tcPr>
            <w:tcW w:w="1561"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gongjiaoM</w:t>
            </w:r>
          </w:p>
        </w:tc>
        <w:tc>
          <w:tcPr>
            <w:tcW w:w="1417"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公缴类M</w:t>
            </w:r>
          </w:p>
        </w:tc>
        <w:tc>
          <w:tcPr>
            <w:tcW w:w="1560"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连续变量</w:t>
            </w:r>
          </w:p>
        </w:tc>
        <w:tc>
          <w:tcPr>
            <w:tcW w:w="1701"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0.02-55745.07</w:t>
            </w:r>
          </w:p>
        </w:tc>
        <w:tc>
          <w:tcPr>
            <w:tcW w:w="3402" w:type="dxa"/>
            <w:vMerge w:val="continue"/>
            <w:shd w:val="clear" w:color="auto" w:fill="FEF2CC" w:themeFill="accent4" w:themeFillTint="33"/>
            <w:vAlign w:val="center"/>
          </w:tcPr>
          <w:p>
            <w:pPr>
              <w:widowControl/>
              <w:jc w:val="center"/>
              <w:rPr>
                <w:rFonts w:ascii="Times New Roman" w:hAnsi="Times New Roman" w:eastAsia="宋体" w:cs="Times New Roman"/>
                <w:color w:val="000000"/>
                <w:kern w:val="0"/>
                <w:sz w:val="22"/>
              </w:rPr>
            </w:pPr>
          </w:p>
        </w:tc>
      </w:tr>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Ex>
        <w:trPr>
          <w:trHeight w:val="280" w:hRule="atLeast"/>
          <w:jc w:val="center"/>
        </w:trPr>
        <w:tc>
          <w:tcPr>
            <w:tcW w:w="1134" w:type="dxa"/>
            <w:vMerge w:val="continue"/>
            <w:vAlign w:val="center"/>
          </w:tcPr>
          <w:p>
            <w:pPr>
              <w:widowControl/>
              <w:jc w:val="center"/>
              <w:rPr>
                <w:rFonts w:ascii="Times New Roman" w:hAnsi="Times New Roman" w:eastAsia="宋体" w:cs="Times New Roman"/>
                <w:b/>
                <w:bCs/>
                <w:color w:val="000000"/>
                <w:kern w:val="0"/>
                <w:sz w:val="22"/>
              </w:rPr>
            </w:pPr>
          </w:p>
        </w:tc>
        <w:tc>
          <w:tcPr>
            <w:tcW w:w="1561"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zhongxingR</w:t>
            </w:r>
          </w:p>
        </w:tc>
        <w:tc>
          <w:tcPr>
            <w:tcW w:w="1417"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中型银行R</w:t>
            </w:r>
          </w:p>
        </w:tc>
        <w:tc>
          <w:tcPr>
            <w:tcW w:w="1560"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连续变量</w:t>
            </w:r>
          </w:p>
        </w:tc>
        <w:tc>
          <w:tcPr>
            <w:tcW w:w="1701"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0.17-365</w:t>
            </w:r>
          </w:p>
        </w:tc>
        <w:tc>
          <w:tcPr>
            <w:tcW w:w="3402" w:type="dxa"/>
            <w:vMerge w:val="continue"/>
            <w:vAlign w:val="center"/>
          </w:tcPr>
          <w:p>
            <w:pPr>
              <w:widowControl/>
              <w:jc w:val="center"/>
              <w:rPr>
                <w:rFonts w:ascii="Times New Roman" w:hAnsi="Times New Roman" w:eastAsia="宋体" w:cs="Times New Roman"/>
                <w:color w:val="000000"/>
                <w:kern w:val="0"/>
                <w:sz w:val="22"/>
              </w:rPr>
            </w:pPr>
          </w:p>
        </w:tc>
      </w:tr>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Ex>
        <w:trPr>
          <w:trHeight w:val="280" w:hRule="atLeast"/>
          <w:jc w:val="center"/>
        </w:trPr>
        <w:tc>
          <w:tcPr>
            <w:tcW w:w="1134" w:type="dxa"/>
            <w:vMerge w:val="continue"/>
            <w:shd w:val="clear" w:color="auto" w:fill="FEF2CC" w:themeFill="accent4" w:themeFillTint="33"/>
            <w:vAlign w:val="center"/>
          </w:tcPr>
          <w:p>
            <w:pPr>
              <w:widowControl/>
              <w:jc w:val="center"/>
              <w:rPr>
                <w:rFonts w:ascii="Times New Roman" w:hAnsi="Times New Roman" w:eastAsia="宋体" w:cs="Times New Roman"/>
                <w:b/>
                <w:bCs/>
                <w:color w:val="000000"/>
                <w:kern w:val="0"/>
                <w:sz w:val="22"/>
              </w:rPr>
            </w:pPr>
          </w:p>
        </w:tc>
        <w:tc>
          <w:tcPr>
            <w:tcW w:w="1561"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zhongxingF</w:t>
            </w:r>
          </w:p>
        </w:tc>
        <w:tc>
          <w:tcPr>
            <w:tcW w:w="1417"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中型银行F</w:t>
            </w:r>
          </w:p>
        </w:tc>
        <w:tc>
          <w:tcPr>
            <w:tcW w:w="1560"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连续变量</w:t>
            </w:r>
          </w:p>
        </w:tc>
        <w:tc>
          <w:tcPr>
            <w:tcW w:w="1701"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0-53</w:t>
            </w:r>
          </w:p>
        </w:tc>
        <w:tc>
          <w:tcPr>
            <w:tcW w:w="3402" w:type="dxa"/>
            <w:vMerge w:val="continue"/>
            <w:shd w:val="clear" w:color="auto" w:fill="FEF2CC" w:themeFill="accent4" w:themeFillTint="33"/>
            <w:vAlign w:val="center"/>
          </w:tcPr>
          <w:p>
            <w:pPr>
              <w:widowControl/>
              <w:jc w:val="center"/>
              <w:rPr>
                <w:rFonts w:ascii="Times New Roman" w:hAnsi="Times New Roman" w:eastAsia="宋体" w:cs="Times New Roman"/>
                <w:color w:val="000000"/>
                <w:kern w:val="0"/>
                <w:sz w:val="22"/>
              </w:rPr>
            </w:pPr>
          </w:p>
        </w:tc>
      </w:tr>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Ex>
        <w:trPr>
          <w:trHeight w:val="280" w:hRule="atLeast"/>
          <w:jc w:val="center"/>
        </w:trPr>
        <w:tc>
          <w:tcPr>
            <w:tcW w:w="1134" w:type="dxa"/>
            <w:vMerge w:val="continue"/>
            <w:vAlign w:val="center"/>
          </w:tcPr>
          <w:p>
            <w:pPr>
              <w:widowControl/>
              <w:jc w:val="center"/>
              <w:rPr>
                <w:rFonts w:ascii="Times New Roman" w:hAnsi="Times New Roman" w:eastAsia="宋体" w:cs="Times New Roman"/>
                <w:b/>
                <w:bCs/>
                <w:color w:val="000000"/>
                <w:kern w:val="0"/>
                <w:sz w:val="22"/>
              </w:rPr>
            </w:pPr>
          </w:p>
        </w:tc>
        <w:tc>
          <w:tcPr>
            <w:tcW w:w="1561"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zhongxingM</w:t>
            </w:r>
          </w:p>
        </w:tc>
        <w:tc>
          <w:tcPr>
            <w:tcW w:w="1417"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中型银行M</w:t>
            </w:r>
          </w:p>
        </w:tc>
        <w:tc>
          <w:tcPr>
            <w:tcW w:w="1560"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连续变量</w:t>
            </w:r>
          </w:p>
        </w:tc>
        <w:tc>
          <w:tcPr>
            <w:tcW w:w="1701"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3-1017770</w:t>
            </w:r>
          </w:p>
        </w:tc>
        <w:tc>
          <w:tcPr>
            <w:tcW w:w="3402" w:type="dxa"/>
            <w:vMerge w:val="continue"/>
            <w:vAlign w:val="center"/>
          </w:tcPr>
          <w:p>
            <w:pPr>
              <w:widowControl/>
              <w:jc w:val="center"/>
              <w:rPr>
                <w:rFonts w:ascii="Times New Roman" w:hAnsi="Times New Roman" w:eastAsia="宋体" w:cs="Times New Roman"/>
                <w:color w:val="000000"/>
                <w:kern w:val="0"/>
                <w:sz w:val="22"/>
              </w:rPr>
            </w:pPr>
          </w:p>
        </w:tc>
      </w:tr>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Ex>
        <w:trPr>
          <w:trHeight w:val="280" w:hRule="atLeast"/>
          <w:jc w:val="center"/>
        </w:trPr>
        <w:tc>
          <w:tcPr>
            <w:tcW w:w="1134" w:type="dxa"/>
            <w:vMerge w:val="continue"/>
            <w:shd w:val="clear" w:color="auto" w:fill="FEF2CC" w:themeFill="accent4" w:themeFillTint="33"/>
            <w:vAlign w:val="center"/>
          </w:tcPr>
          <w:p>
            <w:pPr>
              <w:widowControl/>
              <w:jc w:val="center"/>
              <w:rPr>
                <w:rFonts w:ascii="Times New Roman" w:hAnsi="Times New Roman" w:eastAsia="宋体" w:cs="Times New Roman"/>
                <w:b/>
                <w:bCs/>
                <w:color w:val="000000"/>
                <w:kern w:val="0"/>
                <w:sz w:val="22"/>
              </w:rPr>
            </w:pPr>
          </w:p>
        </w:tc>
        <w:tc>
          <w:tcPr>
            <w:tcW w:w="1561"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sidaR</w:t>
            </w:r>
          </w:p>
        </w:tc>
        <w:tc>
          <w:tcPr>
            <w:tcW w:w="1417"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四大行R</w:t>
            </w:r>
          </w:p>
        </w:tc>
        <w:tc>
          <w:tcPr>
            <w:tcW w:w="1560"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连续变量</w:t>
            </w:r>
          </w:p>
        </w:tc>
        <w:tc>
          <w:tcPr>
            <w:tcW w:w="1701"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0.16-365</w:t>
            </w:r>
          </w:p>
        </w:tc>
        <w:tc>
          <w:tcPr>
            <w:tcW w:w="3402" w:type="dxa"/>
            <w:vMerge w:val="continue"/>
            <w:shd w:val="clear" w:color="auto" w:fill="FEF2CC" w:themeFill="accent4" w:themeFillTint="33"/>
            <w:vAlign w:val="center"/>
          </w:tcPr>
          <w:p>
            <w:pPr>
              <w:widowControl/>
              <w:jc w:val="center"/>
              <w:rPr>
                <w:rFonts w:ascii="Times New Roman" w:hAnsi="Times New Roman" w:eastAsia="宋体" w:cs="Times New Roman"/>
                <w:color w:val="000000"/>
                <w:kern w:val="0"/>
                <w:sz w:val="22"/>
              </w:rPr>
            </w:pPr>
          </w:p>
        </w:tc>
      </w:tr>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Ex>
        <w:trPr>
          <w:trHeight w:val="280" w:hRule="atLeast"/>
          <w:jc w:val="center"/>
        </w:trPr>
        <w:tc>
          <w:tcPr>
            <w:tcW w:w="1134" w:type="dxa"/>
            <w:vMerge w:val="continue"/>
            <w:vAlign w:val="center"/>
          </w:tcPr>
          <w:p>
            <w:pPr>
              <w:widowControl/>
              <w:jc w:val="center"/>
              <w:rPr>
                <w:rFonts w:ascii="Times New Roman" w:hAnsi="Times New Roman" w:eastAsia="宋体" w:cs="Times New Roman"/>
                <w:b/>
                <w:bCs/>
                <w:color w:val="000000"/>
                <w:kern w:val="0"/>
                <w:sz w:val="22"/>
              </w:rPr>
            </w:pPr>
          </w:p>
        </w:tc>
        <w:tc>
          <w:tcPr>
            <w:tcW w:w="1561"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sidaF</w:t>
            </w:r>
          </w:p>
        </w:tc>
        <w:tc>
          <w:tcPr>
            <w:tcW w:w="1417"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四大行F</w:t>
            </w:r>
          </w:p>
        </w:tc>
        <w:tc>
          <w:tcPr>
            <w:tcW w:w="1560"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连续变量</w:t>
            </w:r>
          </w:p>
        </w:tc>
        <w:tc>
          <w:tcPr>
            <w:tcW w:w="1701"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0-144</w:t>
            </w:r>
          </w:p>
        </w:tc>
        <w:tc>
          <w:tcPr>
            <w:tcW w:w="3402" w:type="dxa"/>
            <w:vMerge w:val="continue"/>
            <w:vAlign w:val="center"/>
          </w:tcPr>
          <w:p>
            <w:pPr>
              <w:widowControl/>
              <w:jc w:val="center"/>
              <w:rPr>
                <w:rFonts w:ascii="Times New Roman" w:hAnsi="Times New Roman" w:eastAsia="宋体" w:cs="Times New Roman"/>
                <w:color w:val="000000"/>
                <w:kern w:val="0"/>
                <w:sz w:val="22"/>
              </w:rPr>
            </w:pPr>
          </w:p>
        </w:tc>
      </w:tr>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Ex>
        <w:trPr>
          <w:trHeight w:val="280" w:hRule="atLeast"/>
          <w:jc w:val="center"/>
        </w:trPr>
        <w:tc>
          <w:tcPr>
            <w:tcW w:w="1134" w:type="dxa"/>
            <w:vMerge w:val="continue"/>
            <w:shd w:val="clear" w:color="auto" w:fill="FEF2CC" w:themeFill="accent4" w:themeFillTint="33"/>
            <w:vAlign w:val="center"/>
          </w:tcPr>
          <w:p>
            <w:pPr>
              <w:widowControl/>
              <w:jc w:val="center"/>
              <w:rPr>
                <w:rFonts w:ascii="Times New Roman" w:hAnsi="Times New Roman" w:eastAsia="宋体" w:cs="Times New Roman"/>
                <w:b/>
                <w:bCs/>
                <w:color w:val="000000"/>
                <w:kern w:val="0"/>
                <w:sz w:val="22"/>
              </w:rPr>
            </w:pPr>
          </w:p>
        </w:tc>
        <w:tc>
          <w:tcPr>
            <w:tcW w:w="1561"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sidaM</w:t>
            </w:r>
          </w:p>
        </w:tc>
        <w:tc>
          <w:tcPr>
            <w:tcW w:w="1417"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四大行M</w:t>
            </w:r>
          </w:p>
        </w:tc>
        <w:tc>
          <w:tcPr>
            <w:tcW w:w="1560"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连续变量</w:t>
            </w:r>
          </w:p>
        </w:tc>
        <w:tc>
          <w:tcPr>
            <w:tcW w:w="1701"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10-1299826</w:t>
            </w:r>
          </w:p>
        </w:tc>
        <w:tc>
          <w:tcPr>
            <w:tcW w:w="3402" w:type="dxa"/>
            <w:vMerge w:val="continue"/>
            <w:shd w:val="clear" w:color="auto" w:fill="FEF2CC" w:themeFill="accent4" w:themeFillTint="33"/>
            <w:vAlign w:val="center"/>
          </w:tcPr>
          <w:p>
            <w:pPr>
              <w:widowControl/>
              <w:jc w:val="center"/>
              <w:rPr>
                <w:rFonts w:ascii="Times New Roman" w:hAnsi="Times New Roman" w:eastAsia="宋体" w:cs="Times New Roman"/>
                <w:color w:val="000000"/>
                <w:kern w:val="0"/>
                <w:sz w:val="22"/>
              </w:rPr>
            </w:pPr>
          </w:p>
        </w:tc>
      </w:tr>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Ex>
        <w:trPr>
          <w:trHeight w:val="280" w:hRule="atLeast"/>
          <w:jc w:val="center"/>
        </w:trPr>
        <w:tc>
          <w:tcPr>
            <w:tcW w:w="1134" w:type="dxa"/>
            <w:vMerge w:val="continue"/>
            <w:vAlign w:val="center"/>
          </w:tcPr>
          <w:p>
            <w:pPr>
              <w:widowControl/>
              <w:jc w:val="center"/>
              <w:rPr>
                <w:rFonts w:ascii="Times New Roman" w:hAnsi="Times New Roman" w:eastAsia="宋体" w:cs="Times New Roman"/>
                <w:b/>
                <w:bCs/>
                <w:color w:val="000000"/>
                <w:kern w:val="0"/>
                <w:sz w:val="22"/>
              </w:rPr>
            </w:pPr>
          </w:p>
        </w:tc>
        <w:tc>
          <w:tcPr>
            <w:tcW w:w="1561"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zhuanzhangR</w:t>
            </w:r>
          </w:p>
        </w:tc>
        <w:tc>
          <w:tcPr>
            <w:tcW w:w="1417"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转账类R</w:t>
            </w:r>
          </w:p>
        </w:tc>
        <w:tc>
          <w:tcPr>
            <w:tcW w:w="1560"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连续变量</w:t>
            </w:r>
          </w:p>
        </w:tc>
        <w:tc>
          <w:tcPr>
            <w:tcW w:w="1701"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0.28-704.05</w:t>
            </w:r>
          </w:p>
        </w:tc>
        <w:tc>
          <w:tcPr>
            <w:tcW w:w="3402" w:type="dxa"/>
            <w:vMerge w:val="continue"/>
            <w:vAlign w:val="center"/>
          </w:tcPr>
          <w:p>
            <w:pPr>
              <w:widowControl/>
              <w:jc w:val="center"/>
              <w:rPr>
                <w:rFonts w:ascii="Times New Roman" w:hAnsi="Times New Roman" w:eastAsia="宋体" w:cs="Times New Roman"/>
                <w:color w:val="000000"/>
                <w:kern w:val="0"/>
                <w:sz w:val="22"/>
              </w:rPr>
            </w:pPr>
          </w:p>
        </w:tc>
      </w:tr>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Ex>
        <w:trPr>
          <w:trHeight w:val="280" w:hRule="atLeast"/>
          <w:jc w:val="center"/>
        </w:trPr>
        <w:tc>
          <w:tcPr>
            <w:tcW w:w="1134" w:type="dxa"/>
            <w:vMerge w:val="continue"/>
            <w:shd w:val="clear" w:color="auto" w:fill="FEF2CC" w:themeFill="accent4" w:themeFillTint="33"/>
            <w:vAlign w:val="center"/>
          </w:tcPr>
          <w:p>
            <w:pPr>
              <w:widowControl/>
              <w:jc w:val="center"/>
              <w:rPr>
                <w:rFonts w:ascii="Times New Roman" w:hAnsi="Times New Roman" w:eastAsia="宋体" w:cs="Times New Roman"/>
                <w:b/>
                <w:bCs/>
                <w:color w:val="000000"/>
                <w:kern w:val="0"/>
                <w:sz w:val="22"/>
              </w:rPr>
            </w:pPr>
          </w:p>
        </w:tc>
        <w:tc>
          <w:tcPr>
            <w:tcW w:w="1561"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zhuanzhangF</w:t>
            </w:r>
          </w:p>
        </w:tc>
        <w:tc>
          <w:tcPr>
            <w:tcW w:w="1417"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转账类F</w:t>
            </w:r>
          </w:p>
        </w:tc>
        <w:tc>
          <w:tcPr>
            <w:tcW w:w="1560"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连续变量</w:t>
            </w:r>
          </w:p>
        </w:tc>
        <w:tc>
          <w:tcPr>
            <w:tcW w:w="1701"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0-124</w:t>
            </w:r>
          </w:p>
        </w:tc>
        <w:tc>
          <w:tcPr>
            <w:tcW w:w="3402" w:type="dxa"/>
            <w:vMerge w:val="continue"/>
            <w:shd w:val="clear" w:color="auto" w:fill="FEF2CC" w:themeFill="accent4" w:themeFillTint="33"/>
            <w:vAlign w:val="center"/>
          </w:tcPr>
          <w:p>
            <w:pPr>
              <w:widowControl/>
              <w:jc w:val="center"/>
              <w:rPr>
                <w:rFonts w:ascii="Times New Roman" w:hAnsi="Times New Roman" w:eastAsia="宋体" w:cs="Times New Roman"/>
                <w:color w:val="000000"/>
                <w:kern w:val="0"/>
                <w:sz w:val="22"/>
              </w:rPr>
            </w:pPr>
          </w:p>
        </w:tc>
      </w:tr>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Ex>
        <w:trPr>
          <w:trHeight w:val="280" w:hRule="atLeast"/>
          <w:jc w:val="center"/>
        </w:trPr>
        <w:tc>
          <w:tcPr>
            <w:tcW w:w="1134" w:type="dxa"/>
            <w:vMerge w:val="continue"/>
            <w:vAlign w:val="center"/>
          </w:tcPr>
          <w:p>
            <w:pPr>
              <w:widowControl/>
              <w:jc w:val="center"/>
              <w:rPr>
                <w:rFonts w:ascii="Times New Roman" w:hAnsi="Times New Roman" w:eastAsia="宋体" w:cs="Times New Roman"/>
                <w:b/>
                <w:bCs/>
                <w:color w:val="000000"/>
                <w:kern w:val="0"/>
                <w:sz w:val="22"/>
              </w:rPr>
            </w:pPr>
          </w:p>
        </w:tc>
        <w:tc>
          <w:tcPr>
            <w:tcW w:w="1561"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zhuanzhangM</w:t>
            </w:r>
          </w:p>
        </w:tc>
        <w:tc>
          <w:tcPr>
            <w:tcW w:w="1417"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转账类M</w:t>
            </w:r>
          </w:p>
        </w:tc>
        <w:tc>
          <w:tcPr>
            <w:tcW w:w="1560"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连续变量</w:t>
            </w:r>
          </w:p>
        </w:tc>
        <w:tc>
          <w:tcPr>
            <w:tcW w:w="1701"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38.2-1650050.4</w:t>
            </w:r>
          </w:p>
        </w:tc>
        <w:tc>
          <w:tcPr>
            <w:tcW w:w="3402" w:type="dxa"/>
            <w:vMerge w:val="continue"/>
            <w:vAlign w:val="center"/>
          </w:tcPr>
          <w:p>
            <w:pPr>
              <w:widowControl/>
              <w:jc w:val="center"/>
              <w:rPr>
                <w:rFonts w:ascii="Times New Roman" w:hAnsi="Times New Roman" w:eastAsia="宋体" w:cs="Times New Roman"/>
                <w:color w:val="000000"/>
                <w:kern w:val="0"/>
                <w:sz w:val="22"/>
              </w:rPr>
            </w:pPr>
          </w:p>
        </w:tc>
      </w:tr>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Ex>
        <w:trPr>
          <w:trHeight w:val="280" w:hRule="atLeast"/>
          <w:jc w:val="center"/>
        </w:trPr>
        <w:tc>
          <w:tcPr>
            <w:tcW w:w="1134" w:type="dxa"/>
            <w:vMerge w:val="continue"/>
            <w:shd w:val="clear" w:color="auto" w:fill="FEF2CC" w:themeFill="accent4" w:themeFillTint="33"/>
            <w:vAlign w:val="center"/>
          </w:tcPr>
          <w:p>
            <w:pPr>
              <w:widowControl/>
              <w:jc w:val="center"/>
              <w:rPr>
                <w:rFonts w:ascii="Times New Roman" w:hAnsi="Times New Roman" w:eastAsia="宋体" w:cs="Times New Roman"/>
                <w:b/>
                <w:bCs/>
                <w:color w:val="000000"/>
                <w:kern w:val="0"/>
                <w:sz w:val="22"/>
              </w:rPr>
            </w:pPr>
          </w:p>
        </w:tc>
        <w:tc>
          <w:tcPr>
            <w:tcW w:w="1561"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xindaiR</w:t>
            </w:r>
          </w:p>
        </w:tc>
        <w:tc>
          <w:tcPr>
            <w:tcW w:w="1417"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信贷类R</w:t>
            </w:r>
          </w:p>
        </w:tc>
        <w:tc>
          <w:tcPr>
            <w:tcW w:w="1560"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连续变量</w:t>
            </w:r>
          </w:p>
        </w:tc>
        <w:tc>
          <w:tcPr>
            <w:tcW w:w="1701"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0.02-365</w:t>
            </w:r>
          </w:p>
        </w:tc>
        <w:tc>
          <w:tcPr>
            <w:tcW w:w="3402" w:type="dxa"/>
            <w:vMerge w:val="continue"/>
            <w:shd w:val="clear" w:color="auto" w:fill="FEF2CC" w:themeFill="accent4" w:themeFillTint="33"/>
            <w:vAlign w:val="center"/>
          </w:tcPr>
          <w:p>
            <w:pPr>
              <w:widowControl/>
              <w:jc w:val="center"/>
              <w:rPr>
                <w:rFonts w:ascii="Times New Roman" w:hAnsi="Times New Roman" w:eastAsia="宋体" w:cs="Times New Roman"/>
                <w:color w:val="000000"/>
                <w:kern w:val="0"/>
                <w:sz w:val="22"/>
              </w:rPr>
            </w:pPr>
          </w:p>
        </w:tc>
      </w:tr>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Ex>
        <w:trPr>
          <w:trHeight w:val="280" w:hRule="atLeast"/>
          <w:jc w:val="center"/>
        </w:trPr>
        <w:tc>
          <w:tcPr>
            <w:tcW w:w="1134" w:type="dxa"/>
            <w:vMerge w:val="continue"/>
            <w:vAlign w:val="center"/>
          </w:tcPr>
          <w:p>
            <w:pPr>
              <w:widowControl/>
              <w:jc w:val="center"/>
              <w:rPr>
                <w:rFonts w:ascii="Times New Roman" w:hAnsi="Times New Roman" w:eastAsia="宋体" w:cs="Times New Roman"/>
                <w:b/>
                <w:bCs/>
                <w:color w:val="000000"/>
                <w:kern w:val="0"/>
                <w:sz w:val="22"/>
              </w:rPr>
            </w:pPr>
          </w:p>
        </w:tc>
        <w:tc>
          <w:tcPr>
            <w:tcW w:w="1561"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xindaiF</w:t>
            </w:r>
          </w:p>
        </w:tc>
        <w:tc>
          <w:tcPr>
            <w:tcW w:w="1417"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信贷类F</w:t>
            </w:r>
          </w:p>
        </w:tc>
        <w:tc>
          <w:tcPr>
            <w:tcW w:w="1560"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连续变量</w:t>
            </w:r>
          </w:p>
        </w:tc>
        <w:tc>
          <w:tcPr>
            <w:tcW w:w="1701" w:type="dxa"/>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0-20</w:t>
            </w:r>
          </w:p>
        </w:tc>
        <w:tc>
          <w:tcPr>
            <w:tcW w:w="3402" w:type="dxa"/>
            <w:vMerge w:val="continue"/>
            <w:vAlign w:val="center"/>
          </w:tcPr>
          <w:p>
            <w:pPr>
              <w:widowControl/>
              <w:jc w:val="center"/>
              <w:rPr>
                <w:rFonts w:ascii="Times New Roman" w:hAnsi="Times New Roman" w:eastAsia="宋体" w:cs="Times New Roman"/>
                <w:color w:val="000000"/>
                <w:kern w:val="0"/>
                <w:sz w:val="22"/>
              </w:rPr>
            </w:pPr>
          </w:p>
        </w:tc>
      </w:tr>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Ex>
        <w:trPr>
          <w:trHeight w:val="280" w:hRule="atLeast"/>
          <w:jc w:val="center"/>
        </w:trPr>
        <w:tc>
          <w:tcPr>
            <w:tcW w:w="1134" w:type="dxa"/>
            <w:vMerge w:val="continue"/>
            <w:shd w:val="clear" w:color="auto" w:fill="FEF2CC" w:themeFill="accent4" w:themeFillTint="33"/>
            <w:vAlign w:val="center"/>
          </w:tcPr>
          <w:p>
            <w:pPr>
              <w:widowControl/>
              <w:jc w:val="center"/>
              <w:rPr>
                <w:rFonts w:ascii="Times New Roman" w:hAnsi="Times New Roman" w:eastAsia="宋体" w:cs="Times New Roman"/>
                <w:b/>
                <w:bCs/>
                <w:color w:val="000000"/>
                <w:kern w:val="0"/>
                <w:sz w:val="22"/>
              </w:rPr>
            </w:pPr>
          </w:p>
        </w:tc>
        <w:tc>
          <w:tcPr>
            <w:tcW w:w="1561"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xindaiS</w:t>
            </w:r>
          </w:p>
        </w:tc>
        <w:tc>
          <w:tcPr>
            <w:tcW w:w="1417"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信贷类S</w:t>
            </w:r>
          </w:p>
        </w:tc>
        <w:tc>
          <w:tcPr>
            <w:tcW w:w="1560"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连续变量</w:t>
            </w:r>
          </w:p>
        </w:tc>
        <w:tc>
          <w:tcPr>
            <w:tcW w:w="1701" w:type="dxa"/>
            <w:shd w:val="clear" w:color="auto" w:fill="FEF2CC" w:themeFill="accent4" w:themeFillTint="33"/>
            <w:noWrap/>
            <w:vAlign w:val="center"/>
          </w:tcPr>
          <w:p>
            <w:pPr>
              <w:widowControl/>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8.1-485178.3</w:t>
            </w:r>
          </w:p>
        </w:tc>
        <w:tc>
          <w:tcPr>
            <w:tcW w:w="3402" w:type="dxa"/>
            <w:vMerge w:val="continue"/>
            <w:shd w:val="clear" w:color="auto" w:fill="FEF2CC" w:themeFill="accent4" w:themeFillTint="33"/>
            <w:vAlign w:val="center"/>
          </w:tcPr>
          <w:p>
            <w:pPr>
              <w:widowControl/>
              <w:jc w:val="center"/>
              <w:rPr>
                <w:rFonts w:ascii="Times New Roman" w:hAnsi="Times New Roman" w:eastAsia="宋体" w:cs="Times New Roman"/>
                <w:color w:val="000000"/>
                <w:kern w:val="0"/>
                <w:sz w:val="22"/>
              </w:rPr>
            </w:pPr>
          </w:p>
        </w:tc>
      </w:tr>
    </w:tbl>
    <w:p>
      <w:pPr>
        <w:ind w:firstLine="420"/>
        <w:rPr>
          <w:rFonts w:ascii="Times New Roman" w:hAnsi="Times New Roman" w:eastAsia="宋体" w:cs="Times New Roman"/>
          <w:sz w:val="24"/>
          <w:szCs w:val="28"/>
        </w:rPr>
      </w:pPr>
      <w:r>
        <w:rPr>
          <w:rFonts w:ascii="Times New Roman" w:hAnsi="Times New Roman" w:eastAsia="宋体" w:cs="Times New Roman"/>
          <w:sz w:val="24"/>
          <w:szCs w:val="28"/>
        </w:rPr>
        <w:t>在营销领域，RFM模型是用来衡量客户的价值和客户的创利能力的重要工具和手段。这个模型通过一个客户的近期购买行为、购买的总体频率以及花了多少钱三项指标来描述该客户的综合价值，具体如下：</w:t>
      </w:r>
    </w:p>
    <w:p>
      <w:pPr>
        <w:ind w:left="424" w:leftChars="202"/>
        <w:rPr>
          <w:rFonts w:ascii="Times New Roman" w:hAnsi="Times New Roman" w:eastAsia="宋体" w:cs="Times New Roman"/>
          <w:sz w:val="24"/>
          <w:szCs w:val="28"/>
        </w:rPr>
      </w:pPr>
      <w:r>
        <w:rPr>
          <w:rFonts w:ascii="Times New Roman" w:hAnsi="Times New Roman" w:eastAsia="宋体" w:cs="Times New Roman"/>
          <w:sz w:val="24"/>
          <w:szCs w:val="28"/>
        </w:rPr>
        <w:t>（1）</w:t>
      </w:r>
      <w:r>
        <w:rPr>
          <w:rFonts w:ascii="Times New Roman" w:hAnsi="Times New Roman" w:eastAsia="宋体" w:cs="Times New Roman"/>
          <w:b/>
          <w:bCs/>
          <w:sz w:val="24"/>
          <w:szCs w:val="28"/>
        </w:rPr>
        <w:t>R（Recency）</w:t>
      </w:r>
      <w:r>
        <w:rPr>
          <w:rFonts w:ascii="Times New Roman" w:hAnsi="Times New Roman" w:eastAsia="宋体" w:cs="Times New Roman"/>
          <w:sz w:val="24"/>
          <w:szCs w:val="28"/>
        </w:rPr>
        <w:t>，最近一次消费，指上一次购买的时间到现在的距离。理论上，上一次消费时间越近的用户应该是相对而言活跃的用户。</w:t>
      </w:r>
    </w:p>
    <w:p>
      <w:pPr>
        <w:ind w:left="424" w:leftChars="202"/>
        <w:rPr>
          <w:rFonts w:ascii="Times New Roman" w:hAnsi="Times New Roman" w:eastAsia="宋体" w:cs="Times New Roman"/>
          <w:sz w:val="24"/>
          <w:szCs w:val="28"/>
        </w:rPr>
      </w:pPr>
      <w:r>
        <w:rPr>
          <w:rFonts w:ascii="Times New Roman" w:hAnsi="Times New Roman" w:eastAsia="宋体" w:cs="Times New Roman"/>
          <w:sz w:val="24"/>
          <w:szCs w:val="28"/>
        </w:rPr>
        <w:t>（2）</w:t>
      </w:r>
      <w:r>
        <w:rPr>
          <w:rFonts w:ascii="Times New Roman" w:hAnsi="Times New Roman" w:eastAsia="宋体" w:cs="Times New Roman"/>
          <w:b/>
          <w:bCs/>
          <w:sz w:val="24"/>
          <w:szCs w:val="28"/>
        </w:rPr>
        <w:t>F（Frequency）</w:t>
      </w:r>
      <w:r>
        <w:rPr>
          <w:rFonts w:ascii="Times New Roman" w:hAnsi="Times New Roman" w:eastAsia="宋体" w:cs="Times New Roman"/>
          <w:sz w:val="24"/>
          <w:szCs w:val="28"/>
        </w:rPr>
        <w:t>，消费频率，即用户在限定的期间内产生购买的总次数。产生购买越频繁的用户，忠诚度越高。</w:t>
      </w:r>
    </w:p>
    <w:p>
      <w:pPr>
        <w:ind w:left="424" w:leftChars="202"/>
        <w:rPr>
          <w:rFonts w:ascii="Times New Roman" w:hAnsi="Times New Roman" w:eastAsia="宋体" w:cs="Times New Roman"/>
          <w:sz w:val="24"/>
          <w:szCs w:val="28"/>
        </w:rPr>
      </w:pPr>
      <w:r>
        <w:rPr>
          <w:rFonts w:ascii="Times New Roman" w:hAnsi="Times New Roman" w:eastAsia="宋体" w:cs="Times New Roman"/>
          <w:sz w:val="24"/>
          <w:szCs w:val="28"/>
        </w:rPr>
        <w:t>（3）</w:t>
      </w:r>
      <w:r>
        <w:rPr>
          <w:rFonts w:ascii="Times New Roman" w:hAnsi="Times New Roman" w:eastAsia="宋体" w:cs="Times New Roman"/>
          <w:b/>
          <w:bCs/>
          <w:sz w:val="24"/>
          <w:szCs w:val="28"/>
        </w:rPr>
        <w:t>M（Monetary）</w:t>
      </w:r>
      <w:r>
        <w:rPr>
          <w:rFonts w:ascii="Times New Roman" w:hAnsi="Times New Roman" w:eastAsia="宋体" w:cs="Times New Roman"/>
          <w:sz w:val="24"/>
          <w:szCs w:val="28"/>
        </w:rPr>
        <w:t>，某个用户所有消费金额的平均值。</w:t>
      </w:r>
    </w:p>
    <w:p>
      <w:pPr>
        <w:ind w:left="424" w:leftChars="202"/>
        <w:rPr>
          <w:rFonts w:ascii="Times New Roman" w:hAnsi="Times New Roman" w:eastAsia="宋体" w:cs="Times New Roman"/>
          <w:sz w:val="24"/>
          <w:szCs w:val="28"/>
        </w:rPr>
      </w:pPr>
      <w:r>
        <w:rPr>
          <w:rFonts w:hint="eastAsia" w:ascii="Times New Roman" w:hAnsi="Times New Roman" w:eastAsia="宋体" w:cs="Times New Roman"/>
          <w:sz w:val="24"/>
          <w:szCs w:val="28"/>
        </w:rPr>
        <w:t>（4）由于这三个指标并不能够衡量用户产生行为的波动性，所以我们增加一个指标</w:t>
      </w:r>
      <w:r>
        <w:rPr>
          <w:rFonts w:ascii="Times New Roman" w:hAnsi="Times New Roman" w:eastAsia="宋体" w:cs="Times New Roman"/>
          <w:b/>
          <w:bCs/>
          <w:sz w:val="24"/>
          <w:szCs w:val="28"/>
        </w:rPr>
        <w:t>S（Standard Deviation）</w:t>
      </w:r>
      <w:r>
        <w:rPr>
          <w:rFonts w:ascii="Times New Roman" w:hAnsi="Times New Roman" w:eastAsia="宋体" w:cs="Times New Roman"/>
          <w:sz w:val="24"/>
          <w:szCs w:val="28"/>
        </w:rPr>
        <w:t>来衡量用户行为的波动性。</w:t>
      </w:r>
    </w:p>
    <w:p>
      <w:pPr>
        <w:ind w:firstLine="420"/>
        <w:rPr>
          <w:rFonts w:ascii="Times New Roman" w:hAnsi="Times New Roman" w:eastAsia="宋体" w:cs="Times New Roman"/>
          <w:sz w:val="24"/>
          <w:szCs w:val="28"/>
        </w:rPr>
      </w:pPr>
    </w:p>
    <w:p>
      <w:pPr>
        <w:ind w:firstLine="420"/>
        <w:rPr>
          <w:rFonts w:ascii="Times New Roman" w:hAnsi="Times New Roman" w:eastAsia="宋体" w:cs="Times New Roman"/>
          <w:sz w:val="24"/>
          <w:szCs w:val="28"/>
        </w:rPr>
      </w:pPr>
      <w:r>
        <w:rPr>
          <w:rFonts w:hint="eastAsia" w:ascii="Times New Roman" w:hAnsi="Times New Roman" w:eastAsia="宋体" w:cs="Times New Roman"/>
          <w:sz w:val="24"/>
          <w:szCs w:val="28"/>
        </w:rPr>
        <w:t>举例说明：对于购买游戏点卡类行为，我们可以定义</w:t>
      </w:r>
      <w:r>
        <w:rPr>
          <w:rFonts w:ascii="Times New Roman" w:hAnsi="Times New Roman" w:eastAsia="宋体" w:cs="Times New Roman"/>
          <w:sz w:val="24"/>
          <w:szCs w:val="28"/>
        </w:rPr>
        <w:t>R为用户最近一次购买游戏点卡距离数据提取时间的时间间隔，F定义为一年内用户购买游戏点卡的次数，M定义为一年内用户每次购买游戏点卡的平均金额，S定义为用户每次购买游戏点卡金额的标准差。我们将所有变量记作类别名称加指标简称的形式，例如</w:t>
      </w:r>
      <w:r>
        <w:rPr>
          <w:rFonts w:ascii="Times New Roman" w:hAnsi="Times New Roman" w:eastAsia="宋体" w:cs="Times New Roman"/>
          <w:b/>
          <w:bCs/>
          <w:sz w:val="24"/>
          <w:szCs w:val="28"/>
          <w:u w:val="single"/>
        </w:rPr>
        <w:t>游戏R</w:t>
      </w:r>
      <w:r>
        <w:rPr>
          <w:rFonts w:ascii="Times New Roman" w:hAnsi="Times New Roman" w:eastAsia="宋体" w:cs="Times New Roman"/>
          <w:sz w:val="24"/>
          <w:szCs w:val="28"/>
        </w:rPr>
        <w:t>，表示</w:t>
      </w:r>
      <w:r>
        <w:rPr>
          <w:rFonts w:ascii="Times New Roman" w:hAnsi="Times New Roman" w:eastAsia="宋体" w:cs="Times New Roman"/>
          <w:b/>
          <w:bCs/>
          <w:sz w:val="24"/>
          <w:szCs w:val="28"/>
          <w:u w:val="single"/>
        </w:rPr>
        <w:t>游戏类的Recency</w:t>
      </w:r>
      <w:r>
        <w:rPr>
          <w:rFonts w:ascii="Times New Roman" w:hAnsi="Times New Roman" w:eastAsia="宋体" w:cs="Times New Roman"/>
          <w:sz w:val="24"/>
          <w:szCs w:val="28"/>
        </w:rPr>
        <w:t>。</w:t>
      </w:r>
    </w:p>
    <w:p>
      <w:pPr>
        <w:ind w:firstLine="420"/>
        <w:rPr>
          <w:rFonts w:ascii="Times New Roman" w:hAnsi="Times New Roman" w:eastAsia="宋体" w:cs="Times New Roman"/>
          <w:sz w:val="24"/>
          <w:szCs w:val="28"/>
        </w:rPr>
      </w:pPr>
    </w:p>
    <w:p>
      <w:pPr>
        <w:ind w:firstLine="420"/>
        <w:rPr>
          <w:rFonts w:ascii="Times New Roman" w:hAnsi="Times New Roman" w:eastAsia="宋体" w:cs="Times New Roman"/>
          <w:sz w:val="24"/>
          <w:szCs w:val="28"/>
        </w:rPr>
      </w:pPr>
      <w:r>
        <w:rPr>
          <w:rFonts w:hint="eastAsia" w:ascii="Times New Roman" w:hAnsi="Times New Roman" w:eastAsia="宋体" w:cs="Times New Roman"/>
          <w:sz w:val="24"/>
          <w:szCs w:val="28"/>
        </w:rPr>
        <w:t>用户行为的分类通过银行卡信息表，以及商户分类信息表</w:t>
      </w:r>
      <w:r>
        <w:rPr>
          <w:rFonts w:hint="default" w:ascii="Times New Roman" w:hAnsi="Times New Roman" w:eastAsia="宋体" w:cs="Times New Roman"/>
          <w:sz w:val="24"/>
          <w:szCs w:val="28"/>
        </w:rPr>
        <w:t>划分</w:t>
      </w:r>
      <w:r>
        <w:rPr>
          <w:rFonts w:hint="eastAsia" w:ascii="Times New Roman" w:hAnsi="Times New Roman" w:eastAsia="宋体" w:cs="Times New Roman"/>
          <w:sz w:val="24"/>
          <w:szCs w:val="28"/>
        </w:rPr>
        <w:t>，根据业务场景，我们提取了以下类别，每个类别都对应着以上我们已经定义好的</w:t>
      </w:r>
      <w:r>
        <w:rPr>
          <w:rFonts w:ascii="Times New Roman" w:hAnsi="Times New Roman" w:eastAsia="宋体" w:cs="Times New Roman"/>
          <w:sz w:val="24"/>
          <w:szCs w:val="28"/>
        </w:rPr>
        <w:t>RFMS四个指标。类别包括：</w:t>
      </w:r>
    </w:p>
    <w:p>
      <w:pPr>
        <w:ind w:firstLine="420"/>
        <w:rPr>
          <w:rFonts w:ascii="Times New Roman" w:hAnsi="Times New Roman" w:eastAsia="宋体" w:cs="Times New Roman"/>
          <w:sz w:val="24"/>
          <w:szCs w:val="28"/>
        </w:rPr>
      </w:pPr>
      <w:r>
        <w:rPr>
          <w:rFonts w:hint="eastAsia" w:ascii="Times New Roman" w:hAnsi="Times New Roman" w:eastAsia="宋体" w:cs="Times New Roman"/>
          <w:sz w:val="24"/>
          <w:szCs w:val="28"/>
        </w:rPr>
        <w:t>（</w:t>
      </w:r>
      <w:r>
        <w:rPr>
          <w:rFonts w:ascii="Times New Roman" w:hAnsi="Times New Roman" w:eastAsia="宋体" w:cs="Times New Roman"/>
          <w:sz w:val="24"/>
          <w:szCs w:val="28"/>
        </w:rPr>
        <w:t>1）借记类：刻画用户使用储蓄卡的交易行为。不同的用户习惯不同，采用储蓄卡和信用卡的倾向也可能不同。</w:t>
      </w:r>
    </w:p>
    <w:p>
      <w:pPr>
        <w:ind w:firstLine="420"/>
        <w:rPr>
          <w:rFonts w:ascii="Times New Roman" w:hAnsi="Times New Roman" w:eastAsia="宋体" w:cs="Times New Roman"/>
          <w:sz w:val="24"/>
          <w:szCs w:val="28"/>
        </w:rPr>
      </w:pPr>
      <w:r>
        <w:rPr>
          <w:rFonts w:hint="eastAsia" w:ascii="Times New Roman" w:hAnsi="Times New Roman" w:eastAsia="宋体" w:cs="Times New Roman"/>
          <w:sz w:val="24"/>
          <w:szCs w:val="28"/>
        </w:rPr>
        <w:t>（</w:t>
      </w:r>
      <w:r>
        <w:rPr>
          <w:rFonts w:ascii="Times New Roman" w:hAnsi="Times New Roman" w:eastAsia="宋体" w:cs="Times New Roman"/>
          <w:sz w:val="24"/>
          <w:szCs w:val="28"/>
        </w:rPr>
        <w:t>2）消费类：刻画用户的日常消费行为。日常消费行为的金额以及频次不同，用户的还款能力可能不同。</w:t>
      </w:r>
    </w:p>
    <w:p>
      <w:pPr>
        <w:ind w:firstLine="420"/>
        <w:rPr>
          <w:rFonts w:ascii="Times New Roman" w:hAnsi="Times New Roman" w:eastAsia="宋体" w:cs="Times New Roman"/>
          <w:sz w:val="24"/>
          <w:szCs w:val="28"/>
        </w:rPr>
      </w:pPr>
      <w:r>
        <w:rPr>
          <w:rFonts w:hint="eastAsia" w:ascii="Times New Roman" w:hAnsi="Times New Roman" w:eastAsia="宋体" w:cs="Times New Roman"/>
          <w:sz w:val="24"/>
          <w:szCs w:val="28"/>
        </w:rPr>
        <w:t>（</w:t>
      </w:r>
      <w:r>
        <w:rPr>
          <w:rFonts w:ascii="Times New Roman" w:hAnsi="Times New Roman" w:eastAsia="宋体" w:cs="Times New Roman"/>
          <w:sz w:val="24"/>
          <w:szCs w:val="28"/>
        </w:rPr>
        <w:t>3）信贷类：刻画用户之前的小额贷款类行为。用户之前如果有其他消费贷款类行为可能已经习惯进行消费贷款，从而可能具备更良好的信用状况。</w:t>
      </w:r>
    </w:p>
    <w:p>
      <w:pPr>
        <w:ind w:firstLine="420"/>
        <w:rPr>
          <w:rFonts w:ascii="Times New Roman" w:hAnsi="Times New Roman" w:eastAsia="宋体" w:cs="Times New Roman"/>
          <w:sz w:val="24"/>
          <w:szCs w:val="28"/>
        </w:rPr>
      </w:pPr>
      <w:r>
        <w:rPr>
          <w:rFonts w:hint="eastAsia" w:ascii="Times New Roman" w:hAnsi="Times New Roman" w:eastAsia="宋体" w:cs="Times New Roman"/>
          <w:sz w:val="24"/>
          <w:szCs w:val="28"/>
        </w:rPr>
        <w:t>（</w:t>
      </w:r>
      <w:r>
        <w:rPr>
          <w:rFonts w:ascii="Times New Roman" w:hAnsi="Times New Roman" w:eastAsia="宋体" w:cs="Times New Roman"/>
          <w:sz w:val="24"/>
          <w:szCs w:val="28"/>
        </w:rPr>
        <w:t>4）转账类：刻画用户的转账行为。经常通过熊小贷APP转账的用户可能与不转账的用户行为不同。</w:t>
      </w:r>
    </w:p>
    <w:p>
      <w:pPr>
        <w:ind w:firstLine="420"/>
        <w:rPr>
          <w:rFonts w:ascii="Times New Roman" w:hAnsi="Times New Roman" w:eastAsia="宋体" w:cs="Times New Roman"/>
          <w:sz w:val="24"/>
          <w:szCs w:val="28"/>
        </w:rPr>
      </w:pPr>
      <w:r>
        <w:rPr>
          <w:rFonts w:hint="eastAsia" w:ascii="Times New Roman" w:hAnsi="Times New Roman" w:eastAsia="宋体" w:cs="Times New Roman"/>
          <w:sz w:val="24"/>
          <w:szCs w:val="28"/>
        </w:rPr>
        <w:t>（</w:t>
      </w:r>
      <w:r>
        <w:rPr>
          <w:rFonts w:ascii="Times New Roman" w:hAnsi="Times New Roman" w:eastAsia="宋体" w:cs="Times New Roman"/>
          <w:sz w:val="24"/>
          <w:szCs w:val="28"/>
        </w:rPr>
        <w:t>5）话费类：刻画用户的话费充值交易行为。话费充值是否规律与充值金额多少都可能意味着用户群体不同。</w:t>
      </w:r>
    </w:p>
    <w:p>
      <w:pPr>
        <w:ind w:firstLine="420"/>
        <w:rPr>
          <w:rFonts w:ascii="Times New Roman" w:hAnsi="Times New Roman" w:eastAsia="宋体" w:cs="Times New Roman"/>
          <w:sz w:val="24"/>
          <w:szCs w:val="28"/>
        </w:rPr>
      </w:pPr>
      <w:r>
        <w:rPr>
          <w:rFonts w:hint="eastAsia" w:ascii="Times New Roman" w:hAnsi="Times New Roman" w:eastAsia="宋体" w:cs="Times New Roman"/>
          <w:sz w:val="24"/>
          <w:szCs w:val="28"/>
        </w:rPr>
        <w:t>（</w:t>
      </w:r>
      <w:r>
        <w:rPr>
          <w:rFonts w:ascii="Times New Roman" w:hAnsi="Times New Roman" w:eastAsia="宋体" w:cs="Times New Roman"/>
          <w:sz w:val="24"/>
          <w:szCs w:val="28"/>
        </w:rPr>
        <w:t>6）公缴类：刻画用户交水，电，煤气费等交易行为。公缴费用的多少与是否规律也可能说明用户群体的不同。</w:t>
      </w:r>
    </w:p>
    <w:p>
      <w:pPr>
        <w:ind w:firstLine="420"/>
        <w:rPr>
          <w:rFonts w:ascii="Times New Roman" w:hAnsi="Times New Roman" w:eastAsia="宋体" w:cs="Times New Roman"/>
          <w:sz w:val="24"/>
          <w:szCs w:val="28"/>
        </w:rPr>
      </w:pPr>
      <w:r>
        <w:rPr>
          <w:rFonts w:hint="eastAsia" w:ascii="Times New Roman" w:hAnsi="Times New Roman" w:eastAsia="宋体" w:cs="Times New Roman"/>
          <w:sz w:val="24"/>
          <w:szCs w:val="28"/>
        </w:rPr>
        <w:t>（</w:t>
      </w:r>
      <w:r>
        <w:rPr>
          <w:rFonts w:ascii="Times New Roman" w:hAnsi="Times New Roman" w:eastAsia="宋体" w:cs="Times New Roman"/>
          <w:sz w:val="24"/>
          <w:szCs w:val="28"/>
        </w:rPr>
        <w:t>7）游戏类：刻画用户购买游戏点卡的行为。经常玩游戏的用户群体可能与不玩游戏的人不同。</w:t>
      </w:r>
    </w:p>
    <w:p>
      <w:pPr>
        <w:ind w:firstLine="420"/>
        <w:rPr>
          <w:rFonts w:ascii="Times New Roman" w:hAnsi="Times New Roman" w:eastAsia="宋体" w:cs="Times New Roman"/>
          <w:sz w:val="24"/>
          <w:szCs w:val="28"/>
        </w:rPr>
      </w:pPr>
      <w:r>
        <w:rPr>
          <w:rFonts w:hint="eastAsia" w:ascii="Times New Roman" w:hAnsi="Times New Roman" w:eastAsia="宋体" w:cs="Times New Roman"/>
          <w:sz w:val="24"/>
          <w:szCs w:val="28"/>
        </w:rPr>
        <w:t>（</w:t>
      </w:r>
      <w:r>
        <w:rPr>
          <w:rFonts w:ascii="Times New Roman" w:hAnsi="Times New Roman" w:eastAsia="宋体" w:cs="Times New Roman"/>
          <w:sz w:val="24"/>
          <w:szCs w:val="28"/>
        </w:rPr>
        <w:t>8，9）四大行卡类以及中型银行卡类：四大行包括中国银行，中国农业银行，中国工商银行，中国建设银行，中型银行包括招商银行，浦发银行，兴业银行，平安银行等。这个指标的设定有以下两方面原因：a. 不同公司的工资卡不同，小型创业公司一般采用中型银行的银行卡；b. 四大行的信用卡发放较为保守，所以能够申请到四大行信用卡的人可能和采用其他银行信用卡的用户群体不同。</w:t>
      </w:r>
    </w:p>
    <w:p>
      <w:pPr>
        <w:ind w:firstLine="420"/>
        <w:rPr>
          <w:rFonts w:ascii="Times New Roman" w:hAnsi="Times New Roman" w:eastAsia="宋体" w:cs="Times New Roman"/>
          <w:sz w:val="24"/>
          <w:szCs w:val="28"/>
        </w:rPr>
      </w:pPr>
      <w:r>
        <w:rPr>
          <w:rFonts w:hint="eastAsia" w:ascii="Times New Roman" w:hAnsi="Times New Roman" w:eastAsia="宋体" w:cs="Times New Roman"/>
          <w:sz w:val="24"/>
          <w:szCs w:val="28"/>
        </w:rPr>
        <w:t>（</w:t>
      </w:r>
      <w:r>
        <w:rPr>
          <w:rFonts w:ascii="Times New Roman" w:hAnsi="Times New Roman" w:eastAsia="宋体" w:cs="Times New Roman"/>
          <w:sz w:val="24"/>
          <w:szCs w:val="28"/>
        </w:rPr>
        <w:t>10）白金及金卡类：通过卡标首可以对应到银行卡是属于哪家银行的哪种类型的卡，例如招商银行的金葵花卡。我们搜索整理了相应银行的金卡和白金卡卡种名称，并对应到每一个用户。我们初步认为，拥有白金卡和金卡的用户具备更高的还款能力，所以用户群体不同。</w:t>
      </w:r>
    </w:p>
    <w:p>
      <w:pPr>
        <w:ind w:firstLine="420"/>
        <w:rPr>
          <w:rFonts w:ascii="Times New Roman" w:hAnsi="Times New Roman" w:eastAsia="宋体" w:cs="Times New Roman"/>
          <w:sz w:val="24"/>
          <w:szCs w:val="28"/>
        </w:rPr>
      </w:pPr>
    </w:p>
    <w:p>
      <w:pPr>
        <w:rPr>
          <w:rFonts w:ascii="Times New Roman" w:hAnsi="Times New Roman" w:eastAsia="宋体" w:cs="Times New Roman"/>
          <w:b/>
          <w:bCs/>
          <w:sz w:val="28"/>
          <w:szCs w:val="32"/>
        </w:rPr>
      </w:pPr>
      <w:r>
        <w:rPr>
          <w:rFonts w:hint="eastAsia" w:ascii="Times New Roman" w:hAnsi="Times New Roman" w:eastAsia="宋体" w:cs="Times New Roman"/>
          <w:b/>
          <w:bCs/>
          <w:sz w:val="28"/>
          <w:szCs w:val="32"/>
        </w:rPr>
        <w:t>分析任务：</w:t>
      </w: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1</w:t>
      </w:r>
      <w:r>
        <w:rPr>
          <w:rFonts w:ascii="Times New Roman" w:hAnsi="Times New Roman" w:eastAsia="宋体" w:cs="Times New Roman"/>
          <w:sz w:val="24"/>
          <w:szCs w:val="28"/>
        </w:rPr>
        <w:t xml:space="preserve">. </w:t>
      </w:r>
      <w:r>
        <w:rPr>
          <w:rFonts w:hint="eastAsia" w:ascii="Times New Roman" w:hAnsi="Times New Roman" w:eastAsia="宋体" w:cs="Times New Roman"/>
          <w:sz w:val="24"/>
          <w:szCs w:val="28"/>
        </w:rPr>
        <w:t>读入数据并了解各个自变量的含义；</w:t>
      </w: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2</w:t>
      </w:r>
      <w:r>
        <w:rPr>
          <w:rFonts w:ascii="Times New Roman" w:hAnsi="Times New Roman" w:eastAsia="宋体" w:cs="Times New Roman"/>
          <w:sz w:val="24"/>
          <w:szCs w:val="28"/>
        </w:rPr>
        <w:t xml:space="preserve">. </w:t>
      </w:r>
      <w:r>
        <w:rPr>
          <w:rFonts w:hint="eastAsia" w:ascii="Times New Roman" w:hAnsi="Times New Roman" w:eastAsia="宋体" w:cs="Times New Roman"/>
          <w:sz w:val="24"/>
          <w:szCs w:val="28"/>
        </w:rPr>
        <w:t>对变量交易笔数和所有用户行为均值</w:t>
      </w:r>
      <w:r>
        <w:rPr>
          <w:rFonts w:ascii="Times New Roman" w:hAnsi="Times New Roman" w:eastAsia="宋体" w:cs="Times New Roman"/>
          <w:sz w:val="24"/>
          <w:szCs w:val="28"/>
        </w:rPr>
        <w:t>分别绘制违约组和非违约组的对比箱线图，并分析是否违约与这些变量之间的关系</w:t>
      </w:r>
      <w:r>
        <w:rPr>
          <w:rFonts w:hint="eastAsia" w:ascii="Times New Roman" w:hAnsi="Times New Roman" w:eastAsia="宋体" w:cs="Times New Roman"/>
          <w:sz w:val="24"/>
          <w:szCs w:val="28"/>
        </w:rPr>
        <w:t>，给出解读；</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 xml:space="preserve">3. </w:t>
      </w:r>
      <w:r>
        <w:rPr>
          <w:rFonts w:hint="eastAsia" w:ascii="Times New Roman" w:hAnsi="Times New Roman" w:eastAsia="宋体" w:cs="Times New Roman"/>
          <w:sz w:val="24"/>
          <w:szCs w:val="28"/>
        </w:rPr>
        <w:t>按照7</w:t>
      </w:r>
      <w:r>
        <w:rPr>
          <w:rFonts w:ascii="Times New Roman" w:hAnsi="Times New Roman" w:eastAsia="宋体" w:cs="Times New Roman"/>
          <w:sz w:val="24"/>
          <w:szCs w:val="28"/>
        </w:rPr>
        <w:t>:3</w:t>
      </w:r>
      <w:r>
        <w:rPr>
          <w:rFonts w:hint="default" w:ascii="Times New Roman" w:hAnsi="Times New Roman" w:eastAsia="宋体" w:cs="Times New Roman"/>
          <w:sz w:val="24"/>
          <w:szCs w:val="28"/>
        </w:rPr>
        <w:t>的比例</w:t>
      </w:r>
      <w:r>
        <w:rPr>
          <w:rFonts w:hint="eastAsia" w:ascii="Times New Roman" w:hAnsi="Times New Roman" w:eastAsia="宋体" w:cs="Times New Roman"/>
          <w:sz w:val="24"/>
          <w:szCs w:val="28"/>
        </w:rPr>
        <w:t>划分训练集和测试集，</w:t>
      </w:r>
      <w:r>
        <w:rPr>
          <w:rFonts w:ascii="Times New Roman" w:hAnsi="Times New Roman" w:eastAsia="宋体" w:cs="Times New Roman"/>
          <w:sz w:val="24"/>
          <w:szCs w:val="28"/>
        </w:rPr>
        <w:t>用决策树模型</w:t>
      </w:r>
      <w:r>
        <w:rPr>
          <w:rFonts w:hint="default" w:ascii="Times New Roman" w:hAnsi="Times New Roman" w:eastAsia="宋体" w:cs="Times New Roman"/>
          <w:sz w:val="24"/>
          <w:szCs w:val="28"/>
        </w:rPr>
        <w:t>在训练集上</w:t>
      </w:r>
      <w:r>
        <w:rPr>
          <w:rFonts w:ascii="Times New Roman" w:hAnsi="Times New Roman" w:eastAsia="宋体" w:cs="Times New Roman"/>
          <w:sz w:val="24"/>
          <w:szCs w:val="28"/>
        </w:rPr>
        <w:t>进行建模（提示：</w:t>
      </w:r>
      <w:r>
        <w:rPr>
          <w:rFonts w:hint="eastAsia" w:ascii="Times New Roman" w:hAnsi="Times New Roman" w:eastAsia="宋体" w:cs="Times New Roman"/>
          <w:sz w:val="24"/>
          <w:szCs w:val="28"/>
        </w:rPr>
        <w:t>划分数据集时设定随机种子=</w:t>
      </w:r>
      <w:r>
        <w:rPr>
          <w:rFonts w:ascii="Times New Roman" w:hAnsi="Times New Roman" w:eastAsia="宋体" w:cs="Times New Roman"/>
          <w:sz w:val="24"/>
          <w:szCs w:val="28"/>
        </w:rPr>
        <w:t>1234</w:t>
      </w:r>
      <w:r>
        <w:rPr>
          <w:rFonts w:hint="eastAsia" w:ascii="Times New Roman" w:hAnsi="Times New Roman" w:eastAsia="宋体" w:cs="Times New Roman"/>
          <w:sz w:val="24"/>
          <w:szCs w:val="28"/>
        </w:rPr>
        <w:t>；</w:t>
      </w:r>
      <w:r>
        <w:rPr>
          <w:rFonts w:ascii="Times New Roman" w:hAnsi="Times New Roman" w:eastAsia="宋体" w:cs="Times New Roman"/>
          <w:sz w:val="24"/>
          <w:szCs w:val="28"/>
        </w:rPr>
        <w:t>在R中可使用rpart函数，设置为默认参数）；在测试集上进行测试</w:t>
      </w:r>
      <w:r>
        <w:rPr>
          <w:rFonts w:hint="eastAsia" w:ascii="Times New Roman" w:hAnsi="Times New Roman" w:eastAsia="宋体" w:cs="Times New Roman"/>
          <w:sz w:val="24"/>
          <w:szCs w:val="28"/>
        </w:rPr>
        <w:t>，</w:t>
      </w:r>
      <w:r>
        <w:rPr>
          <w:rFonts w:ascii="Times New Roman" w:hAnsi="Times New Roman" w:eastAsia="宋体" w:cs="Times New Roman"/>
          <w:sz w:val="24"/>
          <w:szCs w:val="28"/>
        </w:rPr>
        <w:t>绘制ROC曲线，计算AUC值。</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4.</w:t>
      </w:r>
      <w:r>
        <w:rPr>
          <w:rFonts w:hint="eastAsia" w:ascii="Times New Roman" w:hAnsi="Times New Roman" w:eastAsia="宋体" w:cs="Times New Roman"/>
          <w:sz w:val="24"/>
          <w:szCs w:val="28"/>
        </w:rPr>
        <w:t xml:space="preserve"> </w:t>
      </w:r>
      <w:r>
        <w:rPr>
          <w:rFonts w:ascii="Times New Roman" w:hAnsi="Times New Roman" w:eastAsia="宋体" w:cs="Times New Roman"/>
          <w:sz w:val="24"/>
          <w:szCs w:val="28"/>
        </w:rPr>
        <w:t>画出</w:t>
      </w:r>
      <w:r>
        <w:rPr>
          <w:rFonts w:hint="default" w:ascii="Times New Roman" w:hAnsi="Times New Roman" w:eastAsia="宋体" w:cs="Times New Roman"/>
          <w:sz w:val="24"/>
          <w:szCs w:val="28"/>
        </w:rPr>
        <w:t>第3问得到的</w:t>
      </w:r>
      <w:bookmarkStart w:id="0" w:name="_GoBack"/>
      <w:bookmarkEnd w:id="0"/>
      <w:r>
        <w:rPr>
          <w:rFonts w:ascii="Times New Roman" w:hAnsi="Times New Roman" w:eastAsia="宋体" w:cs="Times New Roman"/>
          <w:sz w:val="24"/>
          <w:szCs w:val="28"/>
        </w:rPr>
        <w:t>决策树的图形，并进行解读。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A5F"/>
    <w:rsid w:val="000E39B8"/>
    <w:rsid w:val="00132FE4"/>
    <w:rsid w:val="00135A5F"/>
    <w:rsid w:val="0019293B"/>
    <w:rsid w:val="0020335C"/>
    <w:rsid w:val="00205AE3"/>
    <w:rsid w:val="002D60C5"/>
    <w:rsid w:val="002F33B1"/>
    <w:rsid w:val="00355EF6"/>
    <w:rsid w:val="004C74BA"/>
    <w:rsid w:val="00533851"/>
    <w:rsid w:val="005C2DA1"/>
    <w:rsid w:val="005D0AB3"/>
    <w:rsid w:val="00640428"/>
    <w:rsid w:val="00691E0A"/>
    <w:rsid w:val="006B07CC"/>
    <w:rsid w:val="00811662"/>
    <w:rsid w:val="0084727C"/>
    <w:rsid w:val="00AA55AB"/>
    <w:rsid w:val="00AE7AAE"/>
    <w:rsid w:val="00C10DEB"/>
    <w:rsid w:val="00D6764B"/>
    <w:rsid w:val="00E12321"/>
    <w:rsid w:val="00E73B29"/>
    <w:rsid w:val="00EA7227"/>
    <w:rsid w:val="00F47D06"/>
    <w:rsid w:val="00F524D6"/>
    <w:rsid w:val="00FA18E4"/>
    <w:rsid w:val="A5BC2244"/>
    <w:rsid w:val="FEBB942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customStyle="1" w:styleId="4">
    <w:name w:val="Grid Table 4 Accent 4"/>
    <w:basedOn w:val="3"/>
    <w:qFormat/>
    <w:uiPriority w:val="49"/>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color w:val="FFFFFF" w:themeColor="background1"/>
        <w14:textFill>
          <w14:solidFill>
            <w14:schemeClr w14:val="bg1"/>
          </w14:solidFill>
        </w14:textFill>
      </w:r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cPr>
        <w:tcBorders>
          <w:top w:val="double" w:color="FFC000" w:themeColor="accent4"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380</Words>
  <Characters>2171</Characters>
  <Lines>18</Lines>
  <Paragraphs>5</Paragraphs>
  <TotalTime>178</TotalTime>
  <ScaleCrop>false</ScaleCrop>
  <LinksUpToDate>false</LinksUpToDate>
  <CharactersWithSpaces>2546</CharactersWithSpaces>
  <Application>WPS Office_4.7.0.7523_F1E327BC-269C-435d-A152-05C5408002CA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2020-03-03T17:59:00Z</dcterms:created>
  <dc:creator>Ren Yimeng</dc:creator>
  <cp:lastModifiedBy>Yimeng Ren</cp:lastModifiedBy>
  <dcterms:modified xsi:type="dcterms:W3CDTF">2022-11-12T22:29:07Z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1033-4.7.0.7523</vt:lpwstr>
  </property>
  <property fmtid="{D5CDD505-2E9C-101B-9397-08002B2CF9AE}" pid="3" name="ICV">
    <vt:lpwstr>4AB88A3DC6517659F6A76F63F596CBB5</vt:lpwstr>
  </property>
</Properties>
</file>