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b/>
          <w:bCs/>
          <w:color w:val="000000"/>
          <w:sz w:val="36"/>
          <w:szCs w:val="36"/>
        </w:rPr>
        <w:t xml:space="preserve">补天：面向宿主智能体的版本约束经验复用及其多轮收益评估</w:t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24"/>
          <w:szCs w:val="24"/>
        </w:rPr>
        <w:t xml:space="preserve">Butian: Version-Constrained Experience Reuse for Host Agents</w:t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许伟｜独立研究者，中国｜盐城工学院工学学士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摘要—连续处理同类任务时，智能体可能重复取证，也可能复用失效规则。本文以真实生产记忆接口和同一确定性宿主求解器评估版本准入、来源回退、证据写回与持久化闭环。在三类合成契约任务上执行10个种子、12轮、7条件，共10080次执行。完整策略完成1440/1440题，相对精确索引基线增加4.51个百分点，种子聚类自助法95%区间为[3.68,5.35]；源读取从1375次降为253次，减少81.60%。去除版本检查产生133次旧规则错误；重启丢失经验增加120次源读取。完整策略逻辑操作数增加41.53%，本地平均耗时8.44 ms，没有时延优势。结果支持限定任务内的经验复用与连续性，不证明语言模型推理能力或权重进化。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关键词—智能体记忆；版本约束；经验复用；多轮实验；消融分析</w:t>
      </w:r>
    </w:p>
    <w:p>
      <w:pPr>
        <w:pStyle w:val="Heading2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作者与致谢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作者许伟，盐城工学院工学学士。本研究于毕业后独立开展，研究设计、实验执行、数据分析和论文撰写均由作者完成。感谢盐城工学院在学习期间提供的实验室环境、课程训练和知识培养，这些经历为本文研究提供了基础。本文观点、实验结果和结论由作者本人负责，不代表盐城工学院或任何相关实验室的立场。</w:t>
      </w:r>
    </w:p>
    <w:p>
      <w:pPr>
        <w:sectPr>
          <w:footerReference w:type="default" r:id="rId7"/>
          <w:pgSz w:w="11906" w:h="16838" w:orient="portrait"/>
          <w:pgMar w:top="1418" w:right="1134" w:bottom="1418" w:left="1134" w:header="708" w:footer="708" w:gutter="0"/>
          <w:pgNumType/>
          <w:cols w:num="1"/>
          <w:docGrid w:linePitch="360"/>
        </w:sectPr>
      </w:pP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I. 引言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仪器校准关系、数据字段映射与工具调用契约都可能被重复使用，也可能在版本升级后失效。经验机制必须兼顾后续复用和变化适配。RAG为外部知识利用提供基础路径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[1]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，长期记忆评估进一步强调知识更新与时间推理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[2]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。本文研究同一求解能力下，经验生命周期能否减少后续任务的重复来源访问，并在资料不可用时维持正确输出。先前24题档案扫描实验缺少精确索引对照及时间变化，不能单独回答这些问题。因此本文加入强索引基线、随机漂移、资料间歇不可用和真实服务重启，冻结首次答案后再进行反馈。全部方法使用同一个确定性宿主求解器，模型推理调用为零；结果的适用范围为记忆基础设施机制，不是开放域模型回答能力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II. 相关工作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MemoryBank讨论长期交互记忆的保存与更新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[3]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；LongMemEval将跨会话提取、知识更新和拒答纳入长期评估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[2]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。Reflexion借助任务反馈形成文字经验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[4]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，Voyager利用可扩展技能库支持持续探索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[5]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。本文共享经验服务后续任务的动机，但没有复现上述模型、数据集和自主反思过程，不能直接与其公开分数比较。本研究把经验限制为可执行契约规则，以分离规则获得、版本准入、资料可用性和宿主求解器能力。数据库写入不修改模型权重；经验积累不能直接称为参数训练或模型自进化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III. 方法与算法分析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A. 状态与准入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任务由实体d、目标版本v、新输入u及源可用性a组成；经验保存实体、版本、规则、来源事件和生命周期状态。完整策略调用ButianService.compose_context，宿主解析器只接纳唯一且完整的同实体、同版本规则。零匹配、冲突或字符预算截断触发精确源回退；无合法经验且源不可用时返回unknown。版本过滤属于实验宿主策略，生产compose_context仅提供候选与预算构造，不能把它描述为已内置版本正确性保证。写回实际调用append_event和MemoryStore.put，保留来源引用及版本父链。</w:t>
      </w:r>
    </w:p>
    <w:p>
      <w:pPr>
        <w:tabs>
          <w:tab w:val="center" w:pos="2293"/>
          <w:tab w:val="right" w:pos="4585"/>
        </w:tabs>
        <w:spacing w:after="120" w:before="120" w:line="240" w:lineRule="auto"/>
      </w:pPr>
      <w:r>
        <w:ptab w:alignment="center" w:relativeTo="margin" w:leader="none"/>
      </w:r>
      <m:oMath>
        <m:r>
          <m:t>A</m:t>
        </m:r>
        <m:r>
          <m:t>(</m:t>
        </m:r>
        <m:sSub>
          <m:sSubPr/>
          <m:e>
            <m:r>
              <m:t>x</m:t>
            </m:r>
          </m:e>
          <m:sub>
            <m:r>
              <m:t>t</m:t>
            </m:r>
          </m:sub>
        </m:sSub>
        <m:r>
          <m:t>,</m:t>
        </m:r>
        <m:sSub>
          <m:sSubPr/>
          <m:e>
            <m:r>
              <m:t>M</m:t>
            </m:r>
          </m:e>
          <m:sub>
            <m:r>
              <m:t>t</m:t>
            </m:r>
          </m:sub>
        </m:sSub>
        <m:r>
          <m:t>)</m:t>
        </m:r>
        <m:r>
          <m:t>=</m:t>
        </m:r>
        <m:r>
          <m:t>ein</m:t>
        </m:r>
        <m:sSub>
          <m:sSubPr/>
          <m:e>
            <m:r>
              <m:t>M</m:t>
            </m:r>
          </m:e>
          <m:sub>
            <m:r>
              <m:t>t</m:t>
            </m:r>
          </m:sub>
        </m:sSub>
        <m:r>
          <m:t>:d</m:t>
        </m:r>
        <m:r>
          <m:t>(</m:t>
        </m:r>
        <m:r>
          <m:t>e</m:t>
        </m:r>
        <m:r>
          <m:t>)</m:t>
        </m:r>
        <m:r>
          <m:t>=</m:t>
        </m:r>
        <m:sSub>
          <m:sSubPr/>
          <m:e>
            <m:r>
              <m:t>d</m:t>
            </m:r>
          </m:e>
          <m:sub>
            <m:r>
              <m:t>t</m:t>
            </m:r>
          </m:sub>
        </m:sSub>
        <m:r>
          <m:t>,</m:t>
        </m:r>
        <m:r>
          <m:t>v</m:t>
        </m:r>
        <m:r>
          <m:t>(</m:t>
        </m:r>
        <m:r>
          <m:t>e</m:t>
        </m:r>
        <m:r>
          <m:t>)</m:t>
        </m:r>
        <m:r>
          <m:t>=</m:t>
        </m:r>
        <m:sSub>
          <m:sSubPr/>
          <m:e>
            <m:r>
              <m:t>v</m:t>
            </m:r>
          </m:e>
          <m:sub>
            <m:r>
              <m:t>t</m:t>
            </m:r>
          </m:sub>
        </m:sSub>
      </m:oMath>
      <w:r>
        <w:ptab w:alignment="right" w:relativeTo="margin" w:leader="none"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(1)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B. 算法1：版本约束经验复用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①调用生产上下文接口召回；②解析唯一当前版本规则；③若缺失且源可用，精确读取源契约；④求解并冻结首次答案，否则记录unknown；⑤评测器评分后才提供反馈；⑥首次错误且源可用时重新取证；⑦只有实际读取源成功才提交经验；⑧指定轮次关闭服务并从同一路径重新打开。每轮输入重新生成，存储规则不包含当题答案。首次错误即使后来纠正仍计wrong，评测器不能把不可访问源的真值直接写入经验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C. 成本与正确性</w:t>
      </w:r>
    </w:p>
    <w:p>
      <w:pPr>
        <w:tabs>
          <w:tab w:val="center" w:pos="2293"/>
          <w:tab w:val="right" w:pos="4585"/>
        </w:tabs>
        <w:spacing w:after="120" w:before="120" w:line="240" w:lineRule="auto"/>
      </w:pPr>
      <w:r>
        <w:ptab w:alignment="center" w:relativeTo="margin" w:leader="none"/>
      </w:r>
      <m:oMath>
        <m:r>
          <m:t>C</m:t>
        </m:r>
        <m:r>
          <m:t>=</m:t>
        </m:r>
        <m:sSub>
          <m:sSubPr/>
          <m:e>
            <m:r>
              <m:t>c</m:t>
            </m:r>
          </m:e>
          <m:sub>
            <m:r>
              <m:t>s</m:t>
            </m:r>
          </m:sub>
        </m:sSub>
        <m:r>
          <m:t>R</m:t>
        </m:r>
        <m:r>
          <m:t>+</m:t>
        </m:r>
        <m:sSub>
          <m:sSubPr/>
          <m:e>
            <m:r>
              <m:t>c</m:t>
            </m:r>
          </m:e>
          <m:sub>
            <m:r>
              <m:t>q</m:t>
            </m:r>
          </m:sub>
        </m:sSub>
        <m:r>
          <m:t>Q</m:t>
        </m:r>
        <m:r>
          <m:t>+</m:t>
        </m:r>
        <m:sSub>
          <m:sSubPr/>
          <m:e>
            <m:r>
              <m:t>c</m:t>
            </m:r>
          </m:e>
          <m:sub>
            <m:r>
              <m:t>w</m:t>
            </m:r>
          </m:sub>
        </m:sSub>
        <m:r>
          <m:t>W</m:t>
        </m:r>
      </m:oMath>
      <w:r>
        <w:ptab w:alignment="right" w:relativeTo="margin" w:leader="none"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(2)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R、Q、W分别为来源读取、上下文查询和验证后逻辑提交。一次W包含事件追加及经验写入，不能等同于单条SQL或固定耗时。在无漂移且资料可用的n次任务中，索引方法每题一次读取；完整策略先取证一次并持续召回。</w:t>
      </w:r>
    </w:p>
    <w:p>
      <w:pPr>
        <w:tabs>
          <w:tab w:val="center" w:pos="2293"/>
          <w:tab w:val="right" w:pos="4585"/>
        </w:tabs>
        <w:spacing w:after="120" w:before="120" w:line="240" w:lineRule="auto"/>
      </w:pPr>
      <w:r>
        <w:ptab w:alignment="center" w:relativeTo="margin" w:leader="none"/>
      </w:r>
      <m:oMath>
        <m:sSub>
          <m:sSubPr/>
          <m:e>
            <m:r>
              <m:t>C</m:t>
            </m:r>
          </m:e>
          <m:sub>
            <m:r>
              <m:t>index</m:t>
            </m:r>
          </m:sub>
        </m:sSub>
        <m:r>
          <m:t>=</m:t>
        </m:r>
        <m:sSub>
          <m:sSubPr/>
          <m:e>
            <m:r>
              <m:t>nc</m:t>
            </m:r>
          </m:e>
          <m:sub>
            <m:r>
              <m:t>s</m:t>
            </m:r>
          </m:sub>
        </m:sSub>
        <m:r>
          <m:t>,</m:t>
        </m:r>
        <m:r>
          <m:t>quad</m:t>
        </m:r>
        <m:sSub>
          <m:sSubPr/>
          <m:e>
            <m:r>
              <m:t>C</m:t>
            </m:r>
          </m:e>
          <m:sub>
            <m:r>
              <m:t>full</m:t>
            </m:r>
          </m:sub>
        </m:sSub>
        <m:r>
          <m:t>=</m:t>
        </m:r>
        <m:sSub>
          <m:sSubPr/>
          <m:e>
            <m:r>
              <m:t>nc</m:t>
            </m:r>
          </m:e>
          <m:sub>
            <m:r>
              <m:t>q</m:t>
            </m:r>
          </m:sub>
        </m:sSub>
        <m:r>
          <m:t>+</m:t>
        </m:r>
        <m:sSub>
          <m:sSubPr/>
          <m:e>
            <m:r>
              <m:t>c</m:t>
            </m:r>
          </m:e>
          <m:sub>
            <m:r>
              <m:t>s</m:t>
            </m:r>
          </m:sub>
        </m:sSub>
        <m:r>
          <m:t>+</m:t>
        </m:r>
        <m:sSub>
          <m:sSubPr/>
          <m:e>
            <m:r>
              <m:t>c</m:t>
            </m:r>
          </m:e>
          <m:sub>
            <m:r>
              <m:t>w</m:t>
            </m:r>
          </m:sub>
        </m:sSub>
      </m:oMath>
      <w:r>
        <w:ptab w:alignment="right" w:relativeTo="margin" w:leader="none"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(3)</w:t>
      </w:r>
    </w:p>
    <w:p>
      <w:pPr>
        <w:tabs>
          <w:tab w:val="center" w:pos="2293"/>
          <w:tab w:val="right" w:pos="4585"/>
        </w:tabs>
        <w:spacing w:after="120" w:before="120" w:line="240" w:lineRule="auto"/>
      </w:pPr>
      <w:r>
        <w:ptab w:alignment="center" w:relativeTo="margin" w:leader="none"/>
      </w:r>
      <m:oMath>
        <m:sSub>
          <m:sSubPr/>
          <m:e>
            <m:r>
              <m:t>C</m:t>
            </m:r>
          </m:e>
          <m:sub>
            <m:r>
              <m:t>full</m:t>
            </m:r>
          </m:sub>
        </m:sSub>
        <m:sSub>
          <m:sSubPr/>
          <m:e>
            <m:r>
              <m:t>&lt;C</m:t>
            </m:r>
          </m:e>
          <m:sub>
            <m:r>
              <m:t>index</m:t>
            </m:r>
          </m:sub>
        </m:sSub>
        <m:r>
          <m:t>iff</m:t>
        </m:r>
        <m:r>
          <m:t>n</m:t>
        </m:r>
        <m:r>
          <m:t>(</m:t>
        </m:r>
        <m:sSub>
          <m:sSubPr/>
          <m:e>
            <m:r>
              <m:t>c</m:t>
            </m:r>
          </m:e>
          <m:sub>
            <m:r>
              <m:t>s</m:t>
            </m:r>
          </m:sub>
        </m:sSub>
        <m:r>
          <m:t>-</m:t>
        </m:r>
        <m:sSub>
          <m:sSubPr/>
          <m:e>
            <m:r>
              <m:t>c</m:t>
            </m:r>
          </m:e>
          <m:sub>
            <m:r>
              <m:t>q</m:t>
            </m:r>
          </m:sub>
        </m:sSub>
        <m:r>
          <m:t>)</m:t>
        </m:r>
        <m:sSub>
          <m:sSubPr/>
          <m:e>
            <m:r>
              <m:t>&gt;c</m:t>
            </m:r>
          </m:e>
          <m:sub>
            <m:r>
              <m:t>s</m:t>
            </m:r>
          </m:sub>
        </m:sSub>
        <m:r>
          <m:t>+</m:t>
        </m:r>
        <m:sSub>
          <m:sSubPr/>
          <m:e>
            <m:r>
              <m:t>c</m:t>
            </m:r>
          </m:e>
          <m:sub>
            <m:r>
              <m:t>w</m:t>
            </m:r>
          </m:sub>
        </m:sSub>
      </m:oMath>
      <w:r>
        <w:ptab w:alignment="right" w:relativeTo="margin" w:leader="none"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(4)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若源读取不比召回昂贵，重复次数增加不保证收益。有d次已检测变化时理想取证次数为1+d。条件正确性依赖源契约、版本标识、解析器、求解器与保存内容均正确：冷启动从当前源获得规则；归纳步只使用同版本经验或当前源，因此非unknown输出不引入旧版规则。版本未变但语义改变会破坏假设。生产召回为OR LIKE匹配且最多8候选，不能宣称向量索引对数复杂度；未索引匹配可保守记为O(ML)。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IV. 实验协议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主实验采用10个固定种子，每种子12实体、12轮，共1440个共享任务；7条件各自独立经验库，总计10080执行。三类任务分别是数值校准y=(raw−offset)/scale、版本字段选择及单位换算、生成版本端点与参数对象。工具对象不发送真实远程请求。每轮raw与payload变化。第1轮冷启动，2—4轮稳定复用；第5、9轮各实体独立以0.5概率语义漂移；第6、7轮以0.25概率来源不可用；第8轮正常关闭重开服务。条件顺序循环平衡，非完全随机盲测。先行5种子探索保留，协议声明探索先于主实验，不宣称无探索预注册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A. 条件与指标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B0-scan扫描全部档案；B0-index使用精确版本索引；B1-static只在首轮查源后写经验，以后不更新；B2-full为完整闭环；A-no-version取消版本准入；A-no-write不提交经验；A-no-persist重启时改用空目录，原库保留。首次correct、wrong、unknown互斥，unknown是未完成而非错误断言。统计同时报告R/Q/W、源和上下文字符量、本地端到端耗时。统计推断以种子为聚类单位，采用10000次配对bootstrap的百分位95%区间，不把相关轮次当独立样本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V. 结果与分析</w:t>
      </w:r>
    </w:p>
    <w:p>
      <w:pPr>
        <w:spacing w:after="60" w:before="200"/>
        <w:jc w:val="center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表 I 首次答案结果</w:t>
      </w:r>
    </w:p>
    <w:tbl>
      <w:tblPr>
        <w:tblW w:type="dxa" w:w="458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6"/>
        <w:gridCol w:w="1146"/>
        <w:gridCol w:w="1146"/>
        <w:gridCol w:w="1146"/>
      </w:tblGrid>
      <w:tr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条件</w:t>
            </w:r>
          </w:p>
        </w:tc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正确/1440</w:t>
            </w:r>
          </w:p>
        </w:tc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错误</w:t>
            </w:r>
          </w:p>
        </w:tc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未知</w:t>
            </w:r>
          </w:p>
        </w:tc>
      </w:tr>
      <w:tr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B0-scan</w:t>
            </w:r>
          </w:p>
        </w:tc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1375</w:t>
            </w:r>
          </w:p>
        </w:tc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65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B0-index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1375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65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B1-static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1400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40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B2-full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1440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无版本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1307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133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无写回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1375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65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无持久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1440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</w:tr>
    </w:tbl>
    <w:p>
      <w:pPr>
        <w:spacing w:after="0" w:before="200" w:line="20" w:lineRule="exact"/>
      </w:pP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完整策略相对索引基线增加65次完成，正确率差4.51个百分点，95%区间[3.68,5.35]。相对静态经验增加2.78个百分点，区间[2.08,3.47]；相对无版本检查增加9.24个百分点，区间[8.33,10.14]。正确率改善由本任务流中的断源和规则变化驱动，不能推广为所有任务的固定增益。第5、9轮共发生133次变化，无版本消融分别错误70和63次；完整策略在这两轮重新取证后恢复复用。</w:t>
      </w:r>
    </w:p>
    <w:p>
      <w:pPr>
        <w:spacing/>
        <w:jc w:val="center"/>
      </w:pPr>
      <w:r>
        <w:drawing>
          <wp:inline distT="0" distB="0" distL="0" distR="0">
            <wp:extent cx="2914650" cy="2276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图1 各轮首次正确率与资料读取；标出漂移和断源阶段。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索引基线在第6、7轮分别完成99/120与76/120题，静态经验分别完成108与92题，完整策略均120题。累计来源读取从1375降至253，减少81.60%。这个比例是汇总读取比，不等同于种子平均操作成本效应。第8轮失去持久经验的条件额外读取120次源；正常重开的完整策略保留规则。480条版本链审计均有效。</w:t>
      </w:r>
    </w:p>
    <w:p>
      <w:pPr>
        <w:spacing/>
        <w:jc w:val="center"/>
      </w:pPr>
      <w:r>
        <w:drawing>
          <wp:inline distT="0" distB="0" distL="0" distR="0">
            <wp:extent cx="291465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图2 跨轮累计来源访问及重启影响。</w:t>
      </w:r>
    </w:p>
    <w:p>
      <w:pPr>
        <w:spacing w:after="60" w:before="200"/>
        <w:jc w:val="center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表 II 逻辑操作分解</w:t>
      </w:r>
    </w:p>
    <w:tbl>
      <w:tblPr>
        <w:tblW w:type="dxa" w:w="458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6"/>
        <w:gridCol w:w="1146"/>
        <w:gridCol w:w="1146"/>
        <w:gridCol w:w="1146"/>
      </w:tblGrid>
      <w:tr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条件</w:t>
            </w:r>
          </w:p>
        </w:tc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R</w:t>
            </w:r>
          </w:p>
        </w:tc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Q</w:t>
            </w:r>
          </w:p>
        </w:tc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W</w:t>
            </w:r>
          </w:p>
        </w:tc>
      </w:tr>
      <w:tr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精确索引</w:t>
            </w:r>
          </w:p>
        </w:tc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1375</w:t>
            </w:r>
          </w:p>
        </w:tc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完整策略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253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1440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253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静态经验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752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1440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120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无写回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1375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1440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无持久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373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1440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373</w:t>
            </w:r>
          </w:p>
        </w:tc>
      </w:tr>
    </w:tbl>
    <w:p>
      <w:pPr>
        <w:spacing w:after="0" w:before="200" w:line="20" w:lineRule="exact"/>
      </w:pPr>
    </w:p>
    <w:p>
      <w:pPr>
        <w:spacing/>
        <w:jc w:val="center"/>
      </w:pPr>
      <w:r>
        <w:drawing>
          <wp:inline distT="0" distB="0" distL="0" distR="0">
            <wp:extent cx="291465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图3 来源读取、召回与逻辑提交计数。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完整策略合计1946次逻辑操作，索引基线1375次，增加41.53%。全档案扫描为42287次读取，但相对扫描的优势不能替代强基线对照。完整策略源字符28214、上下文字符472688；索引源字符152663，无上下文。减少取证并未减少总输入字符。完整策略平均8.44 ms，索引约0.0102 ms；本地小字典源查找使后者显著更快，本文没有实测网络延迟或计费收益。</w:t>
      </w:r>
    </w:p>
    <w:p>
      <w:pPr>
        <w:spacing/>
        <w:jc w:val="center"/>
      </w:pPr>
      <w:r>
        <w:drawing>
          <wp:inline distT="0" distB="0" distL="0" distR="0">
            <wp:extent cx="291465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图4 本地执行时延分布；对数坐标。</w:t>
      </w:r>
    </w:p>
    <w:p>
      <w:pPr>
        <w:spacing/>
        <w:jc w:val="center"/>
      </w:pPr>
      <w:r>
        <w:drawing>
          <wp:inline distT="0" distB="0" distL="0" distR="0">
            <wp:extent cx="291465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图5 三任务族的正确率与消融结果。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三任务族各480题。索引方法在校准、字段与工具族完成456、462、457题，静态经验469、466、465题，完整策略各480题。无版本检查分别442、431、434题。三类任务共享版本契约结构，因此不能把三族一致性解释为开放域多样性。额外216次敏感性查询比较8、32、96条规则及128、512、2048字符预算：128预算每格0/24命中，其余每格24/24。该结果说明预算截断会令相关候选无法执行，不能推出无限记忆规模的稳定性。</w:t>
      </w:r>
    </w:p>
    <w:p>
      <w:pPr>
        <w:spacing/>
        <w:jc w:val="center"/>
      </w:pPr>
      <w:r>
        <w:drawing>
          <wp:inline distT="0" distB="0" distL="0" distR="0">
            <wp:extent cx="291465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图6 规则规模与上下文预算敏感性。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按本次计数，若c_q=1、c_w=2，完整策略成本低于索引的阈值为c_s&gt;1.7344。图7使用假设单位成本，不是实测价格；它描述适用条件，不补造正经济结果。图8按种子展示配对效应与95%区间，完整策略相对索引在正确率上为正、操作节省上为负。相对静态、无写回与无持久条件的种子平均操作减少分别约15.80%、30.86%、10.98%。</w:t>
      </w:r>
    </w:p>
    <w:p>
      <w:pPr>
        <w:spacing/>
        <w:jc w:val="center"/>
      </w:pPr>
      <w:r>
        <w:drawing>
          <wp:inline distT="0" distB="0" distL="0" distR="0">
            <wp:extent cx="291465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图7 假设成本下的收益边界，非实测价格。</w:t>
      </w:r>
    </w:p>
    <w:p>
      <w:pPr>
        <w:spacing/>
        <w:jc w:val="center"/>
      </w:pPr>
      <w:r>
        <w:drawing>
          <wp:inline distT="0" distB="0" distL="0" distR="0">
            <wp:extent cx="291465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图8 种子配对效应与聚类bootstrap区间。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VI. 讨论与有效性威胁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机制收益来自规则复用、版本准入和持久连续性，依赖当前版本已知、源规则可靠及预算充分。断源日程和同构任务会影响效应大小；完全可用资料下，强索引可能与完整策略同样正确且更便宜。独立统计单元只有10个种子，bootstrap区间不能消除分布偏差。条件循环平衡不等于随机盲测，本地时延也受缓存和调度影响。真实用户表达、模糊实体识别、隐式版本变化、恶意来源和自由文本推理均未测试。本研究没有调用大模型，不能证明模型幻觉降低、理解增强或参数自进化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经验可为后训练提供候选，但还需要独立准确性复核、去重、隐私处理、训练协议及遗忘评估。用户使用量只有在新增有效独立证据时才增加信息，重复错误可能强化偏差。模型参数容量与隐藏信息保留、监督与幻觉、涌现与思维学习等命题的条件数学讨论保留在配套理论长稿；本实验不提供模型训练证据，不能把条件解释写成已证实结论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VII. 结论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10种子、12轮、7条件的生产记忆路径实验表明，在明确版本与可验证契约任务中，完整策略减少81.60%源读取，在65次断源任务上维持完成，并避免133次过期规则错误。代价是较索引基线更多逻辑操作与本地时延。结论支持限定环境中的经验基础设施作用；真实宿主语言模型多轮自由文本收益仍需后续实验。原始记录、上下文、版本链、绘图脚本、详细研究稿与运行环境均随仓库交付，保留先行探索，不以事后反馈改写首次答案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参考文献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[1] 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Patrick Lewis, Ethan Perez, Aleksandara Piktus, et al. Retrieval-Augmented Generation for Knowledge-Intensive NLP Tasks[J], 2020.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[2] 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Di Wu, Hongwei Wang, Wenhao Yu, et al. LongMemEval: Benchmarking Chat Assistants on Long-Term Interactive Memory[EB/OL]. arXiv, 2024. http://arxiv.org/pdf/2410.10813v2.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[3] 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Wanjun Zhong, Lianghong Guo, Qiqi Gao, et al. MemoryBank: Enhancing Large Language Models with Long-Term Memory[EB/OL]. arXiv, 2023. http://arxiv.org/pdf/2305.10250v3.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[4] 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Noah Shinn, Federico Cassano, Edward Berman, et al. Reflexion: Language Agents with Verbal Reinforcement Learning[EB/OL]. arXiv, 2023. http://arxiv.org/pdf/2303.11366v4.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[5] 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Guanzhi Wang, Yuqi Xie, Yunfan Jiang, et al. Voyager: An Open-Ended Embodied Agent with Large Language Models[EB/OL]. arXiv, 2023. http://arxiv.org/pdf/2305.16291v2.</w:t>
      </w:r>
    </w:p>
    <w:p>
      <w:pPr>
        <w:sectPr>
          <w:footerReference w:type="default" r:id="rId8"/>
          <w:type w:val="continuous"/>
          <w:pgSz w:w="11906" w:h="16838" w:orient="portrait"/>
          <w:pgMar w:top="1418" w:right="1134" w:bottom="1418" w:left="1134" w:header="708" w:footer="708" w:gutter="0"/>
          <w:pgNumType/>
          <w:cols w:space="468" w:num="2"/>
          <w:docGrid w:linePitch="360"/>
        </w:sectPr>
      </w:pPr>
    </w:p>
    <w:sectPr>
      <w:type w:val="continuous"/>
      <w:pgSz w:w="11906" w:h="16838" w:orient="portrait"/>
      <w:pgMar w:top="1418" w:right="1134" w:bottom="1418" w:left="1134" w:header="708" w:footer="708" w:gutter="0"/>
      <w:pgNumType/>
      <w:cols w:num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40" w:line="240" w:lineRule="auto"/>
      <w:jc w:val="center"/>
    </w:pPr>
    <w:r>
      <w:rPr>
        <w:color w:val="999999"/>
        <w:sz w:val="18"/>
        <w:szCs w:val="18"/>
      </w:rPr>
      <w:t xml:space="preserve">— </w:t>
    </w: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8"/>
        <w:szCs w:val="18"/>
      </w:rPr>
      <w:t xml:space="preserve"> —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40" w:line="240" w:lineRule="auto"/>
      <w:jc w:val="center"/>
    </w:pPr>
    <w:r>
      <w:rPr>
        <w:color w:val="999999"/>
        <w:sz w:val="18"/>
        <w:szCs w:val="18"/>
      </w:rPr>
      <w:t xml:space="preserve">— </w:t>
    </w: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color w:val="000000"/>
        <w:sz w:val="20"/>
        <w:szCs w:val="20"/>
      </w:rPr>
    </w:rPrDefault>
    <w:pPrDefault>
      <w:pPr>
        <w:widowControl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70" w:before="140"/>
      <w:outlineLvl w:val="0"/>
    </w:pPr>
    <w:rPr>
      <w:rFonts w:ascii="Times New Roman" w:cs="Times New Roman" w:eastAsia="黑体" w:hAnsi="Times New Roman"/>
      <w:b/>
      <w:bCs/>
      <w:color w:val="000000"/>
      <w:sz w:val="22"/>
      <w:szCs w:val="22"/>
    </w:rPr>
  </w:style>
  <w:style w:type="paragraph" w:styleId="Heading2">
    <w:name w:val="heading 2"/>
    <w:basedOn w:val="Normal"/>
    <w:next w:val="Normal"/>
    <w:qFormat/>
    <w:pPr>
      <w:keepNext/>
      <w:keepLines/>
      <w:spacing w:after="70" w:before="140"/>
      <w:outlineLvl w:val="1"/>
    </w:pPr>
    <w:rPr>
      <w:rFonts w:ascii="Times New Roman" w:cs="Times New Roman" w:eastAsia="黑体" w:hAnsi="Times New Roman"/>
      <w:b/>
      <w:bCs/>
      <w:color w:val="000000"/>
      <w:sz w:val="20"/>
      <w:szCs w:val="20"/>
    </w:rPr>
  </w:style>
  <w:style w:type="paragraph" w:styleId="Heading3">
    <w:name w:val="heading 3"/>
    <w:basedOn w:val="Normal"/>
    <w:next w:val="Normal"/>
    <w:qFormat/>
    <w:pPr>
      <w:keepNext/>
      <w:keepLines/>
      <w:spacing w:after="70" w:before="140"/>
      <w:outlineLvl w:val="2"/>
    </w:pPr>
    <w:rPr>
      <w:rFonts w:ascii="Times New Roman" w:cs="Times New Roman" w:eastAsia="黑体" w:hAnsi="Times New Roman"/>
      <w:b/>
      <w:bCs/>
      <w:color w:val="000000"/>
      <w:sz w:val="20"/>
      <w:szCs w:val="20"/>
    </w:rPr>
  </w:style>
  <w:style w:type="paragraph" w:styleId="Heading4">
    <w:name w:val="heading 4"/>
    <w:basedOn w:val="Normal"/>
    <w:next w:val="Normal"/>
    <w:qFormat/>
    <w:pPr>
      <w:keepNext/>
      <w:keepLines/>
      <w:spacing w:after="70" w:before="140"/>
      <w:outlineLvl w:val="3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541c38f758af0145244678c99c2a03d3b7f66b7b.png"/><Relationship Id="rId10" Type="http://schemas.openxmlformats.org/officeDocument/2006/relationships/image" Target="media/bf74f6a0abe47fcd9054ec1c002b4daf72314cb9.png"/><Relationship Id="rId11" Type="http://schemas.openxmlformats.org/officeDocument/2006/relationships/image" Target="media/3e50a3c257525b4e2eeadbc44d286519e0ae28b2.png"/><Relationship Id="rId12" Type="http://schemas.openxmlformats.org/officeDocument/2006/relationships/image" Target="media/7b055fcd42b335dc06dedd049eaf764e8ab0ed43.png"/><Relationship Id="rId13" Type="http://schemas.openxmlformats.org/officeDocument/2006/relationships/image" Target="media/5a046ade723de90b6436bca55a88aa417c08f53d.png"/><Relationship Id="rId14" Type="http://schemas.openxmlformats.org/officeDocument/2006/relationships/image" Target="media/8f569553750f11c36a449bd024feefd036782fe9.png"/><Relationship Id="rId15" Type="http://schemas.openxmlformats.org/officeDocument/2006/relationships/image" Target="media/684bc6242e8a09382fbfbd4b43b5a82faf60dab9.png"/><Relationship Id="rId16" Type="http://schemas.openxmlformats.org/officeDocument/2006/relationships/image" Target="media/b4a3f4caa64dd2cf57aceb41df475b8c2d57f8c6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2026-10-15T02:21:15.133Z</dcterms:created>
  <dcterms:modified xsi:type="dcterms:W3CDTF">2026-10-15T02:21:15.134Z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