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主实验中完整机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四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w:t>
      </w:r>
      <m:oMath>
        <m:r>
          <m:t>t</m:t>
        </m:r>
      </m:oMath>
      <w:r>
        <w:rPr>
          <w:rFonts w:ascii="Times New Roman" w:cs="Times New Roman" w:eastAsia="宋体" w:hAnsi="Times New Roman"/>
          <w:color w:val="000000"/>
          <w:sz w:val="18"/>
          <w:szCs w:val="18"/>
        </w:rPr>
        <w:t xml:space="preserve">面对任务目标</w:t>
      </w:r>
      <m:oMath>
        <m:sSub>
          <m:sSubPr/>
          <m:e>
            <m:r>
              <m:t>G</m:t>
            </m:r>
          </m:e>
          <m:sub>
            <m:r>
              <m:t>t</m:t>
            </m:r>
          </m:sub>
        </m:sSub>
      </m:oMath>
      <w:r>
        <w:rPr>
          <w:rFonts w:ascii="Times New Roman" w:cs="Times New Roman" w:eastAsia="宋体" w:hAnsi="Times New Roman"/>
          <w:color w:val="000000"/>
          <w:sz w:val="18"/>
          <w:szCs w:val="18"/>
        </w:rPr>
        <w:t xml:space="preserve">、环境</w:t>
      </w:r>
      <m:oMath>
        <m:sSub>
          <m:sSubPr/>
          <m:e>
            <m:r>
              <m:t>E</m:t>
            </m:r>
          </m:e>
          <m:sub>
            <m:r>
              <m:t>t</m:t>
            </m:r>
          </m:sub>
        </m:sSub>
      </m:oMath>
      <w:r>
        <w:rPr>
          <w:rFonts w:ascii="Times New Roman" w:cs="Times New Roman" w:eastAsia="宋体" w:hAnsi="Times New Roman"/>
          <w:color w:val="000000"/>
          <w:sz w:val="18"/>
          <w:szCs w:val="18"/>
        </w:rPr>
        <w:t xml:space="preserve">和已有认识</w:t>
      </w:r>
      <m:oMath>
        <m:sSub>
          <m:sSubPr/>
          <m:e>
            <m:r>
              <m:t>M</m:t>
            </m:r>
          </m:e>
          <m:sub>
            <m:r>
              <m:t>t</m:t>
            </m:r>
          </m:sub>
        </m:sSub>
      </m:oMath>
      <w:r>
        <w:rPr>
          <w:rFonts w:ascii="Times New Roman" w:cs="Times New Roman" w:eastAsia="宋体" w:hAnsi="Times New Roman"/>
          <w:color w:val="000000"/>
          <w:sz w:val="18"/>
          <w:szCs w:val="18"/>
        </w:rPr>
        <w:t xml:space="preserve">。人先提出行动方案</w:t>
      </w:r>
      <m:oMath>
        <m:sSub>
          <m:sSubPr/>
          <m:e>
            <m:r>
              <m:t>A</m:t>
            </m:r>
          </m:e>
          <m:sub>
            <m:r>
              <m:t>t</m:t>
            </m:r>
          </m:sub>
        </m:sSub>
      </m:oMath>
      <w:r>
        <w:rPr>
          <w:rFonts w:ascii="Times New Roman" w:cs="Times New Roman" w:eastAsia="宋体" w:hAnsi="Times New Roman"/>
          <w:color w:val="000000"/>
          <w:sz w:val="18"/>
          <w:szCs w:val="18"/>
        </w:rPr>
        <w:t xml:space="preserve">，再通过工具或身体行动改变环境，获得观察</w:t>
      </w:r>
      <m:oMath>
        <m:sSub>
          <m:sSubPr/>
          <m:e>
            <m:r>
              <m:t>O</m:t>
            </m:r>
          </m:e>
          <m:sub>
            <m:r>
              <m:t>t</m:t>
            </m:r>
          </m:sub>
        </m:sSub>
      </m:oMath>
      <w:r>
        <w:rPr>
          <w:rFonts w:ascii="Times New Roman" w:cs="Times New Roman" w:eastAsia="宋体" w:hAnsi="Times New Roman"/>
          <w:color w:val="000000"/>
          <w:sz w:val="18"/>
          <w:szCs w:val="18"/>
        </w:rPr>
        <w:t xml:space="preserve">。预期结果</w:t>
      </w:r>
      <m:oMath>
        <m:sSub>
          <m:sSubPr/>
          <m:e>
            <m:r>
              <m:t>Ô</m:t>
            </m:r>
          </m:e>
          <m:sub>
            <m:r>
              <m:t>t</m:t>
            </m:r>
          </m:sub>
        </m:sSub>
      </m:oMath>
      <w:r>
        <w:rPr>
          <w:rFonts w:ascii="Times New Roman" w:cs="Times New Roman" w:eastAsia="宋体" w:hAnsi="Times New Roman"/>
          <w:color w:val="000000"/>
          <w:sz w:val="18"/>
          <w:szCs w:val="18"/>
        </w:rPr>
        <w:t xml:space="preserve">与实际结果</w:t>
      </w:r>
      <m:oMath>
        <m:sSub>
          <m:sSubPr/>
          <m:e>
            <m:r>
              <m:t>O</m:t>
            </m:r>
          </m:e>
          <m:sub>
            <m:r>
              <m:t>t</m:t>
            </m:r>
          </m:sub>
        </m:sSub>
      </m:oMath>
      <w:r>
        <w:rPr>
          <w:rFonts w:ascii="Times New Roman" w:cs="Times New Roman" w:eastAsia="宋体" w:hAnsi="Times New Roman"/>
          <w:color w:val="000000"/>
          <w:sz w:val="18"/>
          <w:szCs w:val="18"/>
        </w:rPr>
        <w:t xml:space="preserve">之间的差异产生反馈</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sSub>
          <m:sSubPr/>
          <m:e>
            <m:r>
              <m:t>G</m:t>
            </m:r>
          </m:e>
          <m:sub>
            <m:r>
              <m:t>t</m:t>
            </m:r>
          </m:sub>
        </m:sSub>
        <m:r>
          <m:t>,</m:t>
        </m:r>
        <m:sSub>
          <m:sSubPr/>
          <m:e>
            <m:r>
              <m:t>E</m:t>
            </m:r>
          </m:e>
          <m:sub>
            <m:r>
              <m:t>t</m:t>
            </m:r>
          </m:sub>
        </m:sSub>
        <m:r>
          <m:t>,</m:t>
        </m:r>
        <m:sSub>
          <m:sSubPr/>
          <m:e>
            <m:r>
              <m:t>M</m:t>
            </m:r>
          </m:e>
          <m:sub>
            <m:r>
              <m:t>t</m:t>
            </m:r>
          </m:sub>
        </m:sSub>
        <m:r>
          <m:t>xrightarrow</m:t>
        </m:r>
        <m:sSub>
          <m:sSubPr/>
          <m:e>
            <m:r>
              <m:t>A</m:t>
            </m:r>
          </m:e>
          <m:sub>
            <m:r>
              <m:t>t</m:t>
            </m:r>
          </m:sub>
        </m:sSub>
        <m:sSub>
          <m:sSubPr/>
          <m:e>
            <m:r>
              <m:t>O</m:t>
            </m:r>
          </m:e>
          <m:sub>
            <m:r>
              <m:t>t</m:t>
            </m:r>
          </m:sub>
        </m:sSub>
        <m:r>
          <m:t>xrightarrow</m:t>
        </m:r>
        <m:r>
          <m:t>compare</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candidate</m:t>
        </m:r>
        <m:r>
          <m:t>xrightarrow</m:t>
        </m:r>
        <m:r>
          <m:t>s</m:t>
        </m:r>
        <m:r>
          <m:t>≥</m:t>
        </m:r>
        <m:r>
          <m:t>2</m:t>
        </m:r>
        <m:r>
          <m:t>,</m:t>
        </m:r>
        <m:r>
          <m:t> </m:t>
        </m:r>
        <m:r>
          <m:t>f</m:t>
        </m:r>
        <m:r>
          <m:t>=</m:t>
        </m:r>
        <m:r>
          <m:t>0</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warm</m:t>
        </m:r>
        <m:r>
          <m:t>xrightarrow</m:t>
        </m:r>
        <m:r>
          <m:t>failure</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w:t>
      </w:r>
      <m:oMath>
        <m:r>
          <m:t>G</m:t>
        </m:r>
      </m:oMath>
      <w:r>
        <w:rPr>
          <w:rFonts w:ascii="Times New Roman" w:cs="Times New Roman" w:eastAsia="宋体" w:hAnsi="Times New Roman"/>
          <w:color w:val="000000"/>
          <w:sz w:val="18"/>
          <w:szCs w:val="18"/>
        </w:rPr>
        <w:t xml:space="preserve">、行动</w:t>
      </w:r>
      <m:oMath>
        <m:r>
          <m:t>A</m:t>
        </m:r>
      </m:oMath>
      <w:r>
        <w:rPr>
          <w:rFonts w:ascii="Times New Roman" w:cs="Times New Roman" w:eastAsia="宋体" w:hAnsi="Times New Roman"/>
          <w:color w:val="000000"/>
          <w:sz w:val="18"/>
          <w:szCs w:val="18"/>
        </w:rPr>
        <w:t xml:space="preserve">、环境快照</w:t>
      </w:r>
      <m:oMath>
        <m:r>
          <m:t>E</m:t>
        </m:r>
      </m:oMath>
      <w:r>
        <w:rPr>
          <w:rFonts w:ascii="Times New Roman" w:cs="Times New Roman" w:eastAsia="宋体" w:hAnsi="Times New Roman"/>
          <w:color w:val="000000"/>
          <w:sz w:val="18"/>
          <w:szCs w:val="18"/>
        </w:rPr>
        <w:t xml:space="preserve">、观察</w:t>
      </w:r>
      <m:oMath>
        <m:r>
          <m:t>O</m:t>
        </m:r>
      </m:oMath>
      <w:r>
        <w:rPr>
          <w:rFonts w:ascii="Times New Roman" w:cs="Times New Roman" w:eastAsia="宋体" w:hAnsi="Times New Roman"/>
          <w:color w:val="000000"/>
          <w:sz w:val="18"/>
          <w:szCs w:val="18"/>
        </w:rPr>
        <w:t xml:space="preserve">、来源</w:t>
      </w:r>
      <m:oMath>
        <m:r>
          <m:t>s</m:t>
        </m:r>
      </m:oMath>
      <w:r>
        <w:rPr>
          <w:rFonts w:ascii="Times New Roman" w:cs="Times New Roman" w:eastAsia="宋体" w:hAnsi="Times New Roman"/>
          <w:color w:val="000000"/>
          <w:sz w:val="18"/>
          <w:szCs w:val="18"/>
        </w:rPr>
        <w:t xml:space="preserve">和预期</w:t>
      </w:r>
      <m:oMath>
        <m:r>
          <m:t>Ô</m:t>
        </m:r>
      </m:oMath>
      <w:r>
        <w:rPr>
          <w:rFonts w:ascii="Times New Roman" w:cs="Times New Roman" w:eastAsia="宋体" w:hAnsi="Times New Roman"/>
          <w:color w:val="000000"/>
          <w:sz w:val="18"/>
          <w:szCs w:val="18"/>
        </w:rPr>
        <w:t xml:space="preserve">。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w:t>
      </w:r>
      <m:oMath>
        <m:r>
          <m:t>θ</m:t>
        </m:r>
        <m:r>
          <m:t>∼</m:t>
        </m:r>
        <m:r>
          <m:t>Beta</m:t>
        </m:r>
        <m:r>
          <m:t>(</m:t>
        </m:r>
        <m:r>
          <m:t>α</m:t>
        </m:r>
        <m:r>
          <m:t>,</m:t>
        </m:r>
        <m:r>
          <m:t>β</m:t>
        </m:r>
        <m:r>
          <m:t>)</m:t>
        </m:r>
      </m:oMath>
      <w:r>
        <w:rPr>
          <w:rFonts w:ascii="Times New Roman" w:cs="Times New Roman" w:eastAsia="宋体" w:hAnsi="Times New Roman"/>
          <w:color w:val="000000"/>
          <w:sz w:val="18"/>
          <w:szCs w:val="18"/>
        </w:rPr>
        <w:t xml:space="preserve">。一次成功证据权重为</w:t>
      </w:r>
      <m:oMath>
        <m:r>
          <m:t>w</m:t>
        </m:r>
        <m:r>
          <m:t>=</m:t>
        </m:r>
        <m:r>
          <m:t>qdm</m:t>
        </m:r>
      </m:oMath>
      <w:r>
        <w:rPr>
          <w:rFonts w:ascii="Times New Roman" w:cs="Times New Roman" w:eastAsia="宋体" w:hAnsi="Times New Roman"/>
          <w:color w:val="000000"/>
          <w:sz w:val="18"/>
          <w:szCs w:val="18"/>
        </w:rPr>
        <w:t xml:space="preserve">，其中q是证据质量、d是独立性评价、m是环境匹配度；失败证据采用同样权重。成功更新</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w:t>
      </w:r>
      <m:oMath>
        <m:sSup>
          <m:sSupPr/>
          <m:e>
            <m:r>
              <m:t>β</m:t>
            </m:r>
          </m:e>
          <m:sup>
            <m:r>
              <m:t>′</m:t>
            </m:r>
          </m:sup>
        </m:sSup>
        <m:r>
          <m:t>=</m:t>
        </m:r>
        <m:r>
          <m:t>β</m:t>
        </m:r>
      </m:oMath>
      <w:r>
        <w:rPr>
          <w:rFonts w:ascii="Times New Roman" w:cs="Times New Roman" w:eastAsia="宋体" w:hAnsi="Times New Roman"/>
          <w:color w:val="000000"/>
          <w:sz w:val="18"/>
          <w:szCs w:val="18"/>
        </w:rPr>
        <w:t xml:space="preserve">，失败更新</w:t>
      </w:r>
      <m:oMath>
        <m:sSup>
          <m:sSupPr/>
          <m:e>
            <m:r>
              <m:t>α</m:t>
            </m:r>
          </m:e>
          <m:sup>
            <m:r>
              <m:t>′</m:t>
            </m:r>
          </m:sup>
        </m:sSup>
        <m:r>
          <m:t>=</m:t>
        </m:r>
        <m:r>
          <m:t>α</m:t>
        </m:r>
      </m:oMath>
      <w:r>
        <w:rPr>
          <w:rFonts w:ascii="Times New Roman" w:cs="Times New Roman" w:eastAsia="宋体" w:hAnsi="Times New Roman"/>
          <w:color w:val="000000"/>
          <w:sz w:val="18"/>
          <w:szCs w:val="18"/>
        </w:rPr>
        <w:t xml:space="preserve">、</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。后验均值</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，成功带来的变化为</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可用于排序，成本惩罚后的分数为</w:t>
      </w:r>
      <m:oMath>
        <m:r>
          <m:t>IG</m:t>
        </m:r>
        <m:r>
          <m:t>-</m:t>
        </m:r>
        <m:r>
          <m:t>λ</m:t>
        </m:r>
        <m:r>
          <m:t> </m:t>
        </m:r>
        <m:r>
          <m:t>cost</m:t>
        </m:r>
      </m:oMath>
      <w:r>
        <w:rPr>
          <w:rFonts w:ascii="Times New Roman" w:cs="Times New Roman" w:eastAsia="宋体" w:hAnsi="Times New Roman"/>
          <w:color w:val="000000"/>
          <w:sz w:val="18"/>
          <w:szCs w:val="18"/>
        </w:rPr>
        <w:t xml:space="preserve">。只有后验集合满足概率归一和全概率混合，期望信息增益才具有互信息解释。补天的expected_information_gain检查显式后验维度、结果概率和混合一致性；不从文字自动推导后验。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w:t>
      </w:r>
      <m:oMath>
        <m:r>
          <m:t>k</m:t>
        </m:r>
      </m:oMath>
      <w:r>
        <w:rPr>
          <w:rFonts w:ascii="Times New Roman" w:cs="Times New Roman" w:eastAsia="宋体" w:hAnsi="Times New Roman"/>
          <w:color w:val="000000"/>
          <w:sz w:val="18"/>
          <w:szCs w:val="18"/>
        </w:rPr>
        <w:t xml:space="preserve">维护</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，每轮采样</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G.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w:t>
      </w:r>
      <m:oMath>
        <m:r>
          <m:t>N</m:t>
        </m:r>
      </m:oMath>
      <w:r>
        <w:rPr>
          <w:rFonts w:ascii="Times New Roman" w:cs="Times New Roman" w:eastAsia="宋体" w:hAnsi="Times New Roman"/>
          <w:color w:val="000000"/>
          <w:sz w:val="18"/>
          <w:szCs w:val="18"/>
        </w:rPr>
        <w:t xml:space="preserve">为相关观察数、</w:t>
      </w:r>
      <m:oMath>
        <m:sSub>
          <m:sSubPr/>
          <m:e>
            <m:r>
              <m:t>N</m:t>
            </m:r>
          </m:e>
          <m:sub>
            <m:r>
              <m:t>d</m:t>
            </m:r>
          </m:sub>
        </m:sSub>
      </m:oMath>
      <w:r>
        <w:rPr>
          <w:rFonts w:ascii="Times New Roman" w:cs="Times New Roman" w:eastAsia="宋体" w:hAnsi="Times New Roman"/>
          <w:color w:val="000000"/>
          <w:sz w:val="18"/>
          <w:szCs w:val="18"/>
        </w:rPr>
        <w:t xml:space="preserve">为领域观察数，聚合在无更强索引保证时保守计为</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把每个任务视为一次实践循环：任务生成目标和环境，策略产生行动，确定性求解器产生首次结果，评测器提供客观反馈，系统根据反馈写入经验，下一轮再次使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完整经验过程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完整机制相对精确索引基线完成率提高4.51个百分点，种子聚类bootstrap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ms。经验机制减少的是源取证和旧规则错误，不保证本地时延下降；这符合人的实践过程需要观察、验证和记录所带来的额外工作。</w:t>
      </w:r>
    </w:p>
    <w:p>
      <w:pPr>
        <w:pStyle w:val="Heading2"/>
        <w:keepNext/>
        <w:keepLines/>
        <w:spacing w:after="80" w:before="120"/>
      </w:pPr>
      <w:r>
        <w:rPr>
          <w:rFonts w:ascii="Times New Roman" w:cs="Times New Roman" w:eastAsia="黑体" w:hAnsi="Times New Roman"/>
          <w:b/>
          <w:bCs/>
          <w:color w:val="000000"/>
          <w:sz w:val="22"/>
          <w:szCs w:val="22"/>
        </w:rPr>
        <w:t xml:space="preserve">C.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D. 结果解释</w:t>
      </w:r>
    </w:p>
    <w:p>
      <w:pPr>
        <w:spacing w:after="50" w:line="260" w:lineRule="auto"/>
        <w:ind w:firstLine="360"/>
      </w:pPr>
      <w:r>
        <w:rPr>
          <w:rFonts w:ascii="Times New Roman" w:cs="Times New Roman" w:eastAsia="宋体" w:hAnsi="Times New Roman"/>
          <w:color w:val="000000"/>
          <w:sz w:val="18"/>
          <w:szCs w:val="18"/>
        </w:rPr>
        <w:t xml:space="preserve">主实验的收益来自经验形成过程完整：首次行动后写入带来源的候选，下一轮先检查版本，再决定复用或重新取证，反馈会保留失败和修订路径。B1只有固定旧记忆，不能在版本变化时形成新经验，因此它不等于完整机制。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Sampling回答“多个待验证行动如何分配探索机会”，不是经验形成的全部，也不是当前项目已经实现的完整强化学习。把局部算法抬成论文主题，会掩盖真正的研究对象。</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历史全库回归中的间歇失败和真实junction创建限制仍按原记录保留，不能因本次专项通过而改写。</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完整机制比精确索引基线少81.60%源读取，并避免133次旧版本错误；第二，持久化使重启后的经验可以继续参与召回；第三，Beta更新和Thompson控制在合成数值环境中符合既定公式。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MemoryStore和practice_observations实现经验保存与反馈；MemoryStore.put保存当前版本、父版本和来源事件；record_practice_outcome实现成功、失败和争议转移；compose_context实现候选上下文组装；parse_context负责实体、版本和完整性准入；backup与恢复模块保存服务状态和证据路径；math_models.py实现Beta、信息增益、效用和Thompson控制。逐函数签名、异常和源码散列见《逐模块算法与逻辑附录.md》，不以静态台账代替本文的机制解释。</w:t>
      </w:r>
    </w:p>
    <w:p>
      <w:pPr>
        <w:spacing w:after="50" w:line="260" w:lineRule="auto"/>
        <w:ind w:firstLine="360"/>
      </w:pPr>
      <w:r>
        <w:rPr>
          <w:rFonts w:ascii="Times New Roman" w:cs="Times New Roman" w:eastAsia="宋体" w:hAnsi="Times New Roman"/>
          <w:color w:val="000000"/>
          <w:sz w:val="18"/>
          <w:szCs w:val="18"/>
        </w:rPr>
        <w:t xml:space="preserve">可复现实验文件包括run_multiround_study.py、run_practice_lifecycle_study.py、run_bayesian_bandit_experiments.py及experiment_results目录。主实验模型调用数为0；Bandit控制模型调用数为0；15条同Agent探索记录为非盲、存在上下文携带，不能作为独立样本。当前文档报告的是机制证据，不能替换尚未完成的真实宿主AI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3e50a3c257525b4e2eeadbc44d286519e0ae28b2.png"/><Relationship Id="rId15" Type="http://schemas.openxmlformats.org/officeDocument/2006/relationships/image" Target="media/b4a3f4caa64dd2cf57aceb41df475b8c2d57f8c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2026-10-15T05:51:07.667Z</dcterms:created>
  <dcterms:modified xsi:type="dcterms:W3CDTF">2026-10-15T05:51:07.667Z</dcterms:modified>
</cp:coreProperties>
</file>

<file path=docProps/custom.xml><?xml version="1.0" encoding="utf-8"?>
<Properties xmlns="http://schemas.openxmlformats.org/officeDocument/2006/custom-properties" xmlns:vt="http://schemas.openxmlformats.org/officeDocument/2006/docPropsVTypes"/>
</file>