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b/>
          <w:bCs/>
          <w:color w:val="000000"/>
          <w:sz w:val="36"/>
          <w:szCs w:val="36"/>
        </w:rPr>
        <w:t xml:space="preserve">补天：面向宿主智能体的版本约束经验复用及其多轮收益评估</w:t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24"/>
          <w:szCs w:val="24"/>
        </w:rPr>
        <w:t xml:space="preserve">Butian: Version-Constrained Experience Reuse for Host Agents</w:t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许伟｜独立研究者，中国｜盐城工学院工学学士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摘要—连续处理同类任务时，智能体可能重复取证，也可能复用失效规则。本文以真实生产记忆接口和同一确定性宿主求解器评估版本准入、来源回退、证据写回与持久化闭环。在三类合成契约任务上执行10个种子、12轮、7条件，共10080次执行。完整策略完成1440/1440题，相对精确索引基线增加4.51个百分点，种子聚类自助法95%区间为[3.68,5.35]；源读取从1375次降为253次，减少81.60%。去除版本检查产生133次旧规则错误；重启丢失经验增加120次源读取。完整策略逻辑操作数增加41.53%，本地平均耗时8.44 ms，没有时延优势。结果支持限定任务内的经验复用与连续性，不证明语言模型推理能力或权重进化。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关键词—智能体记忆；版本约束；经验复用；多轮实验；消融分析</w:t>
      </w:r>
    </w:p>
    <w:p>
      <w:pPr>
        <w:pStyle w:val="Heading2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作者与致谢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作者许伟，盐城工学院工学学士。本研究于毕业后独立开展，研究设计、实验执行、数据分析和论文撰写均由作者完成。感谢盐城工学院在学习期间提供的实验室环境、课程训练和知识培养，这些经历为本文研究提供了基础。本文观点、实验结果和结论由作者本人负责，不代表盐城工学院或任何相关实验室的立场。</w:t>
      </w:r>
    </w:p>
    <w:p>
      <w:pPr>
        <w:sectPr>
          <w:footerReference w:type="default" r:id="rId7"/>
          <w:pgSz w:w="11906" w:h="16838" w:orient="portrait"/>
          <w:pgMar w:top="1418" w:right="1134" w:bottom="1418" w:left="1134" w:header="708" w:footer="708" w:gutter="0"/>
          <w:pgNumType/>
          <w:cols w:num="1"/>
          <w:docGrid w:linePitch="360"/>
        </w:sectPr>
      </w:pP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I. 引言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仪器校准关系、数据字段映射与工具调用契约都可能被重复使用，也可能在版本升级后失效。经验机制必须兼顾后续复用和变化适配。RAG为外部知识利用提供基础路径</w:t>
      </w:r>
      <w:r>
        <w:rPr>
          <w:rFonts w:ascii="Times New Roman" w:cs="Times New Roman" w:eastAsia="Times New Roman" w:hAnsi="Times New Roman"/>
          <w:sz w:val="16"/>
          <w:szCs w:val="16"/>
          <w:vertAlign w:val="superscript"/>
        </w:rPr>
        <w:t xml:space="preserve">[1]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，长期记忆评估进一步强调知识更新与时间推理</w:t>
      </w:r>
      <w:r>
        <w:rPr>
          <w:rFonts w:ascii="Times New Roman" w:cs="Times New Roman" w:eastAsia="Times New Roman" w:hAnsi="Times New Roman"/>
          <w:sz w:val="16"/>
          <w:szCs w:val="16"/>
          <w:vertAlign w:val="superscript"/>
        </w:rPr>
        <w:t xml:space="preserve">[2]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。本文研究同一求解能力下，经验生命周期能否减少后续任务的重复来源访问，并在资料不可用时维持正确输出。先前24题档案扫描实验缺少精确索引对照及时间变化，不能单独回答这些问题。因此本文加入强索引基线、随机漂移、资料间歇不可用和真实服务重启，冻结首次答案后再进行反馈。全部方法使用同一个确定性宿主求解器，模型推理调用为零；结果的适用范围为记忆基础设施机制，不是开放域模型回答能力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II. 相关工作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MemoryBank讨论长期交互记忆的保存与更新</w:t>
      </w:r>
      <w:r>
        <w:rPr>
          <w:rFonts w:ascii="Times New Roman" w:cs="Times New Roman" w:eastAsia="Times New Roman" w:hAnsi="Times New Roman"/>
          <w:sz w:val="16"/>
          <w:szCs w:val="16"/>
          <w:vertAlign w:val="superscript"/>
        </w:rPr>
        <w:t xml:space="preserve">[3]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；LongMemEval将跨会话提取、知识更新和拒答纳入长期评估</w:t>
      </w:r>
      <w:r>
        <w:rPr>
          <w:rFonts w:ascii="Times New Roman" w:cs="Times New Roman" w:eastAsia="Times New Roman" w:hAnsi="Times New Roman"/>
          <w:sz w:val="16"/>
          <w:szCs w:val="16"/>
          <w:vertAlign w:val="superscript"/>
        </w:rPr>
        <w:t xml:space="preserve">[2]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。Reflexion借助任务反馈形成文字经验</w:t>
      </w:r>
      <w:r>
        <w:rPr>
          <w:rFonts w:ascii="Times New Roman" w:cs="Times New Roman" w:eastAsia="Times New Roman" w:hAnsi="Times New Roman"/>
          <w:sz w:val="16"/>
          <w:szCs w:val="16"/>
          <w:vertAlign w:val="superscript"/>
        </w:rPr>
        <w:t xml:space="preserve">[4]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，Voyager利用可扩展技能库支持持续探索</w:t>
      </w:r>
      <w:r>
        <w:rPr>
          <w:rFonts w:ascii="Times New Roman" w:cs="Times New Roman" w:eastAsia="Times New Roman" w:hAnsi="Times New Roman"/>
          <w:sz w:val="16"/>
          <w:szCs w:val="16"/>
          <w:vertAlign w:val="superscript"/>
        </w:rPr>
        <w:t xml:space="preserve">[5]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。本文共享经验服务后续任务的动机，但没有复现上述模型、数据集和自主反思过程，不能直接与其公开分数比较。本研究把经验限制为可执行契约规则，以分离规则获得、版本准入、资料可用性和宿主求解器能力。数据库写入不修改模型权重；经验积累不能直接称为参数训练或模型自进化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III. 方法与算法分析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A. 状态与准入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任务由实体d、目标版本v、新输入u及源可用性a组成；经验保存实体、版本、规则、来源事件和生命周期状态。完整策略调用ButianService.compose_context，宿主解析器只接纳唯一且完整的同实体、同版本规则。零匹配、冲突或字符预算截断触发精确源回退；无合法经验且源不可用时返回unknown。版本过滤属于实验宿主策略，生产compose_context仅提供候选与预算构造，不能把它描述为已内置版本正确性保证。写回实际调用append_event和MemoryStore.put，保留来源引用及版本父链。</w:t>
      </w:r>
    </w:p>
    <w:p>
      <w:pPr>
        <w:tabs>
          <w:tab w:val="center" w:pos="2293"/>
          <w:tab w:val="right" w:pos="4585"/>
        </w:tabs>
        <w:spacing w:after="120" w:before="120" w:line="240" w:lineRule="auto"/>
      </w:pPr>
      <w:r>
        <w:ptab w:alignment="center" w:relativeTo="margin" w:leader="none"/>
      </w:r>
      <m:oMath>
        <m:r>
          <m:t>A</m:t>
        </m:r>
        <m:r>
          <m:t>(</m:t>
        </m:r>
        <m:sSub>
          <m:sSubPr/>
          <m:e>
            <m:r>
              <m:t>x</m:t>
            </m:r>
          </m:e>
          <m:sub>
            <m:r>
              <m:t>t</m:t>
            </m:r>
          </m:sub>
        </m:sSub>
        <m:r>
          <m:t>,</m:t>
        </m:r>
        <m:sSub>
          <m:sSubPr/>
          <m:e>
            <m:r>
              <m:t>M</m:t>
            </m:r>
          </m:e>
          <m:sub>
            <m:r>
              <m:t>t</m:t>
            </m:r>
          </m:sub>
        </m:sSub>
        <m:r>
          <m:t>)</m:t>
        </m:r>
        <m:r>
          <m:t>=</m:t>
        </m:r>
        <m:r>
          <m:t>ein</m:t>
        </m:r>
        <m:sSub>
          <m:sSubPr/>
          <m:e>
            <m:r>
              <m:t>M</m:t>
            </m:r>
          </m:e>
          <m:sub>
            <m:r>
              <m:t>t</m:t>
            </m:r>
          </m:sub>
        </m:sSub>
        <m:r>
          <m:t>:d</m:t>
        </m:r>
        <m:r>
          <m:t>(</m:t>
        </m:r>
        <m:r>
          <m:t>e</m:t>
        </m:r>
        <m:r>
          <m:t>)</m:t>
        </m:r>
        <m:r>
          <m:t>=</m:t>
        </m:r>
        <m:sSub>
          <m:sSubPr/>
          <m:e>
            <m:r>
              <m:t>d</m:t>
            </m:r>
          </m:e>
          <m:sub>
            <m:r>
              <m:t>t</m:t>
            </m:r>
          </m:sub>
        </m:sSub>
        <m:r>
          <m:t>,</m:t>
        </m:r>
        <m:r>
          <m:t>v</m:t>
        </m:r>
        <m:r>
          <m:t>(</m:t>
        </m:r>
        <m:r>
          <m:t>e</m:t>
        </m:r>
        <m:r>
          <m:t>)</m:t>
        </m:r>
        <m:r>
          <m:t>=</m:t>
        </m:r>
        <m:sSub>
          <m:sSubPr/>
          <m:e>
            <m:r>
              <m:t>v</m:t>
            </m:r>
          </m:e>
          <m:sub>
            <m:r>
              <m:t>t</m:t>
            </m:r>
          </m:sub>
        </m:sSub>
      </m:oMath>
      <w:r>
        <w:ptab w:alignment="right" w:relativeTo="margin" w:leader="none"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(1)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B. 算法1：版本约束经验复用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①调用生产上下文接口召回；②解析唯一当前版本规则；③若缺失且源可用，精确读取源契约；④求解并冻结首次答案，否则记录unknown；⑤评测器评分后才提供反馈；⑥首次错误且源可用时重新取证；⑦只有实际读取源成功才提交经验；⑧指定轮次关闭服务并从同一路径重新打开。每轮输入重新生成，存储规则不包含当题答案。首次错误即使后来纠正仍计wrong，评测器不能把不可访问源的真值直接写入经验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C. 成本与正确性</w:t>
      </w:r>
    </w:p>
    <w:p>
      <w:pPr>
        <w:tabs>
          <w:tab w:val="center" w:pos="2293"/>
          <w:tab w:val="right" w:pos="4585"/>
        </w:tabs>
        <w:spacing w:after="120" w:before="120" w:line="240" w:lineRule="auto"/>
      </w:pPr>
      <w:r>
        <w:ptab w:alignment="center" w:relativeTo="margin" w:leader="none"/>
      </w:r>
      <m:oMath>
        <m:r>
          <m:t>C</m:t>
        </m:r>
        <m:r>
          <m:t>=</m:t>
        </m:r>
        <m:sSub>
          <m:sSubPr/>
          <m:e>
            <m:r>
              <m:t>c</m:t>
            </m:r>
          </m:e>
          <m:sub>
            <m:r>
              <m:t>s</m:t>
            </m:r>
          </m:sub>
        </m:sSub>
        <m:r>
          <m:t>R</m:t>
        </m:r>
        <m:r>
          <m:t>+</m:t>
        </m:r>
        <m:sSub>
          <m:sSubPr/>
          <m:e>
            <m:r>
              <m:t>c</m:t>
            </m:r>
          </m:e>
          <m:sub>
            <m:r>
              <m:t>q</m:t>
            </m:r>
          </m:sub>
        </m:sSub>
        <m:r>
          <m:t>Q</m:t>
        </m:r>
        <m:r>
          <m:t>+</m:t>
        </m:r>
        <m:sSub>
          <m:sSubPr/>
          <m:e>
            <m:r>
              <m:t>c</m:t>
            </m:r>
          </m:e>
          <m:sub>
            <m:r>
              <m:t>w</m:t>
            </m:r>
          </m:sub>
        </m:sSub>
        <m:r>
          <m:t>W</m:t>
        </m:r>
      </m:oMath>
      <w:r>
        <w:ptab w:alignment="right" w:relativeTo="margin" w:leader="none"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(2)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R、Q、W分别为来源读取、上下文查询和验证后逻辑提交。一次W包含事件追加及经验写入，不能等同于单条SQL或固定耗时。在无漂移且资料可用的n次任务中，索引方法每题一次读取；完整策略先取证一次并持续召回。</w:t>
      </w:r>
    </w:p>
    <w:p>
      <w:pPr>
        <w:tabs>
          <w:tab w:val="center" w:pos="2293"/>
          <w:tab w:val="right" w:pos="4585"/>
        </w:tabs>
        <w:spacing w:after="120" w:before="120" w:line="240" w:lineRule="auto"/>
      </w:pPr>
      <w:r>
        <w:ptab w:alignment="center" w:relativeTo="margin" w:leader="none"/>
      </w:r>
      <m:oMath>
        <m:sSub>
          <m:sSubPr/>
          <m:e>
            <m:r>
              <m:t>C</m:t>
            </m:r>
          </m:e>
          <m:sub>
            <m:r>
              <m:t>index</m:t>
            </m:r>
          </m:sub>
        </m:sSub>
        <m:r>
          <m:t>=</m:t>
        </m:r>
        <m:sSub>
          <m:sSubPr/>
          <m:e>
            <m:r>
              <m:t>nc</m:t>
            </m:r>
          </m:e>
          <m:sub>
            <m:r>
              <m:t>s</m:t>
            </m:r>
          </m:sub>
        </m:sSub>
        <m:r>
          <m:t>,</m:t>
        </m:r>
        <m:r>
          <m:t>quad</m:t>
        </m:r>
        <m:sSub>
          <m:sSubPr/>
          <m:e>
            <m:r>
              <m:t>C</m:t>
            </m:r>
          </m:e>
          <m:sub>
            <m:r>
              <m:t>full</m:t>
            </m:r>
          </m:sub>
        </m:sSub>
        <m:r>
          <m:t>=</m:t>
        </m:r>
        <m:sSub>
          <m:sSubPr/>
          <m:e>
            <m:r>
              <m:t>nc</m:t>
            </m:r>
          </m:e>
          <m:sub>
            <m:r>
              <m:t>q</m:t>
            </m:r>
          </m:sub>
        </m:sSub>
        <m:r>
          <m:t>+</m:t>
        </m:r>
        <m:sSub>
          <m:sSubPr/>
          <m:e>
            <m:r>
              <m:t>c</m:t>
            </m:r>
          </m:e>
          <m:sub>
            <m:r>
              <m:t>s</m:t>
            </m:r>
          </m:sub>
        </m:sSub>
        <m:r>
          <m:t>+</m:t>
        </m:r>
        <m:sSub>
          <m:sSubPr/>
          <m:e>
            <m:r>
              <m:t>c</m:t>
            </m:r>
          </m:e>
          <m:sub>
            <m:r>
              <m:t>w</m:t>
            </m:r>
          </m:sub>
        </m:sSub>
      </m:oMath>
      <w:r>
        <w:ptab w:alignment="right" w:relativeTo="margin" w:leader="none"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(3)</w:t>
      </w:r>
    </w:p>
    <w:p>
      <w:pPr>
        <w:tabs>
          <w:tab w:val="center" w:pos="2293"/>
          <w:tab w:val="right" w:pos="4585"/>
        </w:tabs>
        <w:spacing w:after="120" w:before="120" w:line="240" w:lineRule="auto"/>
      </w:pPr>
      <w:r>
        <w:ptab w:alignment="center" w:relativeTo="margin" w:leader="none"/>
      </w:r>
      <m:oMath>
        <m:sSub>
          <m:sSubPr/>
          <m:e>
            <m:r>
              <m:t>C</m:t>
            </m:r>
          </m:e>
          <m:sub>
            <m:r>
              <m:t>full</m:t>
            </m:r>
          </m:sub>
        </m:sSub>
        <m:sSub>
          <m:sSubPr/>
          <m:e>
            <m:r>
              <m:t>&lt;C</m:t>
            </m:r>
          </m:e>
          <m:sub>
            <m:r>
              <m:t>index</m:t>
            </m:r>
          </m:sub>
        </m:sSub>
        <m:r>
          <m:t>iff</m:t>
        </m:r>
        <m:r>
          <m:t>n</m:t>
        </m:r>
        <m:r>
          <m:t>(</m:t>
        </m:r>
        <m:sSub>
          <m:sSubPr/>
          <m:e>
            <m:r>
              <m:t>c</m:t>
            </m:r>
          </m:e>
          <m:sub>
            <m:r>
              <m:t>s</m:t>
            </m:r>
          </m:sub>
        </m:sSub>
        <m:r>
          <m:t>-</m:t>
        </m:r>
        <m:sSub>
          <m:sSubPr/>
          <m:e>
            <m:r>
              <m:t>c</m:t>
            </m:r>
          </m:e>
          <m:sub>
            <m:r>
              <m:t>q</m:t>
            </m:r>
          </m:sub>
        </m:sSub>
        <m:r>
          <m:t>)</m:t>
        </m:r>
        <m:sSub>
          <m:sSubPr/>
          <m:e>
            <m:r>
              <m:t>&gt;c</m:t>
            </m:r>
          </m:e>
          <m:sub>
            <m:r>
              <m:t>s</m:t>
            </m:r>
          </m:sub>
        </m:sSub>
        <m:r>
          <m:t>+</m:t>
        </m:r>
        <m:sSub>
          <m:sSubPr/>
          <m:e>
            <m:r>
              <m:t>c</m:t>
            </m:r>
          </m:e>
          <m:sub>
            <m:r>
              <m:t>w</m:t>
            </m:r>
          </m:sub>
        </m:sSub>
      </m:oMath>
      <w:r>
        <w:ptab w:alignment="right" w:relativeTo="margin" w:leader="none"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(4)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若源读取不比召回昂贵，重复次数增加不保证收益。有d次已检测变化时理想取证次数为1+d。条件正确性依赖源契约、版本标识、解析器、求解器与保存内容均正确：冷启动从当前源获得规则；归纳步只使用同版本经验或当前源，因此非unknown输出不引入旧版规则。版本未变但语义改变会破坏假设。生产召回为OR LIKE匹配且最多8候选，不能宣称向量索引对数复杂度；未索引匹配可保守记为O(ML)。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IV. 实验协议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主实验采用10个固定种子，每种子12实体、12轮，共1440个共享任务；7条件各自独立经验库，总计10080执行。三类任务分别是数值校准y=(raw−offset)/scale、版本字段选择及单位换算、生成版本端点与参数对象。工具对象不发送真实远程请求。每轮raw与payload变化。第1轮冷启动，2—4轮稳定复用；第5、9轮各实体独立以0.5概率语义漂移；第6、7轮以0.25概率来源不可用；第8轮正常关闭重开服务。条件顺序循环平衡，非完全随机盲测。先行5种子探索保留，协议声明探索先于主实验，不宣称无探索预注册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A. 条件与指标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B0-scan扫描全部档案；B0-index使用精确版本索引；B1-static只在首轮查源后写经验，以后不更新；B2-full为完整闭环；A-no-version取消版本准入；A-no-write不提交经验；A-no-persist重启时改用空目录，原库保留。首次correct、wrong、unknown互斥，unknown是未完成而非错误断言。统计同时报告R/Q/W、源和上下文字符量、本地端到端耗时。统计推断以种子为聚类单位，采用10000次配对bootstrap的百分位95%区间，不把相关轮次当独立样本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V. 结果与分析</w:t>
      </w:r>
    </w:p>
    <w:p>
      <w:pPr>
        <w:spacing w:after="60" w:before="200"/>
        <w:jc w:val="center"/>
      </w:pP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表 I 首次答案结果</w:t>
      </w:r>
    </w:p>
    <w:tbl>
      <w:tblPr>
        <w:tblW w:type="dxa" w:w="458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6"/>
        <w:gridCol w:w="1146"/>
        <w:gridCol w:w="1146"/>
        <w:gridCol w:w="1146"/>
      </w:tblGrid>
      <w:tr>
        <w:tc>
          <w:tcPr>
            <w:tcW w:type="dxa" w:w="114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0"/>
                <w:szCs w:val="20"/>
              </w:rPr>
              <w:t xml:space="preserve">条件</w:t>
            </w:r>
          </w:p>
        </w:tc>
        <w:tc>
          <w:tcPr>
            <w:tcW w:type="dxa" w:w="114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0"/>
                <w:szCs w:val="20"/>
              </w:rPr>
              <w:t xml:space="preserve">正确/1440</w:t>
            </w:r>
          </w:p>
        </w:tc>
        <w:tc>
          <w:tcPr>
            <w:tcW w:type="dxa" w:w="114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0"/>
                <w:szCs w:val="20"/>
              </w:rPr>
              <w:t xml:space="preserve">错误</w:t>
            </w:r>
          </w:p>
        </w:tc>
        <w:tc>
          <w:tcPr>
            <w:tcW w:type="dxa" w:w="114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0"/>
                <w:szCs w:val="20"/>
              </w:rPr>
              <w:t xml:space="preserve">未知</w:t>
            </w:r>
          </w:p>
        </w:tc>
      </w:tr>
      <w:tr>
        <w:tc>
          <w:tcPr>
            <w:tcW w:type="dxa" w:w="114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B0-scan</w:t>
            </w:r>
          </w:p>
        </w:tc>
        <w:tc>
          <w:tcPr>
            <w:tcW w:type="dxa" w:w="114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1375</w:t>
            </w:r>
          </w:p>
        </w:tc>
        <w:tc>
          <w:tcPr>
            <w:tcW w:type="dxa" w:w="114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14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65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B0-index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1375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65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B1-static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1400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40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B2-full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1440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无版本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1307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133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无写回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1375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65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无持久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1440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</w:tr>
    </w:tbl>
    <w:p>
      <w:pPr>
        <w:spacing w:after="0" w:before="200" w:line="20" w:lineRule="exact"/>
      </w:pP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完整策略相对索引基线增加65次完成，正确率差4.51个百分点，95%区间[3.68,5.35]。相对静态经验增加2.78个百分点，区间[2.08,3.47]；相对无版本检查增加9.24个百分点，区间[8.33,10.14]。正确率改善由本任务流中的断源和规则变化驱动，不能推广为所有任务的固定增益。第5、9轮共发生133次变化，无版本消融分别错误70和63次；完整策略在这两轮重新取证后恢复复用。</w:t>
      </w:r>
    </w:p>
    <w:p>
      <w:pPr>
        <w:spacing/>
        <w:jc w:val="center"/>
      </w:pPr>
      <w:r>
        <w:drawing>
          <wp:inline distT="0" distB="0" distL="0" distR="0">
            <wp:extent cx="2914650" cy="2276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16"/>
          <w:szCs w:val="16"/>
        </w:rPr>
        <w:t xml:space="preserve">图1 各轮首次正确率与资料读取；标出漂移和断源阶段。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索引基线在第6、7轮分别完成99/120与76/120题，静态经验分别完成108与92题，完整策略均120题。累计来源读取从1375降至253，减少81.60%。这个比例是汇总读取比，不等同于种子平均操作成本效应。第8轮失去持久经验的条件额外读取120次源；正常重开的完整策略保留规则。480条版本链审计均有效。</w:t>
      </w:r>
    </w:p>
    <w:p>
      <w:pPr>
        <w:spacing/>
        <w:jc w:val="center"/>
      </w:pPr>
      <w:r>
        <w:drawing>
          <wp:inline distT="0" distB="0" distL="0" distR="0">
            <wp:extent cx="2914650" cy="1962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16"/>
          <w:szCs w:val="16"/>
        </w:rPr>
        <w:t xml:space="preserve">图2 跨轮累计来源访问及重启影响。</w:t>
      </w:r>
    </w:p>
    <w:p>
      <w:pPr>
        <w:spacing w:after="60" w:before="200"/>
        <w:jc w:val="center"/>
      </w:pP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表 II 逻辑操作分解</w:t>
      </w:r>
    </w:p>
    <w:tbl>
      <w:tblPr>
        <w:tblW w:type="dxa" w:w="458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6"/>
        <w:gridCol w:w="1146"/>
        <w:gridCol w:w="1146"/>
        <w:gridCol w:w="1146"/>
      </w:tblGrid>
      <w:tr>
        <w:tc>
          <w:tcPr>
            <w:tcW w:type="dxa" w:w="114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0"/>
                <w:szCs w:val="20"/>
              </w:rPr>
              <w:t xml:space="preserve">条件</w:t>
            </w:r>
          </w:p>
        </w:tc>
        <w:tc>
          <w:tcPr>
            <w:tcW w:type="dxa" w:w="114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0"/>
                <w:szCs w:val="20"/>
              </w:rPr>
              <w:t xml:space="preserve">R</w:t>
            </w:r>
          </w:p>
        </w:tc>
        <w:tc>
          <w:tcPr>
            <w:tcW w:type="dxa" w:w="114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0"/>
                <w:szCs w:val="20"/>
              </w:rPr>
              <w:t xml:space="preserve">Q</w:t>
            </w:r>
          </w:p>
        </w:tc>
        <w:tc>
          <w:tcPr>
            <w:tcW w:type="dxa" w:w="114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0"/>
                <w:szCs w:val="20"/>
              </w:rPr>
              <w:t xml:space="preserve">W</w:t>
            </w:r>
          </w:p>
        </w:tc>
      </w:tr>
      <w:tr>
        <w:tc>
          <w:tcPr>
            <w:tcW w:type="dxa" w:w="114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精确索引</w:t>
            </w:r>
          </w:p>
        </w:tc>
        <w:tc>
          <w:tcPr>
            <w:tcW w:type="dxa" w:w="114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1375</w:t>
            </w:r>
          </w:p>
        </w:tc>
        <w:tc>
          <w:tcPr>
            <w:tcW w:type="dxa" w:w="114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14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完整策略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253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1440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253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静态经验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752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1440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120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无写回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1375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1440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无持久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373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1440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373</w:t>
            </w:r>
          </w:p>
        </w:tc>
      </w:tr>
    </w:tbl>
    <w:p>
      <w:pPr>
        <w:spacing w:after="0" w:before="200" w:line="20" w:lineRule="exact"/>
      </w:pPr>
    </w:p>
    <w:p>
      <w:pPr>
        <w:spacing/>
        <w:jc w:val="center"/>
      </w:pPr>
      <w:r>
        <w:drawing>
          <wp:inline distT="0" distB="0" distL="0" distR="0">
            <wp:extent cx="2914650" cy="1962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16"/>
          <w:szCs w:val="16"/>
        </w:rPr>
        <w:t xml:space="preserve">图3 来源读取、召回与逻辑提交计数。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完整策略合计1946次逻辑操作，索引基线1375次，增加41.53%。全档案扫描为42287次读取，但相对扫描的优势不能替代强基线对照。完整策略源字符28214、上下文字符472688；索引源字符152663，无上下文。减少取证并未减少总输入字符。完整策略平均8.44 ms，索引约0.0102 ms；本地小字典源查找使后者显著更快，本文没有实测网络延迟或计费收益。</w:t>
      </w:r>
    </w:p>
    <w:p>
      <w:pPr>
        <w:spacing/>
        <w:jc w:val="center"/>
      </w:pPr>
      <w:r>
        <w:drawing>
          <wp:inline distT="0" distB="0" distL="0" distR="0">
            <wp:extent cx="2914650" cy="1962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16"/>
          <w:szCs w:val="16"/>
        </w:rPr>
        <w:t xml:space="preserve">图4 本地执行时延分布；对数坐标。</w:t>
      </w:r>
    </w:p>
    <w:p>
      <w:pPr>
        <w:spacing/>
        <w:jc w:val="center"/>
      </w:pPr>
      <w:r>
        <w:drawing>
          <wp:inline distT="0" distB="0" distL="0" distR="0">
            <wp:extent cx="2914650" cy="1962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16"/>
          <w:szCs w:val="16"/>
        </w:rPr>
        <w:t xml:space="preserve">图5 三任务族的正确率与消融结果。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三任务族各480题。索引方法在校准、字段与工具族完成456、462、457题，静态经验469、466、465题，完整策略各480题。无版本检查分别442、431、434题。三类任务共享版本契约结构，因此不能把三族一致性解释为开放域多样性。额外216次敏感性查询比较8、32、96条规则及128、512、2048字符预算：128预算每格0/24命中，其余每格24/24。该结果说明预算截断会令相关候选无法执行，不能推出无限记忆规模的稳定性。</w:t>
      </w:r>
    </w:p>
    <w:p>
      <w:pPr>
        <w:spacing/>
        <w:jc w:val="center"/>
      </w:pPr>
      <w:r>
        <w:drawing>
          <wp:inline distT="0" distB="0" distL="0" distR="0">
            <wp:extent cx="2914650" cy="1962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16"/>
          <w:szCs w:val="16"/>
        </w:rPr>
        <w:t xml:space="preserve">图6 规则规模与上下文预算敏感性。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按本次计数，若c_q=1、c_w=2，完整策略成本低于索引的阈值为c_s&gt;1.7344。图7使用假设单位成本，不是实测价格；它描述适用条件，不补造正经济结果。图8按种子展示配对效应与95%区间，完整策略相对索引在正确率上为正、操作节省上为负。相对静态、无写回与无持久条件的种子平均操作减少分别约15.80%、30.86%、10.98%。</w:t>
      </w:r>
    </w:p>
    <w:p>
      <w:pPr>
        <w:spacing/>
        <w:jc w:val="center"/>
      </w:pPr>
      <w:r>
        <w:drawing>
          <wp:inline distT="0" distB="0" distL="0" distR="0">
            <wp:extent cx="2914650" cy="1962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16"/>
          <w:szCs w:val="16"/>
        </w:rPr>
        <w:t xml:space="preserve">图7 假设成本下的收益边界，非实测价格。</w:t>
      </w:r>
    </w:p>
    <w:p>
      <w:pPr>
        <w:spacing/>
        <w:jc w:val="center"/>
      </w:pPr>
      <w:r>
        <w:drawing>
          <wp:inline distT="0" distB="0" distL="0" distR="0">
            <wp:extent cx="291465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16"/>
          <w:szCs w:val="16"/>
        </w:rPr>
        <w:t xml:space="preserve">图8 种子配对效应与聚类bootstrap区间。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VI. 哲学指导与实现约束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本文以实践—认识—再实践组织经验机制。语言模型输出、权威文章和直觉首先形成待检验主张，实践产生带条件的支持，反例要求修订而不是删除。这里的哲学指导是设计准则，不代替统计证据。来源事件、environment、版本与验收结果分别对应主张的依据、适用范围和检验条件；candidate与warm的区别对应未经实践和已有支持的区别；disputed及版本父链对应反例保护与认识修正。数据库条数、调用次数、文字长度不能独立作为认识增长指标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认知螺旋在工程上的可测定义为：新输入下复用已检验规则，在条件变化后重新取证，并在后续实践中减少错误或重复劳动。冷启动、稳定复用、显式漂移、断源与重启分别检验这些环节。控制变量和消融用于排查替代解释，unknown用于保留未知。源读取减少而本地时延增加说明方法具有代价边界；不能以哲学叙述排除负结果。当前实验未覆盖自主归纳、隐式语义漂移、置信校准和全部争议处理，哲学目标不能被当成已实现或已验证的事实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VII. 详细算法实现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A. 数据结构与版本提交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MemoryStore使用SQLite、WAL和busy_timeout。memories保存当前内容、状态、confidence、weight、环境与source_event_ids；memory_versions保存递增序号、parent_version_id、历史正文、evidence_refs及change_reason；practice_observations保存观察独立键、结果与证据引用，practice_evidence保存摘要去重关系。召回日志和冲突记录独立保存。FTS5表存在，但研究使用的recall_for_decision走LIKE候选路径，不能将其描述为向量检索或假定具有对数查询复杂度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put在SAVEPOINT内同时更新当前记录、全文索引和历史版本。默认父节点为同一经验最新版本；显式父节点必须存在且属于当前memory_id。warm/hot必须带来源事件，来源真实性检查还依赖调用者是否提供source_validator。异常回滚保存点。audit_version_chain按序检查版本连续、父链连接、证据列表类型及最新内容一致性。结构审计不证明正文语义正确。正常服务重开与断电、事务中途崩溃是不同验证对象，本文仅验证前者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B. 算法2：独立实践反馈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record_practice_outcome接受success、failure、unknown；independent_key不能为空，success必须有evidence_ref。BEGIN IMMEDIATE后检查观察唯一键、重复成功引用及证据摘要；若提供expected_content_hash，还检查审核期间正文未变化。不存在经验则创建candidate，随后插入实践观察并统计成功数s、失败数f。candidate或pending_validation仅在s≥2且f=0时进入warm；成熟经验遇failure进入disputed并降低confidence、weight。合并来源后put生成新版本、更新技能统计并提交；异常整体回滚。该去重不等同统计独立性，两次成功阈值也不是普遍正确性定理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C. 召回、准入与执行边界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ButianService.compose_context先检查task访问权限，再创建ContextComposer、获取成员记忆，在finally关闭句柄。上下文按层和预算组织。研究parse_context逐行寻找RULE后缀并解析JSON，检查实体及版本，仅唯一匹配才用于solve；解析失败、截断、零匹配和冲突都触发源回退，源不可用则unknown。生产服务负责候选，宿主负责版本准入，求解器负责输出计算。LIKE匹配保守为O(ML)，解析为O(B)，历史审计为O(V)，实际常数由实测耗时反映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D. 主实验未覆盖完整生命周期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Runner.remember在读到准确合成源后追加evidence_recorded事件，并直接put为warm、confidence=1.0。这是已验证契约的实验适配器，未走完整record_practice_outcome独立实践升级。因此10080次执行支持已知规则的复用、版本准入和持久性，不证明模型自主提出经验、两次独立实践、审核和争议修订全部通过。首次答案在反馈前冻结，错误纠正不覆盖原wrong。新输入每轮改变，写入规则而非当前答案。完整闭环需要另行覆盖生产实践接口与宿主真实行动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VIII. 宿主AI实测证据与缺口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实测分为两个层次。机制层真实调用生产SQLite与上下文接口，不需要模型即可测持久性、资料访问和版本行为；宿主AI层则必须记录模型接收上下文后的真实回答或行动，才能检验AI任务收益。10080次主实验属于前者，模型调用为零。项目另有当前会话宿主AI的15条非盲作答记录，因此不能笼统写成全部研究没有大模型参与。两类证据不能合并样本量，也不能用机制样本数替代AI回答实验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agent-responses.json的execution_kind为actual_model，capture_method为current_agent_authored_tool_payload，prior_answer_exposure为true，model_calls与cost均未知。五类任务各B0/B1/B2回答涉及压力、迁移、版本冲突、统计区间及恢复。记录说明真实宿主参与过探索，但存在先前答案暴露，B2仅召回上下文，未完成实践升级与恢复生命周期。15条回答不等于15次独立模型调用，不能估计经验净收益，也不能以关键词评分代替客观任务校验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确认性实验应在同一宿主AI上逐轮保存可见输入、生产召回原文、首次原始回答、真实工具结果、反馈和经验写回；新轮次更换输入，加入漂移、来源缺失和重启。程序校验数值、文件或执行结果，先冻结答案再揭示反馈。无法清除同会话历史时，应使用等价不同实体任务并披露携带偏差；不能宣称无记忆独立对照。当前没有完成这一确认性实验，因此模型收益结论仍待证，不能用模板生成回答冒充实测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IX. 讨论与有效性威胁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机制收益来自规则复用、版本准入和持久连续性，依赖当前版本已知、源规则可靠及预算充分。断源日程和同构任务会影响效应大小；完全可用资料下，强索引可能与完整策略同样正确且更便宜。独立统计单元只有10个种子，bootstrap区间不能消除分布偏差。条件循环平衡不等于随机盲测，本地时延也受缓存和调度影响。真实用户表达、模糊实体识别、隐式版本变化、恶意来源和自由文本推理均未测试。10080次机制主实验未执行模型推理；另有15条非盲宿主AI探索回答，仍不能证明模型幻觉降低、理解增强或参数自进化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经验可为后训练提供候选，但还需要独立准确性复核、去重、隐私处理、训练协议及遗忘评估。用户使用量只有在新增有效独立证据时才增加信息，重复错误可能强化偏差。模型参数容量与隐藏信息保留、监督与幻觉、涌现与思维学习等命题的条件数学讨论保留在配套理论长稿；本实验不提供模型训练证据，不能把条件解释写成已证实结论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X. 结论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10种子、12轮、7条件的生产记忆路径实验表明，在明确版本与可验证契约任务中，完整策略减少81.60%源读取，在65次断源任务上维持完成，并避免133次过期规则错误。代价是较索引基线更多逻辑操作与本地时延。结论支持限定环境中的经验基础设施作用；真实宿主语言模型多轮自由文本收益仍需后续实验。原始记录、上下文、版本链、绘图脚本、详细研究稿与运行环境均随仓库交付，保留先行探索，不以事后反馈改写首次答案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参考文献</w:t>
      </w:r>
    </w:p>
    <w:p>
      <w:pPr>
        <w:spacing w:after="60" w:line="320"/>
        <w:ind w:left="420" w:hanging="4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[1] 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Patrick Lewis, Ethan Perez, Aleksandara Piktus, et al. Retrieval-Augmented Generation for Knowledge-Intensive NLP Tasks[J], 2020.</w:t>
      </w:r>
    </w:p>
    <w:p>
      <w:pPr>
        <w:spacing w:after="60" w:line="320"/>
        <w:ind w:left="420" w:hanging="4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[2] 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Di Wu, Hongwei Wang, Wenhao Yu, et al. LongMemEval: Benchmarking Chat Assistants on Long-Term Interactive Memory[EB/OL]. arXiv, 2024. http://arxiv.org/pdf/2410.10813v2.</w:t>
      </w:r>
    </w:p>
    <w:p>
      <w:pPr>
        <w:spacing w:after="60" w:line="320"/>
        <w:ind w:left="420" w:hanging="4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[3] 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Wanjun Zhong, Lianghong Guo, Qiqi Gao, et al. MemoryBank: Enhancing Large Language Models with Long-Term Memory[EB/OL]. arXiv, 2023. http://arxiv.org/pdf/2305.10250v3.</w:t>
      </w:r>
    </w:p>
    <w:p>
      <w:pPr>
        <w:spacing w:after="60" w:line="320"/>
        <w:ind w:left="420" w:hanging="4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[4] 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Noah Shinn, Federico Cassano, Edward Berman, et al. Reflexion: Language Agents with Verbal Reinforcement Learning[EB/OL]. arXiv, 2023. http://arxiv.org/pdf/2303.11366v4.</w:t>
      </w:r>
    </w:p>
    <w:p>
      <w:pPr>
        <w:spacing w:after="60" w:line="320"/>
        <w:ind w:left="420" w:hanging="4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[5] 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Guanzhi Wang, Yuqi Xie, Yunfan Jiang, et al. Voyager: An Open-Ended Embodied Agent with Large Language Models[EB/OL]. arXiv, 2023. http://arxiv.org/pdf/2305.16291v2.</w:t>
      </w:r>
    </w:p>
    <w:p>
      <w:pPr>
        <w:sectPr>
          <w:footerReference w:type="default" r:id="rId8"/>
          <w:type w:val="continuous"/>
          <w:pgSz w:w="11906" w:h="16838" w:orient="portrait"/>
          <w:pgMar w:top="1418" w:right="1134" w:bottom="1418" w:left="1134" w:header="708" w:footer="708" w:gutter="0"/>
          <w:pgNumType/>
          <w:cols w:space="468" w:num="2"/>
          <w:docGrid w:linePitch="360"/>
        </w:sectPr>
      </w:pPr>
    </w:p>
    <w:sectPr>
      <w:type w:val="continuous"/>
      <w:pgSz w:w="11906" w:h="16838" w:orient="portrait"/>
      <w:pgMar w:top="1418" w:right="1134" w:bottom="1418" w:left="1134" w:header="708" w:footer="708" w:gutter="0"/>
      <w:pgNumType/>
      <w:cols w:num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40" w:line="240" w:lineRule="auto"/>
      <w:jc w:val="center"/>
    </w:pPr>
    <w:r>
      <w:rPr>
        <w:color w:val="999999"/>
        <w:sz w:val="18"/>
        <w:szCs w:val="18"/>
      </w:rPr>
      <w:t xml:space="preserve">— </w:t>
    </w:r>
    <w:r>
      <w:rPr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8"/>
        <w:szCs w:val="18"/>
      </w:rPr>
      <w:t xml:space="preserve"> —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40" w:line="240" w:lineRule="auto"/>
      <w:jc w:val="center"/>
    </w:pPr>
    <w:r>
      <w:rPr>
        <w:color w:val="999999"/>
        <w:sz w:val="18"/>
        <w:szCs w:val="18"/>
      </w:rPr>
      <w:t xml:space="preserve">— </w:t>
    </w:r>
    <w:r>
      <w:rPr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lowerLetter"/>
      <w:lvlText w:val="%2)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宋体" w:hAnsi="Times New Roman"/>
        <w:color w:val="000000"/>
        <w:sz w:val="20"/>
        <w:szCs w:val="20"/>
      </w:rPr>
    </w:rPrDefault>
    <w:pPrDefault>
      <w:pPr>
        <w:widowControl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70" w:before="140"/>
      <w:outlineLvl w:val="0"/>
    </w:pPr>
    <w:rPr>
      <w:rFonts w:ascii="Times New Roman" w:cs="Times New Roman" w:eastAsia="黑体" w:hAnsi="Times New Roman"/>
      <w:b/>
      <w:bCs/>
      <w:color w:val="000000"/>
      <w:sz w:val="22"/>
      <w:szCs w:val="22"/>
    </w:rPr>
  </w:style>
  <w:style w:type="paragraph" w:styleId="Heading2">
    <w:name w:val="heading 2"/>
    <w:basedOn w:val="Normal"/>
    <w:next w:val="Normal"/>
    <w:qFormat/>
    <w:pPr>
      <w:keepNext/>
      <w:keepLines/>
      <w:spacing w:after="70" w:before="140"/>
      <w:outlineLvl w:val="1"/>
    </w:pPr>
    <w:rPr>
      <w:rFonts w:ascii="Times New Roman" w:cs="Times New Roman" w:eastAsia="黑体" w:hAnsi="Times New Roman"/>
      <w:b/>
      <w:bCs/>
      <w:color w:val="000000"/>
      <w:sz w:val="20"/>
      <w:szCs w:val="20"/>
    </w:rPr>
  </w:style>
  <w:style w:type="paragraph" w:styleId="Heading3">
    <w:name w:val="heading 3"/>
    <w:basedOn w:val="Normal"/>
    <w:next w:val="Normal"/>
    <w:qFormat/>
    <w:pPr>
      <w:keepNext/>
      <w:keepLines/>
      <w:spacing w:after="70" w:before="140"/>
      <w:outlineLvl w:val="2"/>
    </w:pPr>
    <w:rPr>
      <w:rFonts w:ascii="Times New Roman" w:cs="Times New Roman" w:eastAsia="黑体" w:hAnsi="Times New Roman"/>
      <w:b/>
      <w:bCs/>
      <w:color w:val="000000"/>
      <w:sz w:val="20"/>
      <w:szCs w:val="20"/>
    </w:rPr>
  </w:style>
  <w:style w:type="paragraph" w:styleId="Heading4">
    <w:name w:val="heading 4"/>
    <w:basedOn w:val="Normal"/>
    <w:next w:val="Normal"/>
    <w:qFormat/>
    <w:pPr>
      <w:keepNext/>
      <w:keepLines/>
      <w:spacing w:after="70" w:before="140"/>
      <w:outlineLvl w:val="3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541c38f758af0145244678c99c2a03d3b7f66b7b.png"/><Relationship Id="rId10" Type="http://schemas.openxmlformats.org/officeDocument/2006/relationships/image" Target="media/bf74f6a0abe47fcd9054ec1c002b4daf72314cb9.png"/><Relationship Id="rId11" Type="http://schemas.openxmlformats.org/officeDocument/2006/relationships/image" Target="media/3e50a3c257525b4e2eeadbc44d286519e0ae28b2.png"/><Relationship Id="rId12" Type="http://schemas.openxmlformats.org/officeDocument/2006/relationships/image" Target="media/7b055fcd42b335dc06dedd049eaf764e8ab0ed43.png"/><Relationship Id="rId13" Type="http://schemas.openxmlformats.org/officeDocument/2006/relationships/image" Target="media/5a046ade723de90b6436bca55a88aa417c08f53d.png"/><Relationship Id="rId14" Type="http://schemas.openxmlformats.org/officeDocument/2006/relationships/image" Target="media/8f569553750f11c36a449bd024feefd036782fe9.png"/><Relationship Id="rId15" Type="http://schemas.openxmlformats.org/officeDocument/2006/relationships/image" Target="media/684bc6242e8a09382fbfbd4b43b5a82faf60dab9.png"/><Relationship Id="rId16" Type="http://schemas.openxmlformats.org/officeDocument/2006/relationships/image" Target="media/b4a3f4caa64dd2cf57aceb41df475b8c2d57f8c6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2026-10-15T02:43:36.276Z</dcterms:created>
  <dcterms:modified xsi:type="dcterms:W3CDTF">2026-10-15T02:43:36.277Z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