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64"/>
          <w:szCs w:val="64"/>
        </w:rPr>
        <w:t xml:space="preserve">TR APP</w:t>
      </w:r>
    </w:p>
    <w:p>
      <w:pPr>
        <w:spacing w:after="120"/>
        <w:jc w:val="center"/>
      </w:pPr>
      <w:r>
        <w:rPr>
          <w:color w:val="2E5C8A"/>
          <w:sz w:val="32"/>
          <w:szCs w:val="32"/>
        </w:rPr>
        <w:t xml:space="preserve">Arquitectura técnica del sistema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Diseño de base de datos · motor de reglas · escalabilidad · normas y pruebas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Documento de referencia para construcción · Mayo 2026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Qué es este documento</w:t>
      </w:r>
    </w:p>
    <w:p>
      <w:pPr>
        <w:spacing w:after="120" w:line="276"/>
      </w:pPr>
      <w:r>
        <w:rPr>
          <w:sz w:val="22"/>
          <w:szCs w:val="22"/>
        </w:rPr>
        <w:t xml:space="preserve">Es el documento técnico de referencia del sistema TR APP: cómo es la base de datos, por qué es escalable, y dónde viven las normas, las pruebas y las reglas. Acompaña al archivo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rPr>
          <w:sz w:val="22"/>
          <w:szCs w:val="22"/>
        </w:rPr>
        <w:t xml:space="preserve"> (resumen para el agente) y a los documentos de detalle (Catálogo Maestro en Excel, Decisiones de Diseño). Aquí está el 'cómo está construido' completo, en un solo lugar.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El principio de diseño: reglas como datos</w:t>
      </w:r>
    </w:p>
    <w:p>
      <w:pPr>
        <w:spacing w:after="120" w:line="276"/>
      </w:pPr>
      <w:r>
        <w:rPr>
          <w:sz w:val="22"/>
          <w:szCs w:val="22"/>
        </w:rPr>
        <w:t xml:space="preserve">El sistema viejo tenía las condiciones de diagnóstico clavadas en el código: ~180 métodos repetidos, uno por cada combinación de gas, aceite y tipo de transformador. Cambiar un umbral exigía reprogramar. El sistema nuevo invierte esto: </w:t>
      </w:r>
      <w:r>
        <w:rPr>
          <w:b/>
          <w:bCs/>
          <w:sz w:val="22"/>
          <w:szCs w:val="22"/>
        </w:rPr>
        <w:t xml:space="preserve">las reglas son datos en tablas; el código solo tiene las fórmulas.</w:t>
      </w:r>
    </w:p>
    <w:p>
      <w:pPr>
        <w:spacing w:after="120" w:line="276"/>
      </w:pPr>
      <w:r>
        <w:rPr>
          <w:sz w:val="22"/>
          <w:szCs w:val="22"/>
        </w:rPr>
        <w:t xml:space="preserve">Consecuencia práctica: agregar un tipo de aceite, cambiar un umbral, o sumar una norma nueva es </w:t>
      </w:r>
      <w:r>
        <w:rPr>
          <w:b/>
          <w:bCs/>
          <w:sz w:val="22"/>
          <w:szCs w:val="22"/>
        </w:rPr>
        <w:t xml:space="preserve">editar filas</w:t>
      </w:r>
      <w:r>
        <w:rPr>
          <w:sz w:val="22"/>
          <w:szCs w:val="22"/>
        </w:rPr>
        <w:t xml:space="preserve">, no escribir código. El motor de cálculo no se modifica nunca.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Diseño de la base de datos</w:t>
      </w:r>
    </w:p>
    <w:p>
      <w:pPr>
        <w:spacing w:after="120" w:line="276"/>
      </w:pPr>
      <w:r>
        <w:rPr>
          <w:sz w:val="22"/>
          <w:szCs w:val="22"/>
        </w:rPr>
        <w:t xml:space="preserve">El esquema se divide en tres grupos: catálogos, el motor de reglas, y el dominio (transformadores y muestras).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2.1 Catálogos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pct" w:w="30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pct" w:w="48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oil_types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Tipos de aceite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code, name. IDs reales: mineral=1, silicona=4, soya=5, girasol=6</w:t>
            </w:r>
          </w:p>
        </w:tc>
      </w:tr>
      <w:tr>
        <w:tc>
          <w:tcPr>
            <w:tcW w:type="pct" w:w="2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transformer_types</w:t>
            </w:r>
          </w:p>
        </w:tc>
        <w:tc>
          <w:tcPr>
            <w:tcW w:type="pct" w:w="3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Tipos de trafo</w:t>
            </w:r>
          </w:p>
        </w:tc>
        <w:tc>
          <w:tcPr>
            <w:tcW w:type="pct" w:w="4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potencia, distribución, horno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standards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Normas técnicas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code, name, version (trazabilidad)</w:t>
            </w:r>
          </w:p>
        </w:tc>
      </w:tr>
      <w:tr>
        <w:tc>
          <w:tcPr>
            <w:tcW w:type="pct" w:w="2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pct" w:w="3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Pruebas de diagnóstico</w:t>
            </w:r>
          </w:p>
        </w:tc>
        <w:tc>
          <w:tcPr>
            <w:tcW w:type="pct" w:w="4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code, hi_weight, hi_enabled (peso en índice de salud)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Qué se mide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(h2, ch4…), kind (measure/ratio/attribute)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2.2 El motor de reglas (el corazón)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pct" w:w="4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pct" w:w="38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rule_sets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'cuadro' por combinación (prueba+aceite+trafo+norma)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pertenece a test, oil_type, transformer_type, standard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rules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regla/escalón: score, peso, prioridad</w:t>
            </w:r>
          </w:p>
        </w:tc>
        <w:tc>
          <w:tcPr>
            <w:tcW w:type="pct" w:w="3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pertenece a un rule_set y una variable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rule_conditions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Condición: variable + operador + valor</w:t>
            </w:r>
          </w:p>
        </w:tc>
        <w:tc>
          <w:tcPr>
            <w:tcW w:type="pct" w:w="3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pertenece a una rule. Varias = AND</w:t>
            </w:r>
          </w:p>
        </w:tc>
      </w:tr>
      <w:tr>
        <w:tc>
          <w:tcPr>
            <w:tcW w:type="pct" w:w="2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result_scales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semáforo: rango de score → condición, color, rating</w:t>
            </w:r>
          </w:p>
        </w:tc>
        <w:tc>
          <w:tcPr>
            <w:tcW w:type="pct" w:w="3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 prueba y norma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El detalle de los operadores en </w:t>
      </w:r>
      <w:r>
        <w:rPr>
          <w:rFonts w:ascii="Consolas" w:cs="Consolas" w:eastAsia="Consolas" w:hAnsi="Consolas"/>
          <w:sz w:val="20"/>
          <w:szCs w:val="20"/>
        </w:rPr>
        <w:t xml:space="preserve">rule_conditions</w:t>
      </w:r>
      <w:r>
        <w:rPr>
          <w:sz w:val="22"/>
          <w:szCs w:val="22"/>
        </w:rPr>
        <w:t xml:space="preserve">: se soportan </w:t>
      </w:r>
      <w:r>
        <w:rPr>
          <w:rFonts w:ascii="Consolas" w:cs="Consolas" w:eastAsia="Consolas" w:hAnsi="Consolas"/>
          <w:sz w:val="20"/>
          <w:szCs w:val="20"/>
        </w:rPr>
        <w:t xml:space="preserve">&lt; &lt;= &gt; &gt;= = !=</w:t>
      </w:r>
      <w:r>
        <w:rPr>
          <w:sz w:val="22"/>
          <w:szCs w:val="22"/>
        </w:rPr>
        <w:t xml:space="preserve">. Un rango como '150 &lt; H2 ≤ 200' se guarda como dos condiciones. Esto resuelve la observación de que no todo era 'desde/hasta' — hay mayores, menores e igualdades.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2.3 Dominio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pct" w:w="3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pct" w:w="4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transformers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transformador</w:t>
            </w:r>
          </w:p>
        </w:tc>
        <w:tc>
          <w:tcPr>
            <w:tcW w:type="pct" w:w="4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customer_id apunta al Customer del saas-base; usa tenant/auditoría</w:t>
            </w:r>
          </w:p>
        </w:tc>
      </w:tr>
      <w:tr>
        <w:tc>
          <w:tcPr>
            <w:tcW w:type="pct" w:w="2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chromatographicals</w:t>
            </w:r>
          </w:p>
        </w:tc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de gases (9 gases ppm)</w:t>
            </w:r>
          </w:p>
        </w:tc>
        <w:tc>
          <w:tcPr>
            <w:tcW w:type="pct" w:w="4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oil_type y transformer_type del trafo son los ejes de diagnóstico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Análisis de escalabilidad</w:t>
      </w:r>
    </w:p>
    <w:p>
      <w:pPr>
        <w:spacing w:after="120" w:line="276"/>
      </w:pPr>
      <w:r>
        <w:rPr>
          <w:sz w:val="22"/>
          <w:szCs w:val="22"/>
        </w:rPr>
        <w:t xml:space="preserve">El diseño está pensado para crecer agregando DATOS, no código. Estos son los ejes de crecimiento previstos y cómo los absorbe el sistema: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en el futuro se necesita…</w:t>
            </w:r>
          </w:p>
        </w:tc>
        <w:tc>
          <w:tcPr>
            <w:tcW w:type="pct" w:w="60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resuelve (sin tocar código)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tipo de aceite nuevo (ej. éster)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una fila en oil_types + sus rule_sets con reglas</w:t>
            </w:r>
          </w:p>
        </w:tc>
      </w:tr>
      <w:tr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Cambiar un umbral o peso</w:t>
            </w:r>
          </w:p>
        </w:tc>
        <w:tc>
          <w:tcPr>
            <w:tcW w:type="pct" w:w="6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Editar la fila en rules / el JSON del seeder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norma nueva o versión actualizada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fila en standards + rule_sets que la referencien (la vieja se conserva)</w:t>
            </w:r>
          </w:p>
        </w:tc>
      </w:tr>
      <w:tr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prueba nueva (ej. termografía)</w:t>
            </w:r>
          </w:p>
        </w:tc>
        <w:tc>
          <w:tcPr>
            <w:tcW w:type="pct" w:w="6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fila en tests + sus variables y rule_sets. El motor ya sirve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eje de condición nuevo (ej. humedad ambiental)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fila en variables + usarla en rule_conditions</w:t>
            </w:r>
          </w:p>
        </w:tc>
      </w:tr>
      <w:tr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condición que dependa de varios gases</w:t>
            </w:r>
          </w:p>
        </w:tc>
        <w:tc>
          <w:tcPr>
            <w:tcW w:type="pct" w:w="6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rule con varias rule_conditions (se evalúan con AND)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Más criterios en el índice de salud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pruebas con su hi_weight (modelo Hitachi de 20 criterios)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La prueba de que esto era necesario: el sistema ya creció una vez (de 4 a 6 tipos de aceite en el Excel), y el código viejo no lo soportó. Con este diseño, ese crecimiento es trivial.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Las normas</w:t>
      </w:r>
    </w:p>
    <w:p>
      <w:pPr>
        <w:spacing w:after="120" w:line="276"/>
      </w:pPr>
      <w:r>
        <w:rPr>
          <w:sz w:val="22"/>
          <w:szCs w:val="22"/>
        </w:rPr>
        <w:t xml:space="preserve">Cada conjunto de reglas declara bajo qué norma opera, con su versión. Esto da trazabilidad (saber con qué norma se hizo un diagnóstico) y permite versionar (cuando una norma se actualiza, se crea un rule_set nuevo sin pisar el anterior).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pct" w:w="3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usa en</w:t>
            </w:r>
          </w:p>
        </w:tc>
        <w:tc>
          <w:tcPr>
            <w:tcW w:type="pct" w:w="4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C57.104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Cromatografía, Tabla 4 (tasa de gas)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2019. Base del DGA y de la tasa de generación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IEC 60599</w:t>
            </w:r>
          </w:p>
        </w:tc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Cromatografía, diagnóstico de fallas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Rangos de gases y método de relaciones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C57.106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Fisicoquímico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Límites por nivel de tensión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C57.111</w:t>
            </w:r>
          </w:p>
        </w:tc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Silicona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Aceite de silicona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C57.147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Vegetales / ésteres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Aceites de éster natural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IEC 61203 / C57.155</w:t>
            </w:r>
          </w:p>
        </w:tc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Éster sintético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Futuro (en Excel, no en código aún)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Las pruebas de diagnóstico</w:t>
      </w:r>
    </w:p>
    <w:p>
      <w:pPr>
        <w:spacing w:after="120" w:line="276"/>
      </w:pPr>
      <w:r>
        <w:rPr>
          <w:sz w:val="22"/>
          <w:szCs w:val="22"/>
        </w:rPr>
        <w:t xml:space="preserve">Las 5 pruebas comparten el mismo patrón (valor → escalón → score × peso → semáforo). Estado de implementación: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pct" w:w="3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Ejes de condición</w:t>
            </w:r>
          </w:p>
        </w:tc>
        <w:tc>
          <w:tcPr>
            <w:tcW w:type="pct" w:w="26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pct" w:w="18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Cromatografía (DGA)</w:t>
            </w:r>
          </w:p>
        </w:tc>
        <w:tc>
          <w:tcPr>
            <w:tcW w:type="pct" w:w="3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tipo trafo + aceite + preservación + edad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C57.104 / IEC 60599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CONSTRUIDA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Fisicoquímico</w:t>
            </w:r>
          </w:p>
        </w:tc>
        <w:tc>
          <w:tcPr>
            <w:tcW w:type="pct" w:w="3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tensión + potencia + aceite</w:t>
            </w:r>
          </w:p>
        </w:tc>
        <w:tc>
          <w:tcPr>
            <w:tcW w:type="pct" w:w="26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C57.106</w:t>
            </w:r>
          </w:p>
        </w:tc>
        <w:tc>
          <w:tcPr>
            <w:tcW w:type="pct" w:w="1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Furanos</w:t>
            </w:r>
          </w:p>
        </w:tc>
        <w:tc>
          <w:tcPr>
            <w:tcW w:type="pct" w:w="3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concentración + edad → grado polimerización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IEEE C57.104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 de Potencia</w:t>
            </w:r>
          </w:p>
        </w:tc>
        <w:tc>
          <w:tcPr>
            <w:tcW w:type="pct" w:w="3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directo</w:t>
            </w:r>
          </w:p>
        </w:tc>
        <w:tc>
          <w:tcPr>
            <w:tcW w:type="pct" w:w="26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ASTM D924</w:t>
            </w:r>
          </w:p>
        </w:tc>
        <w:tc>
          <w:tcPr>
            <w:tcW w:type="pct" w:w="1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pendiente (no entra al HI hoy)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Duval</w:t>
            </w:r>
          </w:p>
        </w:tc>
        <w:tc>
          <w:tcPr>
            <w:tcW w:type="pct" w:w="3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3 gases → zona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IEC 60599</w:t>
            </w:r>
          </w:p>
        </w:tc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más adelante</w:t>
            </w:r>
          </w:p>
        </w:tc>
      </w:tr>
      <w:tr>
        <w:tc>
          <w:tcPr>
            <w:tcW w:type="pct" w:w="2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Eléctricas/Devanados</w:t>
            </w:r>
          </w:p>
        </w:tc>
        <w:tc>
          <w:tcPr>
            <w:tcW w:type="pct" w:w="3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tipo trafo</w:t>
            </w:r>
          </w:p>
        </w:tc>
        <w:tc>
          <w:tcPr>
            <w:tcW w:type="pct" w:w="26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interno</w:t>
            </w:r>
          </w:p>
        </w:tc>
        <w:tc>
          <w:tcPr>
            <w:tcW w:type="pct" w:w="1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incompleta en el viejo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5.1 Detalle de cromatografía (la construida)</w:t>
      </w:r>
    </w:p>
    <w:p>
      <w:pPr>
        <w:spacing w:after="120" w:line="276"/>
      </w:pPr>
      <w:r>
        <w:rPr>
          <w:sz w:val="22"/>
          <w:szCs w:val="22"/>
        </w:rPr>
        <w:t xml:space="preserve">198 reglas (escalones) cargadas desde </w:t>
      </w:r>
      <w:r>
        <w:rPr>
          <w:rFonts w:ascii="Consolas" w:cs="Consolas" w:eastAsia="Consolas" w:hAnsi="Consolas"/>
          <w:sz w:val="20"/>
          <w:szCs w:val="20"/>
        </w:rPr>
        <w:t xml:space="preserve">cromas_rules.json</w:t>
      </w:r>
      <w:r>
        <w:rPr>
          <w:sz w:val="22"/>
          <w:szCs w:val="22"/>
        </w:rPr>
        <w:t xml:space="preserve">, agrupadas en cuadros (rule_sets):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Aceite</w:t>
            </w:r>
          </w:p>
        </w:tc>
        <w:tc>
          <w:tcPr>
            <w:tcW w:type="pct" w:w="40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trafo</w:t>
            </w:r>
          </w:p>
        </w:tc>
        <w:tc>
          <w:tcPr>
            <w:tcW w:type="pct" w:w="26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Escalones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Mineral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Potencia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Mineral</w:t>
            </w:r>
          </w:p>
        </w:tc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Distribución</w:t>
            </w:r>
          </w:p>
        </w:tc>
        <w:tc>
          <w:tcPr>
            <w:tcW w:type="pct" w:w="26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Silicona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(todos)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pct" w:w="34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Vegetal Soya</w:t>
            </w:r>
          </w:p>
        </w:tc>
        <w:tc>
          <w:tcPr>
            <w:tcW w:type="pct" w:w="40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Distribución</w:t>
            </w:r>
          </w:p>
        </w:tc>
        <w:tc>
          <w:tcPr>
            <w:tcW w:type="pct" w:w="26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Vegetal Girasol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Distribución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Pesos por gas (mineral): H2=2, CH4=3, C2H4=3, C2H6=3, CO=1, CO2=1, C2H2=5. Peso total: 18 (mineral/silicona), 17 (vegetales). Semáforo: &lt;1.2 Muy Bueno, 1.2-1.5 Bueno, 1.5-2 Medio, 2-3 Malo, ≥3 Muy Malo.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El índice de salud (HI)</w:t>
      </w:r>
    </w:p>
    <w:p>
      <w:pPr>
        <w:spacing w:after="120" w:line="276"/>
      </w:pPr>
      <w:r>
        <w:rPr>
          <w:sz w:val="22"/>
          <w:szCs w:val="22"/>
        </w:rPr>
        <w:t xml:space="preserve">El diagnóstico final del transformador. El viejo estaba mal (denominador fijo). El nuevo usa la fórmula de Hitachi con PESO DINÁMICO: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HI = Σ(peso × rating) / Σ(peso × 4) × 100</w:t>
      </w:r>
    </w:p>
    <w:p>
      <w:pPr>
        <w:spacing w:after="120" w:line="276"/>
      </w:pPr>
      <w:r>
        <w:rPr>
          <w:sz w:val="22"/>
          <w:szCs w:val="22"/>
        </w:rPr>
        <w:t xml:space="preserve">Solo entran al cálculo las pruebas que TIENEN datos. Si a un trafo solo se le hizo cromatografía, el HI se calcula solo con eso — no se castiga por las pruebas faltantes. Hoy entran 3 pruebas (cromas peso 10, fiquis 6, furanos 5); el factor de potencia está previsto pero desactivado. El modelo completo de Hitachi tiene 20 criterios posibles (ver Catálogo Maestro, hoja 10).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Estado y plan de construcción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8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pct" w:w="42%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pct" w:w="5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Migraciones del motor (tablas)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pct" w:w="5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Modelos Eloquent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pct" w:w="5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Seeders (catálogos + 198 reglas cromas)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pct" w:w="5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 ChromatographyEngine + comando de prueba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pct" w:w="5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contra el sistema viejo (varios trafos)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siguiente</w:t>
            </w:r>
          </w:p>
        </w:tc>
      </w:tr>
      <w:tr>
        <w:tc>
          <w:tcPr>
            <w:tcW w:type="pct" w:w="5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Generalizar el motor a las demás pruebas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siguiente</w:t>
            </w:r>
          </w:p>
        </w:tc>
      </w:tr>
      <w:tr>
        <w:tc>
          <w:tcPr>
            <w:tcW w:type="pct" w:w="5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Índice de salud combinado (Hitachi, peso dinámico)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pct" w:w="58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 de edición agrupada de reglas</w:t>
            </w:r>
          </w:p>
        </w:tc>
        <w:tc>
          <w:tcPr>
            <w:tcW w:type="pct" w:w="42%"/>
            <w:shd w:fill="F4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pct" w:w="5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Duval, migración de datos viejos, reportes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más adelante</w:t>
            </w:r>
          </w:p>
        </w:tc>
      </w:tr>
    </w:tbl>
    <w:p>
      <w:pPr>
        <w:pBdr>
          <w:top w:val="single" w:color="1F4E79" w:sz="6"/>
        </w:pBdr>
        <w:spacing w:before="240"/>
      </w:pPr>
      <w:r>
        <w:rPr>
          <w:b/>
          <w:bCs/>
          <w:color w:val="1F4E79"/>
          <w:sz w:val="22"/>
          <w:szCs w:val="22"/>
        </w:rPr>
        <w:t xml:space="preserve">Regla de oro del proyecto: </w:t>
      </w:r>
      <w:r>
        <w:rPr>
          <w:sz w:val="22"/>
          <w:szCs w:val="22"/>
        </w:rPr>
        <w:t xml:space="preserve">si te piden agregar una condición y tu instinto es escribir un if nuevo en el motor, detente — casi siempre es una fila de datos. El código solo tiene fórmulas; todo lo que cambia vive en tablas.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TR APP — Arquitectura técnica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 APP</dc:creator>
  <cp:lastModifiedBy>Un-named</cp:lastModifiedBy>
  <cp:revision>1</cp:revision>
  <dcterms:created xsi:type="dcterms:W3CDTF">2026-06-03T06:42:36.735Z</dcterms:created>
  <dcterms:modified xsi:type="dcterms:W3CDTF">2026-06-03T06:42:36.753Z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