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4E79"/>
          <w:sz w:val="64"/>
          <w:szCs w:val="64"/>
        </w:rPr>
        <w:t xml:space="preserve">TR APP</w:t>
      </w:r>
    </w:p>
    <w:p>
      <w:pPr>
        <w:spacing w:after="120"/>
        <w:jc w:val="center"/>
      </w:pPr>
      <w:r>
        <w:rPr>
          <w:color w:val="2E5C8A"/>
          <w:sz w:val="32"/>
          <w:szCs w:val="32"/>
        </w:rPr>
        <w:t xml:space="preserve">Decisiones de diseño del sistema nuevo</w:t>
      </w:r>
    </w:p>
    <w:p>
      <w:pPr>
        <w:spacing w:after="600"/>
        <w:jc w:val="center"/>
      </w:pPr>
      <w:r>
        <w:rPr>
          <w:i/>
          <w:iCs/>
          <w:color w:val="666666"/>
          <w:sz w:val="24"/>
          <w:szCs w:val="24"/>
        </w:rPr>
        <w:t xml:space="preserve">Las reglas fijas con las que se construye el software de diagnóstico</w:t>
      </w:r>
    </w:p>
    <w:p>
      <w:pPr>
        <w:jc w:val="center"/>
      </w:pPr>
      <w:r>
        <w:rPr>
          <w:color w:val="666666"/>
          <w:sz w:val="20"/>
          <w:szCs w:val="20"/>
        </w:rPr>
        <w:t xml:space="preserve">Mayo 2026</w:t>
      </w:r>
    </w:p>
    <w:p>
      <w:pPr>
        <w:pageBreakBefore/>
      </w:pPr>
    </w:p>
    <w:p>
      <w:pPr>
        <w:pStyle w:val="Heading1"/>
        <w:spacing w:after="140" w:before="320"/>
      </w:pPr>
      <w:r>
        <w:rPr>
          <w:b/>
          <w:bCs/>
          <w:color w:val="1F4E79"/>
          <w:sz w:val="30"/>
          <w:szCs w:val="30"/>
        </w:rPr>
        <w:t xml:space="preserve">Para qué sirve este documento</w:t>
      </w:r>
    </w:p>
    <w:p>
      <w:pPr>
        <w:spacing w:after="120" w:line="276"/>
      </w:pPr>
      <w:r>
        <w:rPr>
          <w:sz w:val="22"/>
          <w:szCs w:val="22"/>
        </w:rPr>
        <w:t xml:space="preserve">Este documento fija las </w:t>
      </w:r>
      <w:r>
        <w:rPr>
          <w:b/>
          <w:bCs/>
          <w:sz w:val="22"/>
          <w:szCs w:val="22"/>
        </w:rPr>
        <w:t xml:space="preserve">decisiones de diseño</w:t>
      </w:r>
      <w:r>
        <w:rPr>
          <w:sz w:val="22"/>
          <w:szCs w:val="22"/>
        </w:rPr>
        <w:t xml:space="preserve"> del nuevo sistema de diagnóstico, para no repetir el problema del sistema anterior: condiciones estáticas clavadas en el código. Cada decisión aquí apunta al mismo principio: </w:t>
      </w:r>
      <w:r>
        <w:rPr>
          <w:b/>
          <w:bCs/>
          <w:sz w:val="22"/>
          <w:szCs w:val="22"/>
        </w:rPr>
        <w:t xml:space="preserve">las reglas, pesos y criterios son datos editables, no código.</w:t>
      </w:r>
    </w:p>
    <w:p>
      <w:pPr>
        <w:spacing w:after="120" w:line="276"/>
      </w:pPr>
      <w:r>
        <w:rPr>
          <w:sz w:val="22"/>
          <w:szCs w:val="22"/>
        </w:rPr>
        <w:t xml:space="preserve">Está pensado para que el desarrollador (tú) construya con reglas claras, sin tener que ser experto en diagnóstico de transformadores. Donde hubo que decidir un criterio técnico, se eligió la opción más segura y expandible.</w:t>
      </w:r>
    </w:p>
    <w:p>
      <w:pPr>
        <w:pStyle w:val="Heading1"/>
        <w:spacing w:after="140" w:before="320"/>
      </w:pPr>
      <w:r>
        <w:rPr>
          <w:b/>
          <w:bCs/>
          <w:color w:val="1F4E79"/>
          <w:sz w:val="30"/>
          <w:szCs w:val="30"/>
        </w:rPr>
        <w:t xml:space="preserve">1. El principio que gobierna todo</w:t>
      </w:r>
    </w:p>
    <w:p>
      <w:pPr>
        <w:spacing w:after="120" w:line="276"/>
      </w:pPr>
      <w:r>
        <w:rPr>
          <w:sz w:val="22"/>
          <w:szCs w:val="22"/>
        </w:rPr>
        <w:t xml:space="preserve">El sistema anterior falló porque cada caso nuevo ('para silicona así', 'para horno asá') se tradujo a una condición nueva en el código. El resultado: cientos de métodos repetidos imposibles de mantener. El índice de salud salió mal por la misma razón — pesos y criterios fijos en el código.</w:t>
      </w:r>
    </w:p>
    <w:p>
      <w:pPr>
        <w:spacing w:after="120" w:line="276"/>
      </w:pPr>
      <w:r>
        <w:rPr>
          <w:b/>
          <w:bCs/>
          <w:sz w:val="22"/>
          <w:szCs w:val="22"/>
        </w:rPr>
        <w:t xml:space="preserve">La regla de oro del sistema nuevo: </w:t>
      </w:r>
      <w:r>
        <w:rPr>
          <w:sz w:val="22"/>
          <w:szCs w:val="22"/>
        </w:rPr>
        <w:t xml:space="preserve">para todo lo que pueda cambiar (un umbral, un peso, un tipo de aceite, un criterio del índice), debe poder cambiarse editando datos en una tabla, sin tocar el código. El código solo contiene las fórmulas, que no cambian.</w:t>
      </w:r>
    </w:p>
    <w:p>
      <w:pPr>
        <w:pStyle w:val="Heading1"/>
        <w:spacing w:after="140" w:before="320"/>
      </w:pPr>
      <w:r>
        <w:rPr>
          <w:b/>
          <w:bCs/>
          <w:color w:val="1F4E79"/>
          <w:sz w:val="30"/>
          <w:szCs w:val="30"/>
        </w:rPr>
        <w:t xml:space="preserve">2. Las 5 pruebas y su patrón común</w:t>
      </w:r>
    </w:p>
    <w:p>
      <w:pPr>
        <w:spacing w:after="120" w:line="276"/>
      </w:pPr>
      <w:r>
        <w:rPr>
          <w:sz w:val="22"/>
          <w:szCs w:val="22"/>
        </w:rPr>
        <w:t xml:space="preserve">Todas las pruebas comparten la misma mecánica: un valor medido cae en un escalón, recibe un score, se pondera, y produce un resultado. Solo cambian qué miden y qué tan desarrolladas están.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rPr>
          <w:tblHeader/>
        </w:trPr>
        <w:tc>
          <w:tcPr>
            <w:tcW w:type="pct" w:w="24%"/>
            <w:shd w:fill="1F4E79" w:val="clear"/>
            <w:tcMar>
              <w:top w:type="dxa" w:w="60"/>
              <w:left w:type="dxa" w:w="90"/>
              <w:bottom w:type="dxa" w:w="60"/>
              <w:right w:type="dxa" w:w="90"/>
            </w:tcMar>
          </w:tcPr>
          <w:p>
            <w:pPr>
              <w:jc w:val="left"/>
            </w:pPr>
            <w:r>
              <w:rPr>
                <w:b/>
                <w:bCs/>
                <w:color w:val="FFFFFF"/>
                <w:sz w:val="20"/>
                <w:szCs w:val="20"/>
              </w:rPr>
              <w:t xml:space="preserve">Prueba</w:t>
            </w:r>
          </w:p>
        </w:tc>
        <w:tc>
          <w:tcPr>
            <w:tcW w:type="pct" w:w="46%"/>
            <w:shd w:fill="1F4E79" w:val="clear"/>
            <w:tcMar>
              <w:top w:type="dxa" w:w="60"/>
              <w:left w:type="dxa" w:w="90"/>
              <w:bottom w:type="dxa" w:w="60"/>
              <w:right w:type="dxa" w:w="90"/>
            </w:tcMar>
          </w:tcPr>
          <w:p>
            <w:pPr>
              <w:jc w:val="left"/>
            </w:pPr>
            <w:r>
              <w:rPr>
                <w:b/>
                <w:bCs/>
                <w:color w:val="FFFFFF"/>
                <w:sz w:val="20"/>
                <w:szCs w:val="20"/>
              </w:rPr>
              <w:t xml:space="preserve">Qué evalúa</w:t>
            </w:r>
          </w:p>
        </w:tc>
        <w:tc>
          <w:tcPr>
            <w:tcW w:type="pct" w:w="30%"/>
            <w:shd w:fill="1F4E79" w:val="clear"/>
            <w:tcMar>
              <w:top w:type="dxa" w:w="60"/>
              <w:left w:type="dxa" w:w="90"/>
              <w:bottom w:type="dxa" w:w="60"/>
              <w:right w:type="dxa" w:w="90"/>
            </w:tcMar>
          </w:tcPr>
          <w:p>
            <w:pPr>
              <w:jc w:val="left"/>
            </w:pPr>
            <w:r>
              <w:rPr>
                <w:b/>
                <w:bCs/>
                <w:color w:val="FFFFFF"/>
                <w:sz w:val="20"/>
                <w:szCs w:val="20"/>
              </w:rPr>
              <w:t xml:space="preserve">Estado en el sistema viejo</w:t>
            </w:r>
          </w:p>
        </w:tc>
      </w:tr>
      <w:tr>
        <w:tc>
          <w:tcPr>
            <w:tcW w:type="pct" w:w="24%"/>
            <w:tcMar>
              <w:top w:type="dxa" w:w="60"/>
              <w:left w:type="dxa" w:w="90"/>
              <w:bottom w:type="dxa" w:w="60"/>
              <w:right w:type="dxa" w:w="90"/>
            </w:tcMar>
          </w:tcPr>
          <w:p>
            <w:pPr>
              <w:jc w:val="left"/>
            </w:pPr>
            <w:r>
              <w:rPr>
                <w:b w:val="false"/>
                <w:bCs w:val="false"/>
                <w:color w:val="000000"/>
                <w:sz w:val="20"/>
                <w:szCs w:val="20"/>
              </w:rPr>
              <w:t xml:space="preserve">Cromatografía (DGA)</w:t>
            </w:r>
          </w:p>
        </w:tc>
        <w:tc>
          <w:tcPr>
            <w:tcW w:type="pct" w:w="46%"/>
            <w:tcMar>
              <w:top w:type="dxa" w:w="60"/>
              <w:left w:type="dxa" w:w="90"/>
              <w:bottom w:type="dxa" w:w="60"/>
              <w:right w:type="dxa" w:w="90"/>
            </w:tcMar>
          </w:tcPr>
          <w:p>
            <w:pPr>
              <w:jc w:val="left"/>
            </w:pPr>
            <w:r>
              <w:rPr>
                <w:b w:val="false"/>
                <w:bCs w:val="false"/>
                <w:color w:val="000000"/>
                <w:sz w:val="20"/>
                <w:szCs w:val="20"/>
              </w:rPr>
              <w:t xml:space="preserve">Gases en el aceite → fallas activas</w:t>
            </w:r>
          </w:p>
        </w:tc>
        <w:tc>
          <w:tcPr>
            <w:tcW w:type="pct" w:w="30%"/>
            <w:tcMar>
              <w:top w:type="dxa" w:w="60"/>
              <w:left w:type="dxa" w:w="90"/>
              <w:bottom w:type="dxa" w:w="60"/>
              <w:right w:type="dxa" w:w="90"/>
            </w:tcMar>
          </w:tcPr>
          <w:p>
            <w:pPr>
              <w:jc w:val="left"/>
            </w:pPr>
            <w:r>
              <w:rPr>
                <w:b w:val="false"/>
                <w:bCs w:val="false"/>
                <w:color w:val="000000"/>
                <w:sz w:val="20"/>
                <w:szCs w:val="20"/>
              </w:rPr>
              <w:t xml:space="preserve">Completa, es la principal</w:t>
            </w:r>
          </w:p>
        </w:tc>
      </w:tr>
      <w:tr>
        <w:tc>
          <w:tcPr>
            <w:tcW w:type="pct" w:w="24%"/>
            <w:shd w:fill="F4F8FC" w:val="clear"/>
            <w:tcMar>
              <w:top w:type="dxa" w:w="60"/>
              <w:left w:type="dxa" w:w="90"/>
              <w:bottom w:type="dxa" w:w="60"/>
              <w:right w:type="dxa" w:w="90"/>
            </w:tcMar>
          </w:tcPr>
          <w:p>
            <w:pPr>
              <w:jc w:val="left"/>
            </w:pPr>
            <w:r>
              <w:rPr>
                <w:b w:val="false"/>
                <w:bCs w:val="false"/>
                <w:color w:val="000000"/>
                <w:sz w:val="20"/>
                <w:szCs w:val="20"/>
              </w:rPr>
              <w:t xml:space="preserve">Fisicoquímica</w:t>
            </w:r>
          </w:p>
        </w:tc>
        <w:tc>
          <w:tcPr>
            <w:tcW w:type="pct" w:w="46%"/>
            <w:shd w:fill="F4F8FC" w:val="clear"/>
            <w:tcMar>
              <w:top w:type="dxa" w:w="60"/>
              <w:left w:type="dxa" w:w="90"/>
              <w:bottom w:type="dxa" w:w="60"/>
              <w:right w:type="dxa" w:w="90"/>
            </w:tcMar>
          </w:tcPr>
          <w:p>
            <w:pPr>
              <w:jc w:val="left"/>
            </w:pPr>
            <w:r>
              <w:rPr>
                <w:b w:val="false"/>
                <w:bCs w:val="false"/>
                <w:color w:val="000000"/>
                <w:sz w:val="20"/>
                <w:szCs w:val="20"/>
              </w:rPr>
              <w:t xml:space="preserve">Salud del aceite (humedad, acidez, rigidez…)</w:t>
            </w:r>
          </w:p>
        </w:tc>
        <w:tc>
          <w:tcPr>
            <w:tcW w:type="pct" w:w="30%"/>
            <w:shd w:fill="F4F8FC" w:val="clear"/>
            <w:tcMar>
              <w:top w:type="dxa" w:w="60"/>
              <w:left w:type="dxa" w:w="90"/>
              <w:bottom w:type="dxa" w:w="60"/>
              <w:right w:type="dxa" w:w="90"/>
            </w:tcMar>
          </w:tcPr>
          <w:p>
            <w:pPr>
              <w:jc w:val="left"/>
            </w:pPr>
            <w:r>
              <w:rPr>
                <w:b w:val="false"/>
                <w:bCs w:val="false"/>
                <w:color w:val="000000"/>
                <w:sz w:val="20"/>
                <w:szCs w:val="20"/>
              </w:rPr>
              <w:t xml:space="preserve">Completa</w:t>
            </w:r>
          </w:p>
        </w:tc>
      </w:tr>
      <w:tr>
        <w:tc>
          <w:tcPr>
            <w:tcW w:type="pct" w:w="24%"/>
            <w:tcMar>
              <w:top w:type="dxa" w:w="60"/>
              <w:left w:type="dxa" w:w="90"/>
              <w:bottom w:type="dxa" w:w="60"/>
              <w:right w:type="dxa" w:w="90"/>
            </w:tcMar>
          </w:tcPr>
          <w:p>
            <w:pPr>
              <w:jc w:val="left"/>
            </w:pPr>
            <w:r>
              <w:rPr>
                <w:b w:val="false"/>
                <w:bCs w:val="false"/>
                <w:color w:val="000000"/>
                <w:sz w:val="20"/>
                <w:szCs w:val="20"/>
              </w:rPr>
              <w:t xml:space="preserve">Furanos</w:t>
            </w:r>
          </w:p>
        </w:tc>
        <w:tc>
          <w:tcPr>
            <w:tcW w:type="pct" w:w="46%"/>
            <w:tcMar>
              <w:top w:type="dxa" w:w="60"/>
              <w:left w:type="dxa" w:w="90"/>
              <w:bottom w:type="dxa" w:w="60"/>
              <w:right w:type="dxa" w:w="90"/>
            </w:tcMar>
          </w:tcPr>
          <w:p>
            <w:pPr>
              <w:jc w:val="left"/>
            </w:pPr>
            <w:r>
              <w:rPr>
                <w:b w:val="false"/>
                <w:bCs w:val="false"/>
                <w:color w:val="000000"/>
                <w:sz w:val="20"/>
                <w:szCs w:val="20"/>
              </w:rPr>
              <w:t xml:space="preserve">Envejecimiento del papel aislante → vida útil</w:t>
            </w:r>
          </w:p>
        </w:tc>
        <w:tc>
          <w:tcPr>
            <w:tcW w:type="pct" w:w="30%"/>
            <w:tcMar>
              <w:top w:type="dxa" w:w="60"/>
              <w:left w:type="dxa" w:w="90"/>
              <w:bottom w:type="dxa" w:w="60"/>
              <w:right w:type="dxa" w:w="90"/>
            </w:tcMar>
          </w:tcPr>
          <w:p>
            <w:pPr>
              <w:jc w:val="left"/>
            </w:pPr>
            <w:r>
              <w:rPr>
                <w:b w:val="false"/>
                <w:bCs w:val="false"/>
                <w:color w:val="000000"/>
                <w:sz w:val="20"/>
                <w:szCs w:val="20"/>
              </w:rPr>
              <w:t xml:space="preserve">Funcional</w:t>
            </w:r>
          </w:p>
        </w:tc>
      </w:tr>
      <w:tr>
        <w:tc>
          <w:tcPr>
            <w:tcW w:type="pct" w:w="24%"/>
            <w:shd w:fill="F4F8FC" w:val="clear"/>
            <w:tcMar>
              <w:top w:type="dxa" w:w="60"/>
              <w:left w:type="dxa" w:w="90"/>
              <w:bottom w:type="dxa" w:w="60"/>
              <w:right w:type="dxa" w:w="90"/>
            </w:tcMar>
          </w:tcPr>
          <w:p>
            <w:pPr>
              <w:jc w:val="left"/>
            </w:pPr>
            <w:r>
              <w:rPr>
                <w:b w:val="false"/>
                <w:bCs w:val="false"/>
                <w:color w:val="000000"/>
                <w:sz w:val="20"/>
                <w:szCs w:val="20"/>
              </w:rPr>
              <w:t xml:space="preserve">Factor de potencia</w:t>
            </w:r>
          </w:p>
        </w:tc>
        <w:tc>
          <w:tcPr>
            <w:tcW w:type="pct" w:w="46%"/>
            <w:shd w:fill="F4F8FC" w:val="clear"/>
            <w:tcMar>
              <w:top w:type="dxa" w:w="60"/>
              <w:left w:type="dxa" w:w="90"/>
              <w:bottom w:type="dxa" w:w="60"/>
              <w:right w:type="dxa" w:w="90"/>
            </w:tcMar>
          </w:tcPr>
          <w:p>
            <w:pPr>
              <w:jc w:val="left"/>
            </w:pPr>
            <w:r>
              <w:rPr>
                <w:b w:val="false"/>
                <w:bCs w:val="false"/>
                <w:color w:val="000000"/>
                <w:sz w:val="20"/>
                <w:szCs w:val="20"/>
              </w:rPr>
              <w:t xml:space="preserve">Fuga del aislamiento</w:t>
            </w:r>
          </w:p>
        </w:tc>
        <w:tc>
          <w:tcPr>
            <w:tcW w:type="pct" w:w="30%"/>
            <w:shd w:fill="F4F8FC" w:val="clear"/>
            <w:tcMar>
              <w:top w:type="dxa" w:w="60"/>
              <w:left w:type="dxa" w:w="90"/>
              <w:bottom w:type="dxa" w:w="60"/>
              <w:right w:type="dxa" w:w="90"/>
            </w:tcMar>
          </w:tcPr>
          <w:p>
            <w:pPr>
              <w:jc w:val="left"/>
            </w:pPr>
            <w:r>
              <w:rPr>
                <w:b w:val="false"/>
                <w:bCs w:val="false"/>
                <w:color w:val="000000"/>
                <w:sz w:val="20"/>
                <w:szCs w:val="20"/>
              </w:rPr>
              <w:t xml:space="preserve">Calcula score, pero NO entra al índice</w:t>
            </w:r>
          </w:p>
        </w:tc>
      </w:tr>
      <w:tr>
        <w:tc>
          <w:tcPr>
            <w:tcW w:type="pct" w:w="24%"/>
            <w:tcMar>
              <w:top w:type="dxa" w:w="60"/>
              <w:left w:type="dxa" w:w="90"/>
              <w:bottom w:type="dxa" w:w="60"/>
              <w:right w:type="dxa" w:w="90"/>
            </w:tcMar>
          </w:tcPr>
          <w:p>
            <w:pPr>
              <w:jc w:val="left"/>
            </w:pPr>
            <w:r>
              <w:rPr>
                <w:b w:val="false"/>
                <w:bCs w:val="false"/>
                <w:color w:val="000000"/>
                <w:sz w:val="20"/>
                <w:szCs w:val="20"/>
              </w:rPr>
              <w:t xml:space="preserve">Eléctricas / Devanados</w:t>
            </w:r>
          </w:p>
        </w:tc>
        <w:tc>
          <w:tcPr>
            <w:tcW w:type="pct" w:w="46%"/>
            <w:tcMar>
              <w:top w:type="dxa" w:w="60"/>
              <w:left w:type="dxa" w:w="90"/>
              <w:bottom w:type="dxa" w:w="60"/>
              <w:right w:type="dxa" w:w="90"/>
            </w:tcMar>
          </w:tcPr>
          <w:p>
            <w:pPr>
              <w:jc w:val="left"/>
            </w:pPr>
            <w:r>
              <w:rPr>
                <w:b w:val="false"/>
                <w:bCs w:val="false"/>
                <w:color w:val="000000"/>
                <w:sz w:val="20"/>
                <w:szCs w:val="20"/>
              </w:rPr>
              <w:t xml:space="preserve">Estado de los bobinados</w:t>
            </w:r>
          </w:p>
        </w:tc>
        <w:tc>
          <w:tcPr>
            <w:tcW w:type="pct" w:w="30%"/>
            <w:tcMar>
              <w:top w:type="dxa" w:w="60"/>
              <w:left w:type="dxa" w:w="90"/>
              <w:bottom w:type="dxa" w:w="60"/>
              <w:right w:type="dxa" w:w="90"/>
            </w:tcMar>
          </w:tcPr>
          <w:p>
            <w:pPr>
              <w:jc w:val="left"/>
            </w:pPr>
            <w:r>
              <w:rPr>
                <w:b w:val="false"/>
                <w:bCs w:val="false"/>
                <w:color w:val="000000"/>
                <w:sz w:val="20"/>
                <w:szCs w:val="20"/>
              </w:rPr>
              <w:t xml:space="preserve">Incompleta, a medio implementar</w:t>
            </w:r>
          </w:p>
        </w:tc>
      </w:tr>
    </w:tbl>
    <w:p>
      <w:pPr>
        <w:pStyle w:val="Heading1"/>
        <w:spacing w:after="140" w:before="320"/>
      </w:pPr>
      <w:r>
        <w:rPr>
          <w:b/>
          <w:bCs/>
          <w:color w:val="1F4E79"/>
          <w:sz w:val="30"/>
          <w:szCs w:val="30"/>
        </w:rPr>
        <w:t xml:space="preserve">3. El índice de salud — el arreglo central</w:t>
      </w:r>
    </w:p>
    <w:p>
      <w:pPr>
        <w:spacing w:after="120" w:line="276"/>
      </w:pPr>
      <w:r>
        <w:rPr>
          <w:sz w:val="22"/>
          <w:szCs w:val="22"/>
        </w:rPr>
        <w:t xml:space="preserve">El índice de salud del sistema viejo está mal, y la causa está identificada: el divisor estaba fijo y algunos criterios estaban clavados o comentados. La fórmula correcta proviene del documento original de Hitachi Energy:</w:t>
      </w:r>
    </w:p>
    <w:p>
      <w:pPr>
        <w:spacing w:after="120" w:line="276"/>
        <w:jc w:val="center"/>
      </w:pPr>
      <w:r>
        <w:rPr>
          <w:rFonts w:ascii="Consolas" w:cs="Consolas" w:eastAsia="Consolas" w:hAnsi="Consolas"/>
          <w:b/>
          <w:bCs/>
          <w:color w:val="1F4E79"/>
          <w:sz w:val="24"/>
          <w:szCs w:val="24"/>
        </w:rPr>
        <w:t xml:space="preserve">HI = Σ(peso × rating) / Σ(peso × 4) × 100</w:t>
      </w:r>
    </w:p>
    <w:p>
      <w:pPr>
        <w:spacing w:after="120" w:line="276"/>
      </w:pPr>
      <w:r>
        <w:rPr>
          <w:b/>
          <w:bCs/>
          <w:sz w:val="22"/>
          <w:szCs w:val="22"/>
        </w:rPr>
        <w:t xml:space="preserve">La clave: </w:t>
      </w:r>
      <w:r>
        <w:rPr>
          <w:sz w:val="22"/>
          <w:szCs w:val="22"/>
        </w:rPr>
        <w:t xml:space="preserve">solo entran al cálculo los criterios que tienen datos (peso dinámico). Si a un transformador solo se le hizo cromatografía, el índice se calcula solo con cromatografía — no se castiga por las pruebas que faltan. Esto resuelve el problema que el sistema viejo tenía mal.</w:t>
      </w:r>
    </w:p>
    <w:p>
      <w:pPr>
        <w:pStyle w:val="Heading1"/>
        <w:spacing w:after="140" w:before="320"/>
      </w:pPr>
      <w:r>
        <w:rPr>
          <w:b/>
          <w:bCs/>
          <w:color w:val="1F4E79"/>
          <w:sz w:val="30"/>
          <w:szCs w:val="30"/>
        </w:rPr>
        <w:t xml:space="preserve">4. Las decisiones fijadas</w:t>
      </w:r>
    </w:p>
    <w:p>
      <w:pPr>
        <w:spacing w:after="120" w:line="276"/>
      </w:pPr>
      <w:r>
        <w:rPr>
          <w:sz w:val="22"/>
          <w:szCs w:val="22"/>
        </w:rPr>
        <w:t xml:space="preserve">Estas son las decisiones tomadas. Todas siguen la lógica 'arranca seguro, expande con datos'. Ninguna encierra el sistema.</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rPr>
          <w:tblHeader/>
        </w:trPr>
        <w:tc>
          <w:tcPr>
            <w:tcW w:type="pct" w:w="5%"/>
            <w:shd w:fill="1F4E79" w:val="clear"/>
            <w:tcMar>
              <w:top w:type="dxa" w:w="60"/>
              <w:left w:type="dxa" w:w="90"/>
              <w:bottom w:type="dxa" w:w="60"/>
              <w:right w:type="dxa" w:w="90"/>
            </w:tcMar>
          </w:tcPr>
          <w:p>
            <w:pPr>
              <w:jc w:val="left"/>
            </w:pPr>
            <w:r>
              <w:rPr>
                <w:b/>
                <w:bCs/>
                <w:color w:val="FFFFFF"/>
                <w:sz w:val="20"/>
                <w:szCs w:val="20"/>
              </w:rPr>
              <w:t xml:space="preserve">#</w:t>
            </w:r>
          </w:p>
        </w:tc>
        <w:tc>
          <w:tcPr>
            <w:tcW w:type="pct" w:w="26%"/>
            <w:shd w:fill="1F4E79" w:val="clear"/>
            <w:tcMar>
              <w:top w:type="dxa" w:w="60"/>
              <w:left w:type="dxa" w:w="90"/>
              <w:bottom w:type="dxa" w:w="60"/>
              <w:right w:type="dxa" w:w="90"/>
            </w:tcMar>
          </w:tcPr>
          <w:p>
            <w:pPr>
              <w:jc w:val="left"/>
            </w:pPr>
            <w:r>
              <w:rPr>
                <w:b/>
                <w:bCs/>
                <w:color w:val="FFFFFF"/>
                <w:sz w:val="20"/>
                <w:szCs w:val="20"/>
              </w:rPr>
              <w:t xml:space="preserve">Decisión</w:t>
            </w:r>
          </w:p>
        </w:tc>
        <w:tc>
          <w:tcPr>
            <w:tcW w:type="pct" w:w="42%"/>
            <w:shd w:fill="1F4E79" w:val="clear"/>
            <w:tcMar>
              <w:top w:type="dxa" w:w="60"/>
              <w:left w:type="dxa" w:w="90"/>
              <w:bottom w:type="dxa" w:w="60"/>
              <w:right w:type="dxa" w:w="90"/>
            </w:tcMar>
          </w:tcPr>
          <w:p>
            <w:pPr>
              <w:jc w:val="left"/>
            </w:pPr>
            <w:r>
              <w:rPr>
                <w:b/>
                <w:bCs/>
                <w:color w:val="FFFFFF"/>
                <w:sz w:val="20"/>
                <w:szCs w:val="20"/>
              </w:rPr>
              <w:t xml:space="preserve">Qué se hace</w:t>
            </w:r>
          </w:p>
        </w:tc>
        <w:tc>
          <w:tcPr>
            <w:tcW w:type="pct" w:w="27%"/>
            <w:shd w:fill="1F4E79" w:val="clear"/>
            <w:tcMar>
              <w:top w:type="dxa" w:w="60"/>
              <w:left w:type="dxa" w:w="90"/>
              <w:bottom w:type="dxa" w:w="60"/>
              <w:right w:type="dxa" w:w="90"/>
            </w:tcMar>
          </w:tcPr>
          <w:p>
            <w:pPr>
              <w:jc w:val="left"/>
            </w:pPr>
            <w:r>
              <w:rPr>
                <w:b/>
                <w:bCs/>
                <w:color w:val="FFFFFF"/>
                <w:sz w:val="20"/>
                <w:szCs w:val="20"/>
              </w:rPr>
              <w:t xml:space="preserve">Por qué</w:t>
            </w:r>
          </w:p>
        </w:tc>
      </w:tr>
      <w:tr>
        <w:tc>
          <w:tcPr>
            <w:tcW w:type="pct" w:w="5%"/>
            <w:tcMar>
              <w:top w:type="dxa" w:w="60"/>
              <w:left w:type="dxa" w:w="90"/>
              <w:bottom w:type="dxa" w:w="60"/>
              <w:right w:type="dxa" w:w="90"/>
            </w:tcMar>
          </w:tcPr>
          <w:p>
            <w:pPr>
              <w:jc w:val="left"/>
            </w:pPr>
            <w:r>
              <w:rPr>
                <w:b w:val="false"/>
                <w:bCs w:val="false"/>
                <w:color w:val="000000"/>
                <w:sz w:val="20"/>
                <w:szCs w:val="20"/>
              </w:rPr>
              <w:t xml:space="preserve">1</w:t>
            </w:r>
          </w:p>
        </w:tc>
        <w:tc>
          <w:tcPr>
            <w:tcW w:type="pct" w:w="26%"/>
            <w:tcMar>
              <w:top w:type="dxa" w:w="60"/>
              <w:left w:type="dxa" w:w="90"/>
              <w:bottom w:type="dxa" w:w="60"/>
              <w:right w:type="dxa" w:w="90"/>
            </w:tcMar>
          </w:tcPr>
          <w:p>
            <w:pPr>
              <w:jc w:val="left"/>
            </w:pPr>
            <w:r>
              <w:rPr>
                <w:b w:val="false"/>
                <w:bCs w:val="false"/>
                <w:color w:val="000000"/>
                <w:sz w:val="20"/>
                <w:szCs w:val="20"/>
              </w:rPr>
              <w:t xml:space="preserve">Pesos del índice de salud</w:t>
            </w:r>
          </w:p>
        </w:tc>
        <w:tc>
          <w:tcPr>
            <w:tcW w:type="pct" w:w="42%"/>
            <w:tcMar>
              <w:top w:type="dxa" w:w="60"/>
              <w:left w:type="dxa" w:w="90"/>
              <w:bottom w:type="dxa" w:w="60"/>
              <w:right w:type="dxa" w:w="90"/>
            </w:tcMar>
          </w:tcPr>
          <w:p>
            <w:pPr>
              <w:jc w:val="left"/>
            </w:pPr>
            <w:r>
              <w:rPr>
                <w:b w:val="false"/>
                <w:bCs w:val="false"/>
                <w:color w:val="000000"/>
                <w:sz w:val="20"/>
                <w:szCs w:val="20"/>
              </w:rPr>
              <w:t xml:space="preserve">Usar los del documento Hitachi (DGA 10, calidad aceite 8, furanos 6, etc.)</w:t>
            </w:r>
          </w:p>
        </w:tc>
        <w:tc>
          <w:tcPr>
            <w:tcW w:type="pct" w:w="27%"/>
            <w:tcMar>
              <w:top w:type="dxa" w:w="60"/>
              <w:left w:type="dxa" w:w="90"/>
              <w:bottom w:type="dxa" w:w="60"/>
              <w:right w:type="dxa" w:w="90"/>
            </w:tcMar>
          </w:tcPr>
          <w:p>
            <w:pPr>
              <w:jc w:val="left"/>
            </w:pPr>
            <w:r>
              <w:rPr>
                <w:b w:val="false"/>
                <w:bCs w:val="false"/>
                <w:color w:val="000000"/>
                <w:sz w:val="20"/>
                <w:szCs w:val="20"/>
              </w:rPr>
              <w:t xml:space="preserve">Es la fuente original y autoritativa; no se inventa nada</w:t>
            </w:r>
          </w:p>
        </w:tc>
      </w:tr>
      <w:tr>
        <w:tc>
          <w:tcPr>
            <w:tcW w:type="pct" w:w="5%"/>
            <w:shd w:fill="F4F8FC" w:val="clear"/>
            <w:tcMar>
              <w:top w:type="dxa" w:w="60"/>
              <w:left w:type="dxa" w:w="90"/>
              <w:bottom w:type="dxa" w:w="60"/>
              <w:right w:type="dxa" w:w="90"/>
            </w:tcMar>
          </w:tcPr>
          <w:p>
            <w:pPr>
              <w:jc w:val="left"/>
            </w:pPr>
            <w:r>
              <w:rPr>
                <w:b w:val="false"/>
                <w:bCs w:val="false"/>
                <w:color w:val="000000"/>
                <w:sz w:val="20"/>
                <w:szCs w:val="20"/>
              </w:rPr>
              <w:t xml:space="preserve">2</w:t>
            </w:r>
          </w:p>
        </w:tc>
        <w:tc>
          <w:tcPr>
            <w:tcW w:type="pct" w:w="26%"/>
            <w:shd w:fill="F4F8FC" w:val="clear"/>
            <w:tcMar>
              <w:top w:type="dxa" w:w="60"/>
              <w:left w:type="dxa" w:w="90"/>
              <w:bottom w:type="dxa" w:w="60"/>
              <w:right w:type="dxa" w:w="90"/>
            </w:tcMar>
          </w:tcPr>
          <w:p>
            <w:pPr>
              <w:jc w:val="left"/>
            </w:pPr>
            <w:r>
              <w:rPr>
                <w:b w:val="false"/>
                <w:bCs w:val="false"/>
                <w:color w:val="000000"/>
                <w:sz w:val="20"/>
                <w:szCs w:val="20"/>
              </w:rPr>
              <w:t xml:space="preserve">Criterios activos al inicio</w:t>
            </w:r>
          </w:p>
        </w:tc>
        <w:tc>
          <w:tcPr>
            <w:tcW w:type="pct" w:w="42%"/>
            <w:shd w:fill="F4F8FC" w:val="clear"/>
            <w:tcMar>
              <w:top w:type="dxa" w:w="60"/>
              <w:left w:type="dxa" w:w="90"/>
              <w:bottom w:type="dxa" w:w="60"/>
              <w:right w:type="dxa" w:w="90"/>
            </w:tcMar>
          </w:tcPr>
          <w:p>
            <w:pPr>
              <w:jc w:val="left"/>
            </w:pPr>
            <w:r>
              <w:rPr>
                <w:b w:val="false"/>
                <w:bCs w:val="false"/>
                <w:color w:val="000000"/>
                <w:sz w:val="20"/>
                <w:szCs w:val="20"/>
              </w:rPr>
              <w:t xml:space="preserve">Activar los 3 que el sistema ya usa (cromas, fisicoquímica, furanos); el resto queda apagado pero listo</w:t>
            </w:r>
          </w:p>
        </w:tc>
        <w:tc>
          <w:tcPr>
            <w:tcW w:type="pct" w:w="27%"/>
            <w:shd w:fill="F4F8FC" w:val="clear"/>
            <w:tcMar>
              <w:top w:type="dxa" w:w="60"/>
              <w:left w:type="dxa" w:w="90"/>
              <w:bottom w:type="dxa" w:w="60"/>
              <w:right w:type="dxa" w:w="90"/>
            </w:tcMar>
          </w:tcPr>
          <w:p>
            <w:pPr>
              <w:jc w:val="left"/>
            </w:pPr>
            <w:r>
              <w:rPr>
                <w:b w:val="false"/>
                <w:bCs w:val="false"/>
                <w:color w:val="000000"/>
                <w:sz w:val="20"/>
                <w:szCs w:val="20"/>
              </w:rPr>
              <w:t xml:space="preserve">No obliga a decidir criterios de ingeniería ahora; se encienden después</w:t>
            </w:r>
          </w:p>
        </w:tc>
      </w:tr>
      <w:tr>
        <w:tc>
          <w:tcPr>
            <w:tcW w:type="pct" w:w="5%"/>
            <w:tcMar>
              <w:top w:type="dxa" w:w="60"/>
              <w:left w:type="dxa" w:w="90"/>
              <w:bottom w:type="dxa" w:w="60"/>
              <w:right w:type="dxa" w:w="90"/>
            </w:tcMar>
          </w:tcPr>
          <w:p>
            <w:pPr>
              <w:jc w:val="left"/>
            </w:pPr>
            <w:r>
              <w:rPr>
                <w:b w:val="false"/>
                <w:bCs w:val="false"/>
                <w:color w:val="000000"/>
                <w:sz w:val="20"/>
                <w:szCs w:val="20"/>
              </w:rPr>
              <w:t xml:space="preserve">3</w:t>
            </w:r>
          </w:p>
        </w:tc>
        <w:tc>
          <w:tcPr>
            <w:tcW w:type="pct" w:w="26%"/>
            <w:tcMar>
              <w:top w:type="dxa" w:w="60"/>
              <w:left w:type="dxa" w:w="90"/>
              <w:bottom w:type="dxa" w:w="60"/>
              <w:right w:type="dxa" w:w="90"/>
            </w:tcMar>
          </w:tcPr>
          <w:p>
            <w:pPr>
              <w:jc w:val="left"/>
            </w:pPr>
            <w:r>
              <w:rPr>
                <w:b w:val="false"/>
                <w:bCs w:val="false"/>
                <w:color w:val="000000"/>
                <w:sz w:val="20"/>
                <w:szCs w:val="20"/>
              </w:rPr>
              <w:t xml:space="preserve">Índice cuando faltan pruebas</w:t>
            </w:r>
          </w:p>
        </w:tc>
        <w:tc>
          <w:tcPr>
            <w:tcW w:type="pct" w:w="42%"/>
            <w:tcMar>
              <w:top w:type="dxa" w:w="60"/>
              <w:left w:type="dxa" w:w="90"/>
              <w:bottom w:type="dxa" w:w="60"/>
              <w:right w:type="dxa" w:w="90"/>
            </w:tcMar>
          </w:tcPr>
          <w:p>
            <w:pPr>
              <w:jc w:val="left"/>
            </w:pPr>
            <w:r>
              <w:rPr>
                <w:b w:val="false"/>
                <w:bCs w:val="false"/>
                <w:color w:val="000000"/>
                <w:sz w:val="20"/>
                <w:szCs w:val="20"/>
              </w:rPr>
              <w:t xml:space="preserve">Calcular con lo que haya y mostrar un aviso de qué pruebas faltan (diagnóstico parcial)</w:t>
            </w:r>
          </w:p>
        </w:tc>
        <w:tc>
          <w:tcPr>
            <w:tcW w:type="pct" w:w="27%"/>
            <w:tcMar>
              <w:top w:type="dxa" w:w="60"/>
              <w:left w:type="dxa" w:w="90"/>
              <w:bottom w:type="dxa" w:w="60"/>
              <w:right w:type="dxa" w:w="90"/>
            </w:tcMar>
          </w:tcPr>
          <w:p>
            <w:pPr>
              <w:jc w:val="left"/>
            </w:pPr>
            <w:r>
              <w:rPr>
                <w:b w:val="false"/>
                <w:bCs w:val="false"/>
                <w:color w:val="000000"/>
                <w:sz w:val="20"/>
                <w:szCs w:val="20"/>
              </w:rPr>
              <w:t xml:space="preserve">Nunca da un resultado engañoso; el ingeniero ve qué se usó</w:t>
            </w:r>
          </w:p>
        </w:tc>
      </w:tr>
      <w:tr>
        <w:tc>
          <w:tcPr>
            <w:tcW w:type="pct" w:w="5%"/>
            <w:shd w:fill="F4F8FC" w:val="clear"/>
            <w:tcMar>
              <w:top w:type="dxa" w:w="60"/>
              <w:left w:type="dxa" w:w="90"/>
              <w:bottom w:type="dxa" w:w="60"/>
              <w:right w:type="dxa" w:w="90"/>
            </w:tcMar>
          </w:tcPr>
          <w:p>
            <w:pPr>
              <w:jc w:val="left"/>
            </w:pPr>
            <w:r>
              <w:rPr>
                <w:b w:val="false"/>
                <w:bCs w:val="false"/>
                <w:color w:val="000000"/>
                <w:sz w:val="20"/>
                <w:szCs w:val="20"/>
              </w:rPr>
              <w:t xml:space="preserve">4</w:t>
            </w:r>
          </w:p>
        </w:tc>
        <w:tc>
          <w:tcPr>
            <w:tcW w:type="pct" w:w="26%"/>
            <w:shd w:fill="F4F8FC" w:val="clear"/>
            <w:tcMar>
              <w:top w:type="dxa" w:w="60"/>
              <w:left w:type="dxa" w:w="90"/>
              <w:bottom w:type="dxa" w:w="60"/>
              <w:right w:type="dxa" w:w="90"/>
            </w:tcMar>
          </w:tcPr>
          <w:p>
            <w:pPr>
              <w:jc w:val="left"/>
            </w:pPr>
            <w:r>
              <w:rPr>
                <w:b w:val="false"/>
                <w:bCs w:val="false"/>
                <w:color w:val="000000"/>
                <w:sz w:val="20"/>
                <w:szCs w:val="20"/>
              </w:rPr>
              <w:t xml:space="preserve">Tipos de aceite</w:t>
            </w:r>
          </w:p>
        </w:tc>
        <w:tc>
          <w:tcPr>
            <w:tcW w:type="pct" w:w="42%"/>
            <w:shd w:fill="F4F8FC" w:val="clear"/>
            <w:tcMar>
              <w:top w:type="dxa" w:w="60"/>
              <w:left w:type="dxa" w:w="90"/>
              <w:bottom w:type="dxa" w:w="60"/>
              <w:right w:type="dxa" w:w="90"/>
            </w:tcMar>
          </w:tcPr>
          <w:p>
            <w:pPr>
              <w:jc w:val="left"/>
            </w:pPr>
            <w:r>
              <w:rPr>
                <w:b w:val="false"/>
                <w:bCs w:val="false"/>
                <w:color w:val="000000"/>
                <w:sz w:val="20"/>
                <w:szCs w:val="20"/>
              </w:rPr>
              <w:t xml:space="preserve">IDs reales del código (1=Mineral, 4=Silicona, 5=Soya, 6=Girasol); ésteres como filas futuras</w:t>
            </w:r>
          </w:p>
        </w:tc>
        <w:tc>
          <w:tcPr>
            <w:tcW w:type="pct" w:w="27%"/>
            <w:shd w:fill="F4F8FC" w:val="clear"/>
            <w:tcMar>
              <w:top w:type="dxa" w:w="60"/>
              <w:left w:type="dxa" w:w="90"/>
              <w:bottom w:type="dxa" w:w="60"/>
              <w:right w:type="dxa" w:w="90"/>
            </w:tcMar>
          </w:tcPr>
          <w:p>
            <w:pPr>
              <w:jc w:val="left"/>
            </w:pPr>
            <w:r>
              <w:rPr>
                <w:b w:val="false"/>
                <w:bCs w:val="false"/>
                <w:color w:val="000000"/>
                <w:sz w:val="20"/>
                <w:szCs w:val="20"/>
              </w:rPr>
              <w:t xml:space="preserve">Respeta la BD real; deja la puerta abierta sin cargar datos que no existen</w:t>
            </w:r>
          </w:p>
        </w:tc>
      </w:tr>
      <w:tr>
        <w:tc>
          <w:tcPr>
            <w:tcW w:type="pct" w:w="5%"/>
            <w:tcMar>
              <w:top w:type="dxa" w:w="60"/>
              <w:left w:type="dxa" w:w="90"/>
              <w:bottom w:type="dxa" w:w="60"/>
              <w:right w:type="dxa" w:w="90"/>
            </w:tcMar>
          </w:tcPr>
          <w:p>
            <w:pPr>
              <w:jc w:val="left"/>
            </w:pPr>
            <w:r>
              <w:rPr>
                <w:b w:val="false"/>
                <w:bCs w:val="false"/>
                <w:color w:val="000000"/>
                <w:sz w:val="20"/>
                <w:szCs w:val="20"/>
              </w:rPr>
              <w:t xml:space="preserve">5</w:t>
            </w:r>
          </w:p>
        </w:tc>
        <w:tc>
          <w:tcPr>
            <w:tcW w:type="pct" w:w="26%"/>
            <w:tcMar>
              <w:top w:type="dxa" w:w="60"/>
              <w:left w:type="dxa" w:w="90"/>
              <w:bottom w:type="dxa" w:w="60"/>
              <w:right w:type="dxa" w:w="90"/>
            </w:tcMar>
          </w:tcPr>
          <w:p>
            <w:pPr>
              <w:jc w:val="left"/>
            </w:pPr>
            <w:r>
              <w:rPr>
                <w:b w:val="false"/>
                <w:bCs w:val="false"/>
                <w:color w:val="000000"/>
                <w:sz w:val="20"/>
                <w:szCs w:val="20"/>
              </w:rPr>
              <w:t xml:space="preserve">Pesos y umbrales</w:t>
            </w:r>
          </w:p>
        </w:tc>
        <w:tc>
          <w:tcPr>
            <w:tcW w:type="pct" w:w="42%"/>
            <w:tcMar>
              <w:top w:type="dxa" w:w="60"/>
              <w:left w:type="dxa" w:w="90"/>
              <w:bottom w:type="dxa" w:w="60"/>
              <w:right w:type="dxa" w:w="90"/>
            </w:tcMar>
          </w:tcPr>
          <w:p>
            <w:pPr>
              <w:jc w:val="left"/>
            </w:pPr>
            <w:r>
              <w:rPr>
                <w:b w:val="false"/>
                <w:bCs w:val="false"/>
                <w:color w:val="000000"/>
                <w:sz w:val="20"/>
                <w:szCs w:val="20"/>
              </w:rPr>
              <w:t xml:space="preserve">Todos en tablas editables, nunca en código</w:t>
            </w:r>
          </w:p>
        </w:tc>
        <w:tc>
          <w:tcPr>
            <w:tcW w:type="pct" w:w="27%"/>
            <w:tcMar>
              <w:top w:type="dxa" w:w="60"/>
              <w:left w:type="dxa" w:w="90"/>
              <w:bottom w:type="dxa" w:w="60"/>
              <w:right w:type="dxa" w:w="90"/>
            </w:tcMar>
          </w:tcPr>
          <w:p>
            <w:pPr>
              <w:jc w:val="left"/>
            </w:pPr>
            <w:r>
              <w:rPr>
                <w:b w:val="false"/>
                <w:bCs w:val="false"/>
                <w:color w:val="000000"/>
                <w:sz w:val="20"/>
                <w:szCs w:val="20"/>
              </w:rPr>
              <w:t xml:space="preserve">Es el corazón de la escalabilidad; evita repetir el error anterior</w:t>
            </w:r>
          </w:p>
        </w:tc>
      </w:tr>
      <w:tr>
        <w:tc>
          <w:tcPr>
            <w:tcW w:type="pct" w:w="5%"/>
            <w:shd w:fill="F4F8FC" w:val="clear"/>
            <w:tcMar>
              <w:top w:type="dxa" w:w="60"/>
              <w:left w:type="dxa" w:w="90"/>
              <w:bottom w:type="dxa" w:w="60"/>
              <w:right w:type="dxa" w:w="90"/>
            </w:tcMar>
          </w:tcPr>
          <w:p>
            <w:pPr>
              <w:jc w:val="left"/>
            </w:pPr>
            <w:r>
              <w:rPr>
                <w:b w:val="false"/>
                <w:bCs w:val="false"/>
                <w:color w:val="000000"/>
                <w:sz w:val="20"/>
                <w:szCs w:val="20"/>
              </w:rPr>
              <w:t xml:space="preserve">6</w:t>
            </w:r>
          </w:p>
        </w:tc>
        <w:tc>
          <w:tcPr>
            <w:tcW w:type="pct" w:w="26%"/>
            <w:shd w:fill="F4F8FC" w:val="clear"/>
            <w:tcMar>
              <w:top w:type="dxa" w:w="60"/>
              <w:left w:type="dxa" w:w="90"/>
              <w:bottom w:type="dxa" w:w="60"/>
              <w:right w:type="dxa" w:w="90"/>
            </w:tcMar>
          </w:tcPr>
          <w:p>
            <w:pPr>
              <w:jc w:val="left"/>
            </w:pPr>
            <w:r>
              <w:rPr>
                <w:b w:val="false"/>
                <w:bCs w:val="false"/>
                <w:color w:val="000000"/>
                <w:sz w:val="20"/>
                <w:szCs w:val="20"/>
              </w:rPr>
              <w:t xml:space="preserve">Factor de potencia y eléctricas</w:t>
            </w:r>
          </w:p>
        </w:tc>
        <w:tc>
          <w:tcPr>
            <w:tcW w:type="pct" w:w="42%"/>
            <w:shd w:fill="F4F8FC" w:val="clear"/>
            <w:tcMar>
              <w:top w:type="dxa" w:w="60"/>
              <w:left w:type="dxa" w:w="90"/>
              <w:bottom w:type="dxa" w:w="60"/>
              <w:right w:type="dxa" w:w="90"/>
            </w:tcMar>
          </w:tcPr>
          <w:p>
            <w:pPr>
              <w:jc w:val="left"/>
            </w:pPr>
            <w:r>
              <w:rPr>
                <w:b w:val="false"/>
                <w:bCs w:val="false"/>
                <w:color w:val="000000"/>
                <w:sz w:val="20"/>
                <w:szCs w:val="20"/>
              </w:rPr>
              <w:t xml:space="preserve">Existen como módulos; activables en el índice cuando se decida</w:t>
            </w:r>
          </w:p>
        </w:tc>
        <w:tc>
          <w:tcPr>
            <w:tcW w:type="pct" w:w="27%"/>
            <w:shd w:fill="F4F8FC" w:val="clear"/>
            <w:tcMar>
              <w:top w:type="dxa" w:w="60"/>
              <w:left w:type="dxa" w:w="90"/>
              <w:bottom w:type="dxa" w:w="60"/>
              <w:right w:type="dxa" w:w="90"/>
            </w:tcMar>
          </w:tcPr>
          <w:p>
            <w:pPr>
              <w:jc w:val="left"/>
            </w:pPr>
            <w:r>
              <w:rPr>
                <w:b w:val="false"/>
                <w:bCs w:val="false"/>
                <w:color w:val="000000"/>
                <w:sz w:val="20"/>
                <w:szCs w:val="20"/>
              </w:rPr>
              <w:t xml:space="preserve">Hoy no entran (igual que el código); se activan editando una fila</w:t>
            </w:r>
          </w:p>
        </w:tc>
      </w:tr>
    </w:tbl>
    <w:p>
      <w:pPr>
        <w:pStyle w:val="Heading1"/>
        <w:spacing w:after="140" w:before="320"/>
      </w:pPr>
      <w:r>
        <w:rPr>
          <w:b/>
          <w:bCs/>
          <w:color w:val="1F4E79"/>
          <w:sz w:val="30"/>
          <w:szCs w:val="30"/>
        </w:rPr>
        <w:t xml:space="preserve">5. El motor de reglas — la estructura</w:t>
      </w:r>
    </w:p>
    <w:p>
      <w:pPr>
        <w:spacing w:after="120" w:line="276"/>
      </w:pPr>
      <w:r>
        <w:rPr>
          <w:sz w:val="22"/>
          <w:szCs w:val="22"/>
        </w:rPr>
        <w:t xml:space="preserve">Las reglas viven en unas pocas tablas relacionadas. El motor de cálculo (código) se escribe una sola vez y lee de estas tablas:</w:t>
      </w:r>
    </w:p>
    <w:p>
      <w:pPr>
        <w:pStyle w:val="ListParagraph"/>
        <w:numPr>
          <w:ilvl w:val="0"/>
          <w:numId w:val="1"/>
        </w:numPr>
        <w:spacing w:after="80" w:line="268"/>
      </w:pPr>
      <w:r>
        <w:rPr>
          <w:rFonts w:ascii="Consolas" w:cs="Consolas" w:eastAsia="Consolas" w:hAnsi="Consolas"/>
          <w:b/>
          <w:bCs/>
          <w:sz w:val="20"/>
          <w:szCs w:val="20"/>
        </w:rPr>
        <w:t xml:space="preserve">tests</w:t>
      </w:r>
      <w:r>
        <w:rPr>
          <w:sz w:val="22"/>
          <w:szCs w:val="22"/>
        </w:rPr>
        <w:t xml:space="preserve"> — el catálogo de pruebas (cromas, fiquis, furanos…), cada una con su peso.</w:t>
      </w:r>
    </w:p>
    <w:p>
      <w:pPr>
        <w:pStyle w:val="ListParagraph"/>
        <w:numPr>
          <w:ilvl w:val="0"/>
          <w:numId w:val="1"/>
        </w:numPr>
        <w:spacing w:after="80" w:line="268"/>
      </w:pPr>
      <w:r>
        <w:rPr>
          <w:rFonts w:ascii="Consolas" w:cs="Consolas" w:eastAsia="Consolas" w:hAnsi="Consolas"/>
          <w:b/>
          <w:bCs/>
          <w:sz w:val="20"/>
          <w:szCs w:val="20"/>
        </w:rPr>
        <w:t xml:space="preserve">standards</w:t>
      </w:r>
      <w:r>
        <w:rPr>
          <w:sz w:val="22"/>
          <w:szCs w:val="22"/>
        </w:rPr>
        <w:t xml:space="preserve"> — las normas (IEEE C57.104, IEC 60599…) con su versión, para trazabilidad.</w:t>
      </w:r>
    </w:p>
    <w:p>
      <w:pPr>
        <w:pStyle w:val="ListParagraph"/>
        <w:numPr>
          <w:ilvl w:val="0"/>
          <w:numId w:val="1"/>
        </w:numPr>
        <w:spacing w:after="80" w:line="268"/>
      </w:pPr>
      <w:r>
        <w:rPr>
          <w:rFonts w:ascii="Consolas" w:cs="Consolas" w:eastAsia="Consolas" w:hAnsi="Consolas"/>
          <w:b/>
          <w:bCs/>
          <w:sz w:val="20"/>
          <w:szCs w:val="20"/>
        </w:rPr>
        <w:t xml:space="preserve">rule_sets</w:t>
      </w:r>
      <w:r>
        <w:rPr>
          <w:sz w:val="22"/>
          <w:szCs w:val="22"/>
        </w:rPr>
        <w:t xml:space="preserve"> — conjuntos de reglas que aplican según tipo de aceite + tipo de trafo + norma.</w:t>
      </w:r>
    </w:p>
    <w:p>
      <w:pPr>
        <w:pStyle w:val="ListParagraph"/>
        <w:numPr>
          <w:ilvl w:val="0"/>
          <w:numId w:val="1"/>
        </w:numPr>
        <w:spacing w:after="80" w:line="268"/>
      </w:pPr>
      <w:r>
        <w:rPr>
          <w:rFonts w:ascii="Consolas" w:cs="Consolas" w:eastAsia="Consolas" w:hAnsi="Consolas"/>
          <w:b/>
          <w:bCs/>
          <w:sz w:val="20"/>
          <w:szCs w:val="20"/>
        </w:rPr>
        <w:t xml:space="preserve">rules</w:t>
      </w:r>
      <w:r>
        <w:rPr>
          <w:sz w:val="22"/>
          <w:szCs w:val="22"/>
        </w:rPr>
        <w:t xml:space="preserve"> — cada regla: su score, peso y prioridad.</w:t>
      </w:r>
    </w:p>
    <w:p>
      <w:pPr>
        <w:pStyle w:val="ListParagraph"/>
        <w:numPr>
          <w:ilvl w:val="0"/>
          <w:numId w:val="1"/>
        </w:numPr>
        <w:spacing w:after="80" w:line="268"/>
      </w:pPr>
      <w:r>
        <w:rPr>
          <w:rFonts w:ascii="Consolas" w:cs="Consolas" w:eastAsia="Consolas" w:hAnsi="Consolas"/>
          <w:b/>
          <w:bCs/>
          <w:sz w:val="20"/>
          <w:szCs w:val="20"/>
        </w:rPr>
        <w:t xml:space="preserve">rule_conditions</w:t>
      </w:r>
      <w:r>
        <w:rPr>
          <w:sz w:val="22"/>
          <w:szCs w:val="22"/>
        </w:rPr>
        <w:t xml:space="preserve"> — las condiciones de cada regla (variable, operador, valor). Varias unidas = condición multi-gas.</w:t>
      </w:r>
    </w:p>
    <w:p>
      <w:pPr>
        <w:pStyle w:val="ListParagraph"/>
        <w:numPr>
          <w:ilvl w:val="0"/>
          <w:numId w:val="1"/>
        </w:numPr>
        <w:spacing w:after="80" w:line="268"/>
      </w:pPr>
      <w:r>
        <w:rPr>
          <w:rFonts w:ascii="Consolas" w:cs="Consolas" w:eastAsia="Consolas" w:hAnsi="Consolas"/>
          <w:b/>
          <w:bCs/>
          <w:sz w:val="20"/>
          <w:szCs w:val="20"/>
        </w:rPr>
        <w:t xml:space="preserve">variables</w:t>
      </w:r>
      <w:r>
        <w:rPr>
          <w:sz w:val="22"/>
          <w:szCs w:val="22"/>
        </w:rPr>
        <w:t xml:space="preserve"> — los ejes de condición (tipo trafo, aceite, tensión, edad, cada gas…). Agregar un eje nuevo = agregar una fila.</w:t>
      </w:r>
    </w:p>
    <w:p>
      <w:pPr>
        <w:pStyle w:val="ListParagraph"/>
        <w:numPr>
          <w:ilvl w:val="0"/>
          <w:numId w:val="1"/>
        </w:numPr>
        <w:spacing w:after="80" w:line="268"/>
      </w:pPr>
      <w:r>
        <w:rPr>
          <w:rFonts w:ascii="Consolas" w:cs="Consolas" w:eastAsia="Consolas" w:hAnsi="Consolas"/>
          <w:b/>
          <w:bCs/>
          <w:sz w:val="20"/>
          <w:szCs w:val="20"/>
        </w:rPr>
        <w:t xml:space="preserve">result_scale</w:t>
      </w:r>
      <w:r>
        <w:rPr>
          <w:sz w:val="22"/>
          <w:szCs w:val="22"/>
        </w:rPr>
        <w:t xml:space="preserve"> — los semáforos (rango de score → condición y color), editables.</w:t>
      </w:r>
    </w:p>
    <w:p>
      <w:pPr>
        <w:pStyle w:val="ListParagraph"/>
        <w:numPr>
          <w:ilvl w:val="0"/>
          <w:numId w:val="1"/>
        </w:numPr>
        <w:spacing w:after="80" w:line="268"/>
      </w:pPr>
      <w:r>
        <w:rPr>
          <w:rFonts w:ascii="Consolas" w:cs="Consolas" w:eastAsia="Consolas" w:hAnsi="Consolas"/>
          <w:b/>
          <w:bCs/>
          <w:sz w:val="20"/>
          <w:szCs w:val="20"/>
        </w:rPr>
        <w:t xml:space="preserve">health_index_criteria</w:t>
      </w:r>
      <w:r>
        <w:rPr>
          <w:sz w:val="22"/>
          <w:szCs w:val="22"/>
        </w:rPr>
        <w:t xml:space="preserve"> — los criterios del índice de salud con su peso (los 20 de Hitachi, los que se activen).</w:t>
      </w:r>
    </w:p>
    <w:p>
      <w:pPr>
        <w:pStyle w:val="Heading1"/>
        <w:spacing w:after="140" w:before="320"/>
      </w:pPr>
      <w:r>
        <w:rPr>
          <w:b/>
          <w:bCs/>
          <w:color w:val="1F4E79"/>
          <w:sz w:val="30"/>
          <w:szCs w:val="30"/>
        </w:rPr>
        <w:t xml:space="preserve">6. Qué falta para empezar a construir</w:t>
      </w:r>
    </w:p>
    <w:p>
      <w:pPr>
        <w:spacing w:after="120" w:line="276"/>
      </w:pPr>
      <w:r>
        <w:rPr>
          <w:sz w:val="22"/>
          <w:szCs w:val="22"/>
        </w:rPr>
        <w:t xml:space="preserve">Con las decisiones de este documento, el diseño conceptual está cerrado. Lo que sigue es la construcción, en este orden: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rPr>
          <w:tblHeader/>
        </w:trPr>
        <w:tc>
          <w:tcPr>
            <w:tcW w:type="pct" w:w="10%"/>
            <w:shd w:fill="1F4E79" w:val="clear"/>
            <w:tcMar>
              <w:top w:type="dxa" w:w="60"/>
              <w:left w:type="dxa" w:w="90"/>
              <w:bottom w:type="dxa" w:w="60"/>
              <w:right w:type="dxa" w:w="90"/>
            </w:tcMar>
          </w:tcPr>
          <w:p>
            <w:pPr>
              <w:jc w:val="left"/>
            </w:pPr>
            <w:r>
              <w:rPr>
                <w:b/>
                <w:bCs/>
                <w:color w:val="FFFFFF"/>
                <w:sz w:val="20"/>
                <w:szCs w:val="20"/>
              </w:rPr>
              <w:t xml:space="preserve">Paso</w:t>
            </w:r>
          </w:p>
        </w:tc>
        <w:tc>
          <w:tcPr>
            <w:tcW w:type="pct" w:w="90%"/>
            <w:shd w:fill="1F4E79" w:val="clear"/>
            <w:tcMar>
              <w:top w:type="dxa" w:w="60"/>
              <w:left w:type="dxa" w:w="90"/>
              <w:bottom w:type="dxa" w:w="60"/>
              <w:right w:type="dxa" w:w="90"/>
            </w:tcMar>
          </w:tcPr>
          <w:p>
            <w:pPr>
              <w:jc w:val="left"/>
            </w:pPr>
            <w:r>
              <w:rPr>
                <w:b/>
                <w:bCs/>
                <w:color w:val="FFFFFF"/>
                <w:sz w:val="20"/>
                <w:szCs w:val="20"/>
              </w:rPr>
              <w:t xml:space="preserve">Qué se construye</w:t>
            </w:r>
          </w:p>
        </w:tc>
      </w:tr>
      <w:tr>
        <w:tc>
          <w:tcPr>
            <w:tcW w:type="pct" w:w="10%"/>
            <w:tcMar>
              <w:top w:type="dxa" w:w="60"/>
              <w:left w:type="dxa" w:w="90"/>
              <w:bottom w:type="dxa" w:w="60"/>
              <w:right w:type="dxa" w:w="90"/>
            </w:tcMar>
          </w:tcPr>
          <w:p>
            <w:pPr>
              <w:jc w:val="left"/>
            </w:pPr>
            <w:r>
              <w:rPr>
                <w:b w:val="false"/>
                <w:bCs w:val="false"/>
                <w:color w:val="000000"/>
                <w:sz w:val="20"/>
                <w:szCs w:val="20"/>
              </w:rPr>
              <w:t xml:space="preserve">1</w:t>
            </w:r>
          </w:p>
        </w:tc>
        <w:tc>
          <w:tcPr>
            <w:tcW w:type="pct" w:w="90%"/>
            <w:tcMar>
              <w:top w:type="dxa" w:w="60"/>
              <w:left w:type="dxa" w:w="90"/>
              <w:bottom w:type="dxa" w:w="60"/>
              <w:right w:type="dxa" w:w="90"/>
            </w:tcMar>
          </w:tcPr>
          <w:p>
            <w:pPr>
              <w:jc w:val="left"/>
            </w:pPr>
            <w:r>
              <w:rPr>
                <w:b w:val="false"/>
                <w:bCs w:val="false"/>
                <w:color w:val="000000"/>
                <w:sz w:val="20"/>
                <w:szCs w:val="20"/>
              </w:rPr>
              <w:t xml:space="preserve">Las migraciones de Laravel (las tablas del motor de reglas descritas arriba)</w:t>
            </w:r>
          </w:p>
        </w:tc>
      </w:tr>
      <w:tr>
        <w:tc>
          <w:tcPr>
            <w:tcW w:type="pct" w:w="10%"/>
            <w:shd w:fill="F4F8FC" w:val="clear"/>
            <w:tcMar>
              <w:top w:type="dxa" w:w="60"/>
              <w:left w:type="dxa" w:w="90"/>
              <w:bottom w:type="dxa" w:w="60"/>
              <w:right w:type="dxa" w:w="90"/>
            </w:tcMar>
          </w:tcPr>
          <w:p>
            <w:pPr>
              <w:jc w:val="left"/>
            </w:pPr>
            <w:r>
              <w:rPr>
                <w:b w:val="false"/>
                <w:bCs w:val="false"/>
                <w:color w:val="000000"/>
                <w:sz w:val="20"/>
                <w:szCs w:val="20"/>
              </w:rPr>
              <w:t xml:space="preserve">2</w:t>
            </w:r>
          </w:p>
        </w:tc>
        <w:tc>
          <w:tcPr>
            <w:tcW w:type="pct" w:w="90%"/>
            <w:shd w:fill="F4F8FC" w:val="clear"/>
            <w:tcMar>
              <w:top w:type="dxa" w:w="60"/>
              <w:left w:type="dxa" w:w="90"/>
              <w:bottom w:type="dxa" w:w="60"/>
              <w:right w:type="dxa" w:w="90"/>
            </w:tcMar>
          </w:tcPr>
          <w:p>
            <w:pPr>
              <w:jc w:val="left"/>
            </w:pPr>
            <w:r>
              <w:rPr>
                <w:b w:val="false"/>
                <w:bCs w:val="false"/>
                <w:color w:val="000000"/>
                <w:sz w:val="20"/>
                <w:szCs w:val="20"/>
              </w:rPr>
              <w:t xml:space="preserve">Un seeder que carga los datos del catálogo maestro (umbrales, pesos, normas) como filas</w:t>
            </w:r>
          </w:p>
        </w:tc>
      </w:tr>
      <w:tr>
        <w:tc>
          <w:tcPr>
            <w:tcW w:type="pct" w:w="10%"/>
            <w:tcMar>
              <w:top w:type="dxa" w:w="60"/>
              <w:left w:type="dxa" w:w="90"/>
              <w:bottom w:type="dxa" w:w="60"/>
              <w:right w:type="dxa" w:w="90"/>
            </w:tcMar>
          </w:tcPr>
          <w:p>
            <w:pPr>
              <w:jc w:val="left"/>
            </w:pPr>
            <w:r>
              <w:rPr>
                <w:b w:val="false"/>
                <w:bCs w:val="false"/>
                <w:color w:val="000000"/>
                <w:sz w:val="20"/>
                <w:szCs w:val="20"/>
              </w:rPr>
              <w:t xml:space="preserve">3</w:t>
            </w:r>
          </w:p>
        </w:tc>
        <w:tc>
          <w:tcPr>
            <w:tcW w:type="pct" w:w="90%"/>
            <w:tcMar>
              <w:top w:type="dxa" w:w="60"/>
              <w:left w:type="dxa" w:w="90"/>
              <w:bottom w:type="dxa" w:w="60"/>
              <w:right w:type="dxa" w:w="90"/>
            </w:tcMar>
          </w:tcPr>
          <w:p>
            <w:pPr>
              <w:jc w:val="left"/>
            </w:pPr>
            <w:r>
              <w:rPr>
                <w:b w:val="false"/>
                <w:bCs w:val="false"/>
                <w:color w:val="000000"/>
                <w:sz w:val="20"/>
                <w:szCs w:val="20"/>
              </w:rPr>
              <w:t xml:space="preserve">El motor de cálculo en PHP: lee las reglas, evalúa, produce score y semáforo (se escribe una sola vez)</w:t>
            </w:r>
          </w:p>
        </w:tc>
      </w:tr>
      <w:tr>
        <w:tc>
          <w:tcPr>
            <w:tcW w:type="pct" w:w="10%"/>
            <w:shd w:fill="F4F8FC" w:val="clear"/>
            <w:tcMar>
              <w:top w:type="dxa" w:w="60"/>
              <w:left w:type="dxa" w:w="90"/>
              <w:bottom w:type="dxa" w:w="60"/>
              <w:right w:type="dxa" w:w="90"/>
            </w:tcMar>
          </w:tcPr>
          <w:p>
            <w:pPr>
              <w:jc w:val="left"/>
            </w:pPr>
            <w:r>
              <w:rPr>
                <w:b w:val="false"/>
                <w:bCs w:val="false"/>
                <w:color w:val="000000"/>
                <w:sz w:val="20"/>
                <w:szCs w:val="20"/>
              </w:rPr>
              <w:t xml:space="preserve">4</w:t>
            </w:r>
          </w:p>
        </w:tc>
        <w:tc>
          <w:tcPr>
            <w:tcW w:type="pct" w:w="90%"/>
            <w:shd w:fill="F4F8FC" w:val="clear"/>
            <w:tcMar>
              <w:top w:type="dxa" w:w="60"/>
              <w:left w:type="dxa" w:w="90"/>
              <w:bottom w:type="dxa" w:w="60"/>
              <w:right w:type="dxa" w:w="90"/>
            </w:tcMar>
          </w:tcPr>
          <w:p>
            <w:pPr>
              <w:jc w:val="left"/>
            </w:pPr>
            <w:r>
              <w:rPr>
                <w:b w:val="false"/>
                <w:bCs w:val="false"/>
                <w:color w:val="000000"/>
                <w:sz w:val="20"/>
                <w:szCs w:val="20"/>
              </w:rPr>
              <w:t xml:space="preserve">El cálculo del índice de salud con peso dinámico (la fórmula de Hitachi)</w:t>
            </w:r>
          </w:p>
        </w:tc>
      </w:tr>
      <w:tr>
        <w:tc>
          <w:tcPr>
            <w:tcW w:type="pct" w:w="10%"/>
            <w:tcMar>
              <w:top w:type="dxa" w:w="60"/>
              <w:left w:type="dxa" w:w="90"/>
              <w:bottom w:type="dxa" w:w="60"/>
              <w:right w:type="dxa" w:w="90"/>
            </w:tcMar>
          </w:tcPr>
          <w:p>
            <w:pPr>
              <w:jc w:val="left"/>
            </w:pPr>
            <w:r>
              <w:rPr>
                <w:b w:val="false"/>
                <w:bCs w:val="false"/>
                <w:color w:val="000000"/>
                <w:sz w:val="20"/>
                <w:szCs w:val="20"/>
              </w:rPr>
              <w:t xml:space="preserve">5</w:t>
            </w:r>
          </w:p>
        </w:tc>
        <w:tc>
          <w:tcPr>
            <w:tcW w:type="pct" w:w="90%"/>
            <w:tcMar>
              <w:top w:type="dxa" w:w="60"/>
              <w:left w:type="dxa" w:w="90"/>
              <w:bottom w:type="dxa" w:w="60"/>
              <w:right w:type="dxa" w:w="90"/>
            </w:tcMar>
          </w:tcPr>
          <w:p>
            <w:pPr>
              <w:jc w:val="left"/>
            </w:pPr>
            <w:r>
              <w:rPr>
                <w:b w:val="false"/>
                <w:bCs w:val="false"/>
                <w:color w:val="000000"/>
                <w:sz w:val="20"/>
                <w:szCs w:val="20"/>
              </w:rPr>
              <w:t xml:space="preserve">Verificación: que un transformador dé el mismo diagnóstico que el sistema viejo (donde el viejo esté correcto)</w:t>
            </w:r>
          </w:p>
        </w:tc>
      </w:tr>
    </w:tbl>
    <w:p>
      <w:pPr>
        <w:spacing w:after="120" w:line="276"/>
      </w:pPr>
      <w:r>
        <w:rPr>
          <w:b/>
          <w:bCs/>
          <w:sz w:val="22"/>
          <w:szCs w:val="22"/>
        </w:rPr>
        <w:t xml:space="preserve">Nota sobre el paso 5: </w:t>
      </w:r>
      <w:r>
        <w:rPr>
          <w:sz w:val="22"/>
          <w:szCs w:val="22"/>
        </w:rPr>
        <w:t xml:space="preserve">el índice de salud viejo está mal a propósito en algunos casos, así que ahí el sistema nuevo debe dar un resultado distinto (el correcto). La verificación aplica a las pruebas individuales, que sí están bien en el viejo.</w:t>
      </w:r>
    </w:p>
    <w:p>
      <w:pPr>
        <w:pBdr>
          <w:top w:val="single" w:color="1F4E79" w:sz="6"/>
        </w:pBdr>
        <w:spacing w:before="240"/>
      </w:pPr>
      <w:r>
        <w:rPr>
          <w:b/>
          <w:bCs/>
          <w:color w:val="1F4E79"/>
          <w:sz w:val="22"/>
          <w:szCs w:val="22"/>
        </w:rPr>
        <w:t xml:space="preserve">En una frase: </w:t>
      </w:r>
      <w:r>
        <w:rPr>
          <w:sz w:val="22"/>
          <w:szCs w:val="22"/>
        </w:rPr>
        <w:t xml:space="preserve">el sistema nuevo hace exactamente lo que el viejo, pero las reglas, pesos y criterios viven en tablas editables en vez de estar clavados en el código — y el índice de salud usa la fórmula correcta de Hitachi con peso dinámico.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TR APP — Decisiones de diseño · 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 APP</dc:creator>
  <cp:lastModifiedBy>Un-named</cp:lastModifiedBy>
  <cp:revision>1</cp:revision>
  <dcterms:created xsi:type="dcterms:W3CDTF">2026-05-30T08:02:06.430Z</dcterms:created>
  <dcterms:modified xsi:type="dcterms:W3CDTF">2026-05-30T08:02:06.450Z</dcterms:modified>
</cp:coreProperties>
</file>

<file path=docProps/custom.xml><?xml version="1.0" encoding="utf-8"?>
<Properties xmlns="http://schemas.openxmlformats.org/officeDocument/2006/custom-properties" xmlns:vt="http://schemas.openxmlformats.org/officeDocument/2006/docPropsVTypes"/>
</file>