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一：符号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50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6"/>
          <w:szCs w:val="16"/>
          <w:shd w:val="clear" w:fill="FFFFFF"/>
        </w:rPr>
        <w:t>·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</w:rPr>
        <w:t> + ：表示public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50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6"/>
          <w:szCs w:val="16"/>
          <w:shd w:val="clear" w:fill="FFFFFF"/>
        </w:rPr>
        <w:t>·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</w:rPr>
        <w:t> - ：表示private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50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6"/>
          <w:szCs w:val="16"/>
          <w:shd w:val="clear" w:fill="FFFFFF"/>
        </w:rPr>
        <w:t>·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</w:rPr>
        <w:t> #：表示protected（friendly也归入这类）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500"/>
        <w:rPr>
          <w:rStyle w:val="8"/>
          <w:rFonts w:hint="eastAsia" w:ascii="微软雅黑" w:hAnsi="微软雅黑" w:eastAsia="微软雅黑" w:cs="微软雅黑"/>
          <w:b w:val="0"/>
          <w:bCs/>
          <w:i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6"/>
          <w:szCs w:val="16"/>
          <w:shd w:val="clear" w:fill="FFFFFF"/>
        </w:rPr>
        <w:t>·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~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：</w:t>
      </w:r>
      <w:r>
        <w:rPr>
          <w:rStyle w:val="8"/>
          <w:rFonts w:hint="eastAsia" w:ascii="微软雅黑" w:hAnsi="微软雅黑" w:eastAsia="微软雅黑" w:cs="微软雅黑"/>
          <w:b w:val="0"/>
          <w:bCs/>
          <w:i w:val="0"/>
          <w:caps w:val="0"/>
          <w:color w:val="4D4D4D"/>
          <w:spacing w:val="0"/>
          <w:sz w:val="16"/>
          <w:szCs w:val="16"/>
          <w:shd w:val="clear" w:fill="FFFFFF"/>
        </w:rPr>
        <w:t>省略这些修饰符表示具有package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500"/>
        <w:rPr>
          <w:rFonts w:ascii="Helvetica" w:hAnsi="Helvetica" w:eastAsia="Helvetica" w:cs="Helvetica"/>
          <w:i w:val="0"/>
          <w:caps w:val="0"/>
          <w:color w:val="3D464D"/>
          <w:spacing w:val="0"/>
          <w:sz w:val="16"/>
          <w:szCs w:val="16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6"/>
          <w:szCs w:val="16"/>
          <w:shd w:val="clear" w:fill="FFFFFF"/>
        </w:rPr>
        <w:t>·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_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：</w:t>
      </w:r>
      <w:r>
        <w:rPr>
          <w:rStyle w:val="8"/>
          <w:rFonts w:hint="eastAsia" w:ascii="微软雅黑" w:hAnsi="微软雅黑" w:eastAsia="微软雅黑" w:cs="微软雅黑"/>
          <w:b w:val="0"/>
          <w:bCs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下划线</w:t>
      </w:r>
      <w:r>
        <w:rPr>
          <w:rFonts w:ascii="Helvetica" w:hAnsi="Helvetica" w:eastAsia="Helvetica" w:cs="Helvetica"/>
          <w:i w:val="0"/>
          <w:caps w:val="0"/>
          <w:color w:val="3D464D"/>
          <w:spacing w:val="0"/>
          <w:sz w:val="16"/>
          <w:szCs w:val="16"/>
        </w:rPr>
        <w:t>表示static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500"/>
        <w:rPr>
          <w:rStyle w:val="8"/>
          <w:rFonts w:hint="eastAsia" w:ascii="微软雅黑" w:hAnsi="微软雅黑" w:eastAsia="微软雅黑" w:cs="微软雅黑"/>
          <w:b w:val="0"/>
          <w:bCs/>
          <w:i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6"/>
          <w:szCs w:val="16"/>
          <w:shd w:val="clear" w:fill="FFFFFF"/>
        </w:rPr>
        <w:t>·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 xml:space="preserve"> </w:t>
      </w:r>
      <w:r>
        <w:rPr>
          <w:rStyle w:val="8"/>
          <w:rFonts w:hint="eastAsia" w:ascii="微软雅黑" w:hAnsi="微软雅黑" w:eastAsia="微软雅黑" w:cs="微软雅黑"/>
          <w:b w:val="0"/>
          <w:bCs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斜体</w:t>
      </w:r>
      <w:r>
        <w:rPr>
          <w:rStyle w:val="8"/>
          <w:rFonts w:hint="eastAsia" w:ascii="微软雅黑" w:hAnsi="微软雅黑" w:eastAsia="微软雅黑" w:cs="微软雅黑"/>
          <w:b w:val="0"/>
          <w:bCs/>
          <w:i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：</w:t>
      </w:r>
      <w:r>
        <w:rPr>
          <w:rStyle w:val="8"/>
          <w:rFonts w:hint="eastAsia" w:ascii="微软雅黑" w:hAnsi="微软雅黑" w:eastAsia="微软雅黑" w:cs="微软雅黑"/>
          <w:b w:val="0"/>
          <w:bCs/>
          <w:i w:val="0"/>
          <w:caps w:val="0"/>
          <w:color w:val="4D4D4D"/>
          <w:spacing w:val="0"/>
          <w:sz w:val="16"/>
          <w:szCs w:val="16"/>
          <w:shd w:val="clear" w:fill="FFFFFF"/>
        </w:rPr>
        <w:t>表示抽象类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二：类</w:t>
      </w:r>
    </w:p>
    <w:p>
      <w:pPr>
        <w:rPr>
          <w:rStyle w:val="9"/>
          <w:rFonts w:hint="default" w:ascii="Verdana" w:hAnsi="Verdana" w:eastAsia="宋体" w:cs="Verdana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6F6F6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14"/>
          <w:szCs w:val="14"/>
          <w:shd w:val="clear" w:fill="FFFFFF"/>
        </w:rPr>
        <w:t>分为3个部分：</w:t>
      </w:r>
      <w:r>
        <w:rPr>
          <w:rStyle w:val="9"/>
          <w:rFonts w:hint="default" w:ascii="Verdana" w:hAnsi="Verdana" w:eastAsia="宋体" w:cs="Verdana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6F6F6"/>
        </w:rPr>
        <w:t>名称部分（Name）、属性部分（Attribute）和操作部分（Operation）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shd w:val="clear" w:fill="FFFFFF"/>
        </w:rPr>
        <w:t>类的属性格式：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0" w:beforeAutospacing="0" w:after="50" w:afterAutospacing="0"/>
        <w:ind w:left="0" w:right="0"/>
        <w:rPr>
          <w:rFonts w:ascii="Courier New" w:hAnsi="Courier New" w:cs="Courier New"/>
          <w:sz w:val="12"/>
          <w:szCs w:val="12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shd w:val="clear" w:fill="FFFFFF"/>
        </w:rPr>
        <w:t>name : attribute type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shd w:val="clear" w:fill="FFFFFF"/>
        </w:rPr>
        <w:t>类的操作格式：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0" w:beforeAutospacing="0" w:after="50" w:afterAutospacing="0"/>
        <w:ind w:left="0" w:right="0"/>
        <w:rPr>
          <w:rFonts w:ascii="Courier New" w:hAnsi="Courier New" w:cs="Courier New"/>
          <w:sz w:val="12"/>
          <w:szCs w:val="12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shd w:val="clear" w:fill="FFFFFF"/>
        </w:rPr>
        <w:t>name (parameter list) : type of value returned</w:t>
      </w:r>
    </w:p>
    <w:p>
      <w:pPr>
        <w:rPr>
          <w:rStyle w:val="9"/>
          <w:rFonts w:hint="eastAsia" w:ascii="Verdana" w:hAnsi="Verdana" w:eastAsia="宋体" w:cs="Verdana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6F6F6"/>
          <w:lang w:val="en-US" w:eastAsia="zh-CN"/>
        </w:rPr>
      </w:pPr>
      <w:r>
        <w:rPr>
          <w:rStyle w:val="9"/>
          <w:rFonts w:hint="eastAsia" w:ascii="Verdana" w:hAnsi="Verdana" w:eastAsia="宋体" w:cs="Verdana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6F6F6"/>
          <w:lang w:val="en-US" w:eastAsia="zh-CN"/>
        </w:rPr>
        <w:t>例如：</w:t>
      </w:r>
    </w:p>
    <w:p>
      <w:r>
        <w:drawing>
          <wp:inline distT="0" distB="0" distL="114300" distR="114300">
            <wp:extent cx="1212850" cy="8953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三：关系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1.单向关联关系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971550"/>
            <wp:effectExtent l="0" t="0" r="0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我们可以看到，在UML类图中单向关联用一个带箭头的直线表示。上图表示每个顾客都有一个地址，这通过让Customer类持有一个类型为Address的成员变量类实现。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2.双向关联关系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923925"/>
            <wp:effectExtent l="0" t="0" r="0" b="317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上图中我们很容易看出，所谓的双向关联就是双方各自持有对方类型的成员变量。在UML类图中，双向关联用一个不带箭头的直线表示。上图中在Customer类中维护一个Product[]数组，表示一个顾客购买了那些产品；在Product类中维护一个Customer类型的成员变量表示这个产品被哪个顾客所购买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3.自关联关系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81375" cy="1924050"/>
            <wp:effectExtent l="0" t="0" r="9525" b="635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自关联在UML类图中用一个带有箭头且指向自身的直线表示。上图的意思就是Node类包含类型为Node的成员变量，也就是“自己包含自己”。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4.聚合关系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1019175"/>
            <wp:effectExtent l="0" t="0" r="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图中的Car类与Engine类就是聚合关系（Car类中包含一个Engine类型的成员变量）。由上图我们可以看到，UML中聚合关系用带空心菱形和箭头的直线表示。聚合关系强调是“整体”包含“部分”，但是“部分”可以脱离“整体”而单独存在。比如上图中汽车包含了发动机，而发动机脱离了汽车也能单独存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5.组合关系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933450"/>
            <wp:effectExtent l="0" t="0" r="0" b="635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组合关系与聚合关系见得最大不同在于：这里的“部分”脱离了“整体”便不复存在，显然嘴是头的一部分且不能脱离了头而单独存在。在UML类图中，组合关系用一个带实心菱形和箭头的直线表示。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6.依赖关系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1485900"/>
            <wp:effectExtent l="0" t="0" r="0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从上图我们可以看到，Driver的drive方法只有传入了一个Car对象才能发挥作用，因此我们说Driver类依赖于Car类。在UML类图中，依赖关系用一条带有箭头的虚线表示。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7.继承关系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2809875"/>
            <wp:effectExtent l="0" t="0" r="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继承关系对应的是extend关键字，在UML类图中用带空心三角形的直线表示，如下图所示中，Student类与Teacher类继承了Person类。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8.实现关系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86475" cy="2867025"/>
            <wp:effectExtent l="0" t="0" r="9525" b="317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这种关系对应implement关键字，在UML类图中用带空心三角形的虚线表示。如下图中，Car类与Ship类都实现了Vehicle接口。</w:t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right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角色（Actor）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right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系统角色，可以是人、机器、其他系统、子系统；以一个小人图标表示。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left="0" w:right="0" w:firstLine="42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028700" cy="736600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right="0" w:rightChars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对象（Object）</w:t>
      </w:r>
    </w:p>
    <w:p>
      <w:pPr>
        <w:pStyle w:val="5"/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left="420" w:leftChars="0" w:right="0" w:rightChars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908050" cy="387350"/>
            <wp:effectExtent l="0" t="0" r="6350" b="635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80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-4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left="0" w:leftChars="0" w:right="0" w:rightChars="0" w:firstLine="0" w:firstLineChars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2.1对象的三种命名方式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left="0" w:leftChars="0" w:right="0" w:firstLine="0" w:firstLineChars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第一种方式包括对象名和类名，例如：华为手机:手机、loginServiceObject:LoginService。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left="0" w:leftChars="0" w:right="0" w:firstLine="0" w:firstLineChars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第二种方式只显示类名，即表示它是一个匿名对象，例如：:手机、:LoginSservice。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left="0" w:leftChars="0" w:right="0" w:firstLine="0" w:firstLineChars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第三种方式只显示对象名不显示类名，例如：华为手机:、loginServiceObject:。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left="0" w:right="0" w:firstLine="0" w:firstLineChars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2.2对象的排列顺序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left="0" w:right="0" w:firstLine="0" w:firstLineChars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通常应遵循以下两个原则：把交互频繁的对象尽可能的靠拢；2.把初始化整个交互活动的对象放置在最左端。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left="0" w:right="0" w:firstLine="0" w:firstLineChars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3. 生命线（Lifeline）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left="0" w:right="0" w:firstLine="0" w:firstLineChars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在时序图中表示为从对象图标向下延伸的一条虚线，表示对象存在的时间。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left="0" w:right="0" w:firstLine="42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791845" cy="1159510"/>
            <wp:effectExtent l="0" t="0" r="8255" b="889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1845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left="0" w:right="0" w:firstLine="0" w:firstLineChars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4. 控制焦点（Focus of Control）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left="0" w:right="0" w:firstLine="0" w:firstLineChars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又称为激活期，表示时间段的符号，在这个时间段内对象将执行相应的操作，用小矩形表示。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left="0" w:right="0" w:firstLine="42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005965" cy="1511935"/>
            <wp:effectExtent l="0" t="0" r="635" b="1206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left="0" w:right="0" w:firstLine="0" w:firstLineChars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5. 消息（Message）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26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同步消息  实线+加粗箭头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26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异步消息 实线+箭头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26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返回消息 虚线+箭头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26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836545" cy="1896745"/>
            <wp:effectExtent l="0" t="0" r="8255" b="825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left="0" w:right="0" w:firstLine="0" w:firstLineChars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6. 自关联消息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left="0" w:right="0" w:firstLine="0" w:firstLineChars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表示方法的自身调用或者一个对象内的一个方法调用另外一个方法。以一个半闭合的长方形+下方实心剪头表示。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left="0" w:right="0" w:firstLine="42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781685" cy="1406525"/>
            <wp:effectExtent l="0" t="0" r="5715" b="317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1685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left="0" w:right="0" w:firstLine="0" w:firstLineChars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7. 组合片段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left="0" w:right="0" w:firstLine="0" w:firstLineChars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组合片段用来解决交互执行的条件和方式，它允许在序列图中直接表示逻辑组件，用于通过指定条件或子进程的应用区域，为任何生命线的任何部分定义特殊条件和子进程。组合片段共有13种，名称及含义如下：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00" w:lineRule="atLeast"/>
        <w:ind w:left="0" w:right="0" w:firstLine="42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656330" cy="4908550"/>
            <wp:effectExtent l="0" t="0" r="1270" b="635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160" w:afterAutospacing="0" w:line="30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7.1常用组合片段举例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26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抉择（Alt）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26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抉择在任何场合下只发生一个序列。 可以在每个片段中设置一个临界来指示该片段可以运行的条件。else 的临界指示其他任何临界都不为 True 时应运行的片段。如果所有临界都为 False 并且没有 else，则不执行任何片段。Alt片段组合可以理解为if..else if...else条件语句。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26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4447540" cy="1520825"/>
            <wp:effectExtent l="0" t="0" r="10160" b="317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26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选项（Opt）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26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包含一个可能发生或不发生的序列。Opt相当于if..语句。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26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288030" cy="1838325"/>
            <wp:effectExtent l="0" t="0" r="1270" b="3175"/>
            <wp:docPr id="23" name="图片 1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 descr="IMG_2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26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循环（Loop）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26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片段重复一定次数，可以在临界中指示片段重复的条件。Loop相当于for语句。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26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bookmarkStart w:id="0" w:name="_GoBack"/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513965" cy="1791970"/>
            <wp:effectExtent l="0" t="0" r="635" b="11430"/>
            <wp:docPr id="24" name="图片 1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 descr="IMG_2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26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并行（Par）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26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并行处理，片段中的事件可以并行交错。Par相当于多线程。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26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979295" cy="2562860"/>
            <wp:effectExtent l="0" t="0" r="1905" b="2540"/>
            <wp:docPr id="25" name="图片 1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 descr="IMG_2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26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8.时序图的绘制技巧：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26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1，从初始消息开始画，依次画出随后消息，并给每个消息分配序号，方便理解。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26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2，角色和对象用名词，消息用动词。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26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3，角色放在时序图的开始位置，对象重要程度或使用频率从左到右排列。这就要根据时间的流程考虑了，是一个比较主观的事情。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26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547360" cy="1384300"/>
            <wp:effectExtent l="0" t="0" r="2540" b="0"/>
            <wp:docPr id="2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260" w:lineRule="atLeast"/>
        <w:ind w:left="0" w:right="0" w:firstLine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4，控制焦点两端要以消息元素封顶，控制焦点不要超过消息元素。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正确示范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4994910" cy="706755"/>
            <wp:effectExtent l="0" t="0" r="8890" b="4445"/>
            <wp:docPr id="29" name="图片 1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 descr="IMG_2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70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错误示范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4702175" cy="701675"/>
            <wp:effectExtent l="0" t="0" r="9525" b="9525"/>
            <wp:docPr id="27" name="图片 2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 descr="IMG_25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70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 w:line="200" w:lineRule="atLeast"/>
        <w:ind w:left="0" w:right="0" w:firstLine="420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D3675B"/>
    <w:multiLevelType w:val="singleLevel"/>
    <w:tmpl w:val="24D3675B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AC6A73"/>
    <w:rsid w:val="3E890634"/>
    <w:rsid w:val="4D7E4A10"/>
    <w:rsid w:val="6B9C3AF7"/>
    <w:rsid w:val="7BBA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Office_11.1.0.9292_F1E327BC-269C-435d-A152-05C5408002CA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2019-10-14T02:11:00Z</dcterms:created>
  <dc:creator>27634</dc:creator>
  <cp:lastModifiedBy>Freed_YUKI</cp:lastModifiedBy>
  <dcterms:modified xsi:type="dcterms:W3CDTF">2020-03-31T12:29:16Z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