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+ ：表示public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- ：表示private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#：表示protected（friendly也归入这类）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0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shd w:val="clear" w:fill="FFFFFF"/>
        </w:rPr>
        <w:t>·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16"/>
          <w:szCs w:val="16"/>
          <w:shd w:val="clear" w:fill="FFFFFF"/>
        </w:rPr>
        <w:t>省略这些修饰符表示具有package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00"/>
        <w:rPr>
          <w:rFonts w:ascii="Helvetica" w:hAnsi="Helvetica" w:eastAsia="Helvetica" w:cs="Helvetica"/>
          <w:i w:val="0"/>
          <w:caps w:val="0"/>
          <w:color w:val="3D464D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shd w:val="clear" w:fill="FFFFFF"/>
        </w:rPr>
        <w:t>·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下划线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6"/>
          <w:szCs w:val="16"/>
        </w:rPr>
        <w:t>表示static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0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shd w:val="clear" w:fill="FFFFFF"/>
        </w:rPr>
        <w:t>·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斜体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16"/>
          <w:szCs w:val="16"/>
          <w:shd w:val="clear" w:fill="FFFFFF"/>
        </w:rPr>
        <w:t>表示抽象类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二：类</w:t>
      </w:r>
    </w:p>
    <w:p>
      <w:pP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6F6F6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分为3个部分：</w:t>
      </w: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6F6F6"/>
        </w:rPr>
        <w:t>名称部分（Name）、属性部分（Attribute）和操作部分（Operation）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类的属性格式：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name : attribute 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类的操作格式：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name (parameter list) : type of value returned</w:t>
      </w:r>
    </w:p>
    <w:p>
      <w:pPr>
        <w:rPr>
          <w:rStyle w:val="7"/>
          <w:rFonts w:hint="eastAsia" w:ascii="Verdana" w:hAnsi="Verdana" w:eastAsia="宋体" w:cs="Verdana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6F6F6"/>
          <w:lang w:val="en-US" w:eastAsia="zh-CN"/>
        </w:rPr>
      </w:pPr>
      <w:r>
        <w:rPr>
          <w:rStyle w:val="7"/>
          <w:rFonts w:hint="eastAsia" w:ascii="Verdana" w:hAnsi="Verdana" w:eastAsia="宋体" w:cs="Verdana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6F6F6"/>
          <w:lang w:val="en-US" w:eastAsia="zh-CN"/>
        </w:rPr>
        <w:t>例如：</w:t>
      </w:r>
    </w:p>
    <w:p>
      <w:r>
        <w:drawing>
          <wp:inline distT="0" distB="0" distL="114300" distR="114300">
            <wp:extent cx="1212850" cy="895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1.单向关联关系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9715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我们可以看到，在UML类图中单向关联用一个带箭头的直线表示。上图表示每个顾客都有一个地址，这通过让Customer类持有一个类型为Address的成员变量类实现。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2.双向关联关系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923925"/>
            <wp:effectExtent l="0" t="0" r="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图中我们很容易看出，所谓的双向关联就是双方各自持有对方类型的成员变量。在UML类图中，双向关联用一个不带箭头的直线表示。上图中在Customer类中维护一个Product[]数组，表示一个顾客购买了那些产品；在Product类中维护一个Customer类型的成员变量表示这个产品被哪个顾客所购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3.自关联关系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1924050"/>
            <wp:effectExtent l="0" t="0" r="952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自关联在UML类图中用一个带有箭头且指向自身的直线表示。上图的意思就是Node类包含类型为Node的成员变量，也就是“自己包含自己”。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4.聚合关系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0191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中的Car类与Engine类就是聚合关系（Car类中包含一个Engine类型的成员变量）。由上图我们可以看到，UML中聚合关系用带空心菱形和箭头的直线表示。聚合关系强调是“整体”包含“部分”，但是“部分”可以脱离“整体”而单独存在。比如上图中汽车包含了发动机，而发动机脱离了汽车也能单独存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5.组合关系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933450"/>
            <wp:effectExtent l="0" t="0" r="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组合关系与聚合关系见得最大不同在于：这里的“部分”脱离了“整体”便不复存在，显然嘴是头的一部分且不能脱离了头而单独存在。在UML类图中，组合关系用一个带实心菱形和箭头的直线表示。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6.依赖关系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4859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从上图我们可以看到，Driver的drive方法只有传入了一个Car对象才能发挥作用，因此我们说Driver类依赖于Car类。在UML类图中，依赖关系用一条带有箭头的虚线表示。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7.继承关系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098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继承关系对应的是extend关键字，在UML类图中用带空心三角形的直线表示，如下图所示中，Student类与Teacher类继承了Person类。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8.实现关系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6475" cy="2867025"/>
            <wp:effectExtent l="0" t="0" r="9525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这种关系对应implement关键字，在UML类图中用带空心三角形的虚线表示。如下图中，Car类与Ship类都实现了Vehicle接口。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C6A73"/>
    <w:rsid w:val="3E890634"/>
    <w:rsid w:val="7BB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2019-10-14T02:11:19Z</dcterms:created>
  <dc:creator>27634</dc:creator>
  <cp:lastModifiedBy>Freed_YUKI</cp:lastModifiedBy>
  <dcterms:modified xsi:type="dcterms:W3CDTF">2019-10-14T05:57:57Z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