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380078B">
      <w:pPr>
        <w:spacing w:before="2551" w:after="480" w:line="384"/>
        <w:jc w:val="center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pacing w:val="72"/>
          <w:sz w:val="24"/>
        </w:rPr>
        <w:t>项目立项报告</w:t>
      </w:r>
    </w:p>
    <w:p w14:paraId="01A594E6">
      <w:pPr>
        <w:spacing w:after="144" w:line="312"/>
        <w:jc w:val="center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52"/>
        </w:rPr>
        <w:t>工时采集率提升项目</w:t>
      </w:r>
    </w:p>
    <w:p w14:paraId="218005DE">
      <w:pPr>
        <w:spacing w:after="480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30"/>
        </w:rPr>
        <w:t>立项报告 · 供公司管理层立项评审</w:t>
      </w:r>
    </w:p>
    <w:p w14:paraId="23649AD0">
      <w:pPr>
        <w:spacing w:before="480" w:after="144" w:line="312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提出日期：2026 年 10 月</w:t>
      </w:r>
    </w:p>
    <w:p w14:paraId="3C249373">
      <w:pPr>
        <w:spacing w:before="480" w:after="144" w:line="312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文档类型：立项报告（供公司管理层立项评审）</w:t>
      </w:r>
    </w:p>
    <w:p w14:paraId="3F25E56B">
      <w:pPr>
        <w:spacing w:before="480" w:after="144" w:line="312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关联工程：估值引擎"工时合成下沉"（commit 91887a9）</w:t>
      </w:r>
    </w:p>
    <w:p w14:paraId="49B2D45D">
      <w:pPr>
        <w:spacing w:before="480" w:after="144" w:line="312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1"/>
        </w:rPr>
        <w:t>分支：feat/valuation-calibration</w:t>
      </w:r>
    </w:p>
    <w:p w14:paraId="4292465B">
      <w:pPr>
        <w:spacing w:before="240" w:after="120"/>
      </w:pPr>
      <w:r>
        <w:rPr>
          <w:rFonts w:hint="eastAsia"/>
          <w:b w:val="1"/>
        </w:rPr>
        <w:t>目 录</w:t>
      </w:r>
    </w:p>
    <w:p w14:paraId="69E481A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执行摘要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924DC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一、项目背景与问题定义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F919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1.1 项目背景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0061A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1.2 问题定义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1625B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二、现状数据盘点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E5426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2.1 工时采集现状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D8F66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2.2 工时折旧法覆盖率：理论 vs 实际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1213D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2.3 缺口性质分析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B20F7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2.4 工时缺失对估值的影响量化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00C35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三、项目目标与成功指标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4F9F2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3.1 总体目标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C95A8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3.2 分阶段成功指标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DB3EF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四、技术方案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4BD5E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4.1 主方案：AI 多模态识别仪表盘工时读数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CB4D3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4.2 辅方案：发布流程字段改造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80675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4.3 运营配套：存量回溯补采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58CA4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4.4 方案组合逻辑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EF4F3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五、实施计划与里程碑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7973B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六、资源需求与分工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E4283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七、风险识别与对策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AC33F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八、预期收益与投入产出分析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9ED64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8.1 估值精度收益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4E735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8.2 商业转化收益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0190E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8.3 数据资产收益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B2D4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"section-9-4" </w:instrText>
      </w:r>
      <w:r>
        <w:fldChar w:fldCharType="separate" w:fldLock="0" w:dirty="0"/>
      </w:r>
      <w:r>
        <w:rPr>
          <w:rFonts w:hint="eastAsia"/>
        </w:rPr>
        <w:t>8.4 投入产出分析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section-9-4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61FAE806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8C89192">
      <w:pPr>
        <w:pStyle w:val="000005"/>
        <w:keepNext w:val="1"/>
        <w:keepLines w:val="1"/>
        <w:pBdr>
          <w:bottom w:val="single" w:color="1565c0" w:sz="12" w:space="9"/>
        </w:pBdr>
        <w:spacing w:before="480" w:beforeAutospacing="1" w:after="480" w:afterAutospacing="1" w:line="384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237e"/>
          <w:sz w:val="32"/>
        </w:rPr>
        <w:t>执行摘要</w:t>
      </w:r>
      <w:bookmarkEnd w:id="1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598DE9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1"/>
              </w:rPr>
              <w:t>工时采集率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3ECC2B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1"/>
              </w:rPr>
              <w:t>工时折旧法实际命中率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6F3ED4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1"/>
              </w:rPr>
              <w:t>项目投入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7E6FB0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1"/>
              </w:rPr>
              <w:t>残值模糊区间（机龄 1-9 年）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12BEE5">
            <w:pPr>
              <w:jc w:val="center"/>
              <w:rPr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4"/>
              </w:rPr>
              <w:t xml:space="preserve">5.3% → </w:t>
            </w:r>
            <w:r>
              <w:rPr>
                <w:rFonts w:ascii="黑体" w:hAnsi="黑体" w:eastAsia="黑体" w:cs="黑体"/>
                <w:b w:val="1"/>
                <w:color w:val="c62828"/>
                <w:sz w:val="24"/>
              </w:rPr>
              <w:t>≥80%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4B891B">
            <w:pPr>
              <w:jc w:val="center"/>
              <w:rPr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4"/>
              </w:rPr>
              <w:t xml:space="preserve">1.2% → </w:t>
            </w:r>
            <w:r>
              <w:rPr>
                <w:rFonts w:ascii="黑体" w:hAnsi="黑体" w:eastAsia="黑体" w:cs="黑体"/>
                <w:b w:val="1"/>
                <w:color w:val="c62828"/>
                <w:sz w:val="24"/>
              </w:rPr>
              <w:t>≥60%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325CB0">
            <w:pPr>
              <w:jc w:val="center"/>
              <w:rPr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4"/>
              </w:rPr>
              <w:t>约 10 人周 · 8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FD3029">
            <w:pPr>
              <w:jc w:val="center"/>
              <w:rPr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4"/>
              </w:rPr>
              <w:t>11%–37% → 个位数</w:t>
            </w:r>
          </w:p>
        </w:tc>
      </w:tr>
    </w:tbl>
    <w:p w14:paraId="5C72E0F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工时（发动机工作小时数）是二手农机残值评估的核心变量。估值引擎近期刚完成工时折旧曲线按专家锚点的重新标定（0 小时残值 0.79、20000 小时残值 0.180），并完成工时合成机制下沉（commit 91887a9）；但线上仅 </w:t>
      </w:r>
      <w:r>
        <w:rPr>
          <w:rFonts w:ascii="宋体" w:hAnsi="宋体" w:eastAsia="宋体" w:cs="宋体"/>
          <w:b w:val="1"/>
          <w:color w:val="c62828"/>
          <w:sz w:val="24"/>
        </w:rPr>
        <w:t>1.2%</w:t>
      </w:r>
      <w:r>
        <w:rPr>
          <w:rFonts w:hint="eastAsia" w:ascii="宋体" w:hAnsi="宋体" w:eastAsia="宋体" w:cs="宋体"/>
          <w:color w:val="212121"/>
          <w:sz w:val="24"/>
        </w:rPr>
        <w:t xml:space="preserve"> 的机器真正走到工时折旧曲线，标定投入的产出被采集率卡死。</w:t>
      </w:r>
    </w:p>
    <w:p w14:paraId="4100BF7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本项目以约 10 人周（估算）的投入，通过"AI 仪表盘读数识别（主）+ 发布字段必填（辅）+ 存量回溯补采（运营）"三合一方案，将工时采集率从 5.3% 提升至 80% 以上、工时折旧法实际命中率从 1.2% 提升至 60% 以上，解锁既有标定投入的估值产出，并为折旧曲线走向大数据自标定积累数据资产。投入规模小、杠杆作用直接，建议批准立项。</w:t>
      </w:r>
    </w:p>
    <w:p w14:paraId="2AED1F2A">
      <w:pPr>
        <w:pStyle w:val="000005"/>
        <w:keepNext w:val="1"/>
        <w:keepLines w:val="1"/>
        <w:pBdr>
          <w:bottom w:val="single" w:color="1565c0" w:sz="12" w:space="9"/>
        </w:pBdr>
        <w:spacing w:before="480" w:beforeAutospacing="1" w:after="480" w:afterAutospacing="1" w:line="384"/>
        <w:outlineLvl w:val="1"/>
        <w:rPr>
          <w:color w:val="1a237e"/>
          <w:sz w:val="32"/>
          <w:szCs w:val="32"/>
        </w:rPr>
      </w:pPr>
      <w:bookmarkStart w:id="2" w:name="section-2"/>
      <w:r>
        <w:rPr>
          <w:rFonts w:hint="eastAsia" w:ascii="黑体" w:hAnsi="黑体" w:eastAsia="黑体" w:cs="黑体"/>
          <w:b w:val="1"/>
          <w:color w:val="1a237e"/>
          <w:sz w:val="32"/>
        </w:rPr>
        <w:t>一、项目背景与问题定义</w:t>
      </w:r>
      <w:bookmarkEnd w:id="2"/>
    </w:p>
    <w:p w14:paraId="11A5752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本章说明项目提出的业务背景，并对本项目要解决的问题作出明确界定。</w:t>
      </w:r>
    </w:p>
    <w:p w14:paraId="21BD0CBE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" w:name="section-2-1"/>
      <w:r>
        <w:rPr>
          <w:rFonts w:hint="eastAsia" w:ascii="黑体" w:hAnsi="黑体" w:eastAsia="黑体" w:cs="黑体"/>
          <w:b w:val="1"/>
          <w:color w:val="1565c0"/>
          <w:sz w:val="26"/>
        </w:rPr>
        <w:t>1.1 项目背景</w:t>
      </w:r>
      <w:bookmarkEnd w:id="3"/>
    </w:p>
    <w:p w14:paraId="17969A7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工时（发动机工作小时数）是二手农机残值评估的核心变量。近期估值引擎刚完成两项关键工程改造：</w:t>
      </w:r>
    </w:p>
    <w:p w14:paraId="6EE6AA64">
      <w:pPr>
        <w:numPr>
          <w:ilvl w:val="0"/>
          <w:numId w:val="1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工时合成下沉</w:t>
      </w:r>
      <w:r>
        <w:rPr>
          <w:rFonts w:hint="eastAsia" w:ascii="宋体" w:hAnsi="宋体" w:eastAsia="宋体" w:cs="宋体"/>
          <w:color w:val="212121"/>
          <w:sz w:val="24"/>
        </w:rPr>
        <w:t>：缺工时机器按品类年均使用强度合成工时（commit 91887a9，分支 feat/valuation-calibration）。该机制保证缺工时机器仍可参与估值，但合成值本质是兜底口径，精度无法替代真实读数。</w:t>
      </w:r>
    </w:p>
    <w:p w14:paraId="472D17D5">
      <w:pPr>
        <w:numPr>
          <w:ilvl w:val="0"/>
          <w:numId w:val="1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工时折旧曲线重新标定</w:t>
      </w:r>
      <w:r>
        <w:rPr>
          <w:rFonts w:hint="eastAsia" w:ascii="宋体" w:hAnsi="宋体" w:eastAsia="宋体" w:cs="宋体"/>
          <w:color w:val="212121"/>
          <w:sz w:val="24"/>
        </w:rPr>
        <w:t>：曲线已按专家锚点重新标定，锚点为 0 小时残值 0.79、20000 小时残值 0.180。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40B1949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立项核心理由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：团队刚花大力气重新标定工时折旧曲线，但线上只有 1.2% 的机器真正走到这条曲线——标定投入的产出被采集率卡死。曲线标定得再准，若工时采不上来，标定成果就无法转化为估值精度。解决工时采集问题，是让既有标定投入产生回报的前置条件。</w:t>
            </w:r>
          </w:p>
        </w:tc>
      </w:tr>
    </w:tbl>
    <w:p w14:paraId="36033786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" w:name="section-2-2"/>
      <w:r>
        <w:rPr>
          <w:rFonts w:hint="eastAsia" w:ascii="黑体" w:hAnsi="黑体" w:eastAsia="黑体" w:cs="黑体"/>
          <w:b w:val="1"/>
          <w:color w:val="1565c0"/>
          <w:sz w:val="26"/>
        </w:rPr>
        <w:t>1.2 问题定义</w:t>
      </w:r>
      <w:bookmarkEnd w:id="4"/>
    </w:p>
    <w:p w14:paraId="510378E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本项目针对四个层面的问题：</w:t>
      </w:r>
    </w:p>
    <w:p w14:paraId="2C3395B0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采集率过低</w:t>
      </w:r>
      <w:r>
        <w:rPr>
          <w:rFonts w:hint="eastAsia" w:ascii="宋体" w:hAnsi="宋体" w:eastAsia="宋体" w:cs="宋体"/>
          <w:color w:val="212121"/>
          <w:sz w:val="24"/>
        </w:rPr>
        <w:t xml:space="preserve">：平台 76 条产品记录中仅 4 条填写了真实工时（workingHours 字段），采集率 </w:t>
      </w:r>
      <w:r>
        <w:rPr>
          <w:rFonts w:ascii="宋体" w:hAnsi="宋体" w:eastAsia="宋体" w:cs="宋体"/>
          <w:b w:val="1"/>
          <w:color w:val="c62828"/>
          <w:sz w:val="24"/>
        </w:rPr>
        <w:t>5.3%</w:t>
      </w:r>
      <w:r>
        <w:rPr>
          <w:rFonts w:hint="eastAsia" w:ascii="宋体" w:hAnsi="宋体" w:eastAsia="宋体" w:cs="宋体"/>
          <w:color w:val="212121"/>
          <w:sz w:val="24"/>
        </w:rPr>
        <w:t>，72 条记录工时缺失，缺失率 94.7%。</w:t>
      </w:r>
    </w:p>
    <w:p w14:paraId="2AFD8BD2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工时折旧法命中率过低</w:t>
      </w:r>
      <w:r>
        <w:rPr>
          <w:rFonts w:hint="eastAsia" w:ascii="宋体" w:hAnsi="宋体" w:eastAsia="宋体" w:cs="宋体"/>
          <w:color w:val="212121"/>
          <w:sz w:val="24"/>
        </w:rPr>
        <w:t xml:space="preserve">：工时折旧法理论覆盖率 24.1%（83 个品类-品牌组合中 20 个可走工时曲线），实际命中率仅 </w:t>
      </w:r>
      <w:r>
        <w:rPr>
          <w:rFonts w:ascii="宋体" w:hAnsi="宋体" w:eastAsia="宋体" w:cs="宋体"/>
          <w:b w:val="1"/>
          <w:color w:val="c62828"/>
          <w:sz w:val="24"/>
        </w:rPr>
        <w:t>1.2%</w:t>
      </w:r>
      <w:r>
        <w:rPr>
          <w:rFonts w:hint="eastAsia" w:ascii="宋体" w:hAnsi="宋体" w:eastAsia="宋体" w:cs="宋体"/>
          <w:color w:val="212121"/>
          <w:sz w:val="24"/>
        </w:rPr>
        <w:t>（1/83）。大量具备工时折旧条件的机器因缺工时被迫退回机龄表，折旧曲线形同虚设。</w:t>
      </w:r>
    </w:p>
    <w:p w14:paraId="7E916530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估值精度受损</w:t>
      </w:r>
      <w:r>
        <w:rPr>
          <w:rFonts w:hint="eastAsia" w:ascii="宋体" w:hAnsi="宋体" w:eastAsia="宋体" w:cs="宋体"/>
          <w:color w:val="212121"/>
          <w:sz w:val="24"/>
        </w:rPr>
        <w:t>：同一台拖拉机，缺工时时退回机龄表，机龄 1 年残值差 31.2%、4 年差 36.9%、8 年差 11.4%。工时缺失让估值模糊区间高达两位数百分比。</w:t>
      </w:r>
    </w:p>
    <w:p w14:paraId="592F5750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缺口性质混杂</w:t>
      </w:r>
      <w:r>
        <w:rPr>
          <w:rFonts w:hint="eastAsia" w:ascii="宋体" w:hAnsi="宋体" w:eastAsia="宋体" w:cs="宋体"/>
          <w:color w:val="212121"/>
          <w:sz w:val="24"/>
        </w:rPr>
        <w:t>：打捆机、割台、捡拾台等品类工时 0% 是物理性缺失（出厂无工时表），不是采集问题；但拖拉机 7 台全部缺工时应归为采集缺口（拖拉机出厂必带工时表）。两类缺口性质不同，必须分开施策，不能混为一谈。</w:t>
      </w:r>
    </w:p>
    <w:p w14:paraId="6927BFE2">
      <w:pPr>
        <w:pStyle w:val="000005"/>
        <w:keepNext w:val="1"/>
        <w:keepLines w:val="1"/>
        <w:pBdr>
          <w:bottom w:val="single" w:color="1565c0" w:sz="12" w:space="9"/>
        </w:pBdr>
        <w:spacing w:before="480" w:beforeAutospacing="1" w:after="480" w:afterAutospacing="1" w:line="384"/>
        <w:outlineLvl w:val="1"/>
        <w:rPr>
          <w:color w:val="1a237e"/>
          <w:sz w:val="32"/>
          <w:szCs w:val="32"/>
        </w:rPr>
      </w:pPr>
      <w:bookmarkStart w:id="5" w:name="section-3"/>
      <w:r>
        <w:rPr>
          <w:rFonts w:hint="eastAsia" w:ascii="黑体" w:hAnsi="黑体" w:eastAsia="黑体" w:cs="黑体"/>
          <w:b w:val="1"/>
          <w:color w:val="1a237e"/>
          <w:sz w:val="32"/>
        </w:rPr>
        <w:t>二、现状数据盘点</w:t>
      </w:r>
      <w:bookmarkEnd w:id="5"/>
    </w:p>
    <w:p w14:paraId="29F3412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本章用工时采集现状、折旧法覆盖率与缺口性质三组数据，刻画问题的基础盘。</w:t>
      </w:r>
    </w:p>
    <w:p w14:paraId="7D7350E6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6" w:name="section-3-1"/>
      <w:r>
        <w:rPr>
          <w:rFonts w:hint="eastAsia" w:ascii="黑体" w:hAnsi="黑体" w:eastAsia="黑体" w:cs="黑体"/>
          <w:b w:val="1"/>
          <w:color w:val="1565c0"/>
          <w:sz w:val="26"/>
        </w:rPr>
        <w:t>2.1 工时采集现状</w:t>
      </w:r>
      <w:bookmarkEnd w:id="6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4AE2B4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AA9472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数值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71F3CF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口径说明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CEE3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平台产品记录总数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BF44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76 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48796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全量在架产品记录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80FE1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已填写真实工时（workingHours 字段）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7378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4 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830F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字段有真实读数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92D77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工时缺失记录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4824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72 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71484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76 − 4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26B4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工时采集率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77B92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5.3%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26752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 / 76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E4B31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工时缺失率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6D938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94.7%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4A3B1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72 / 76</w:t>
            </w:r>
          </w:p>
        </w:tc>
      </w:tr>
    </w:tbl>
    <w:p w14:paraId="48FA9952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7" w:name="section-3-2"/>
      <w:r>
        <w:rPr>
          <w:rFonts w:hint="eastAsia" w:ascii="黑体" w:hAnsi="黑体" w:eastAsia="黑体" w:cs="黑体"/>
          <w:b w:val="1"/>
          <w:color w:val="1565c0"/>
          <w:sz w:val="26"/>
        </w:rPr>
        <w:t>2.2 工时折旧法覆盖率：理论 vs 实际</w:t>
      </w:r>
      <w:bookmarkEnd w:id="7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8179D8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A595DE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数值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E6667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口径说明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48642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品类-品牌组合总数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87176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83 个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71470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线上实际出现的品类-品牌组合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C869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可走工时折旧曲线的组合（理论覆盖）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83F5D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20 个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EA60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占 83 个组合的 24.1%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74DBD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实际命中工时折旧分支的组合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6E63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个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ECEA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占 83 个组合的 1.2%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81119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理论覆盖率与实际命中率差距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E380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22.9 个百分点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EC87D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24.1% − 1.2%</w:t>
            </w:r>
          </w:p>
        </w:tc>
      </w:tr>
    </w:tbl>
    <w:p w14:paraId="6E11531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线上绝大多数机器即使有工时参数，也走不到工时折旧分支。工时折旧曲线的标定成果，目前只作用在约 1.2% 的机器上。</w:t>
      </w:r>
    </w:p>
    <w:p w14:paraId="3BCA43BE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8" w:name="section-3-3"/>
      <w:r>
        <w:rPr>
          <w:rFonts w:hint="eastAsia" w:ascii="黑体" w:hAnsi="黑体" w:eastAsia="黑体" w:cs="黑体"/>
          <w:b w:val="1"/>
          <w:color w:val="1565c0"/>
          <w:sz w:val="26"/>
        </w:rPr>
        <w:t>2.3 缺口性质分析</w:t>
      </w:r>
      <w:bookmarkEnd w:id="8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2BFC78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品类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F350D3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缺口性质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DAC2D9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原因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4A4146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补采可行性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C8197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拖拉机（7 台全部缺工时）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BF24A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采集缺口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7DD7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拖拉机出厂必带工时表，工时信息存在但未被采集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73E9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高——可通过仪表盘照片 AI 识别回溯补录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9C9A4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打捆机、割台、捡拾台等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15FAF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物理性缺失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2FCB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出厂无工时表，工时信息物理上不存在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B124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低——无法采集，只能依赖工时合成兜底</w:t>
            </w:r>
          </w:p>
        </w:tc>
      </w:tr>
    </w:tbl>
    <w:p w14:paraId="7C26443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两类缺口必须区别对待：采集缺口（拖拉机等）是本项目要解决的核心对象，物理性缺失品类则继续走合成工时兜底，不投入采集资源。</w:t>
      </w:r>
    </w:p>
    <w:p w14:paraId="7E4EB182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9" w:name="section-3-4"/>
      <w:r>
        <w:rPr>
          <w:rFonts w:hint="eastAsia" w:ascii="黑体" w:hAnsi="黑体" w:eastAsia="黑体" w:cs="黑体"/>
          <w:b w:val="1"/>
          <w:color w:val="1565c0"/>
          <w:sz w:val="26"/>
        </w:rPr>
        <w:t>2.4 工时缺失对估值的影响量化</w:t>
      </w:r>
      <w:bookmarkEnd w:id="9"/>
    </w:p>
    <w:p w14:paraId="7559FA5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以同一台拖拉机为例，对比"有工时（走工时折旧曲线）"与"缺工时（退回机龄表）"两种口径下的残值差异：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7D9856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机龄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2CEDE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残值差异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DE7D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年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A7C53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31.2%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F738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4 年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711F8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36.9%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C80F9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8 年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58162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11.4%</w:t>
            </w:r>
          </w:p>
        </w:tc>
      </w:tr>
    </w:tbl>
    <w:p w14:paraId="4FDAE22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工时缺失使估值模糊区间高达两位数百分比，机龄 1-4 年区间尤为明显（31.2%-36.9%）。对以拖拉机为主力品类的平台而言，这直接削弱估值报告的可信度与成交转化能力。</w:t>
      </w:r>
    </w:p>
    <w:p w14:paraId="3963E84C">
      <w:pPr>
        <w:pStyle w:val="000005"/>
        <w:keepNext w:val="1"/>
        <w:keepLines w:val="1"/>
        <w:pBdr>
          <w:bottom w:val="single" w:color="1565c0" w:sz="12" w:space="9"/>
        </w:pBdr>
        <w:spacing w:before="480" w:beforeAutospacing="1" w:after="480" w:afterAutospacing="1" w:line="384"/>
        <w:outlineLvl w:val="1"/>
        <w:rPr>
          <w:color w:val="1a237e"/>
          <w:sz w:val="32"/>
          <w:szCs w:val="32"/>
        </w:rPr>
      </w:pPr>
      <w:bookmarkStart w:id="10" w:name="section-4"/>
      <w:r>
        <w:rPr>
          <w:rFonts w:hint="eastAsia" w:ascii="黑体" w:hAnsi="黑体" w:eastAsia="黑体" w:cs="黑体"/>
          <w:b w:val="1"/>
          <w:color w:val="1a237e"/>
          <w:sz w:val="32"/>
        </w:rPr>
        <w:t>三、项目目标与成功指标</w:t>
      </w:r>
      <w:bookmarkEnd w:id="10"/>
    </w:p>
    <w:p w14:paraId="32CEA7A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本章给出总体目标与分阶段成功指标，作为项目验收的统一口径。</w:t>
      </w:r>
    </w:p>
    <w:p w14:paraId="42F82F10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1" w:name="section-4-1"/>
      <w:r>
        <w:rPr>
          <w:rFonts w:hint="eastAsia" w:ascii="黑体" w:hAnsi="黑体" w:eastAsia="黑体" w:cs="黑体"/>
          <w:b w:val="1"/>
          <w:color w:val="1565c0"/>
          <w:sz w:val="26"/>
        </w:rPr>
        <w:t>3.1 总体目标</w:t>
      </w:r>
      <w:bookmarkEnd w:id="11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17890E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56AD02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基线（当前）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3CB596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目标值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EDD1B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提升幅度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2D52A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工时采集率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7308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5.3%（4/76）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B823C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≥80%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72FB3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 15 倍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5822E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工时折旧法实际命中率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FE99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1.2%（1/83）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2F959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≥60%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CE968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 50 倍</w:t>
            </w:r>
          </w:p>
        </w:tc>
      </w:tr>
    </w:tbl>
    <w:p w14:paraId="6F01CE6B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2" w:name="section-4-2"/>
      <w:r>
        <w:rPr>
          <w:rFonts w:hint="eastAsia" w:ascii="黑体" w:hAnsi="黑体" w:eastAsia="黑体" w:cs="黑体"/>
          <w:b w:val="1"/>
          <w:color w:val="1565c0"/>
          <w:sz w:val="26"/>
        </w:rPr>
        <w:t>3.2 分阶段成功指标</w:t>
      </w:r>
      <w:bookmarkEnd w:id="12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254C2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阶段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1107E7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交付物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58677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成功指标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3A94C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识别引擎升级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5595F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仪表盘工时读数识别项上线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E4F8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抽检准确率 ≥90%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1702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M2 发布流程改造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F9F82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工时字段必填 + 卖家端引导文案上线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01D0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必填与引导在出厂必带工时表品类（拖拉机、联合收割机、玉米收获机、青贮机等）生效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26272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M3 存量补采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C7D77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存量工时回溯补录完成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816DA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 97 台在审机器 + 76 条产品记录完成补采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DA1AB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M4 持续运营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82EB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采集率监控看板 + 周度跟踪机制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38540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工时采集率 ≥80%、工时折旧法实际命中率 ≥60%，并进入持续监控</w:t>
            </w:r>
          </w:p>
        </w:tc>
      </w:tr>
    </w:tbl>
    <w:p w14:paraId="43E55914">
      <w:pPr>
        <w:pStyle w:val="000005"/>
        <w:keepNext w:val="1"/>
        <w:keepLines w:val="1"/>
        <w:pBdr>
          <w:bottom w:val="single" w:color="1565c0" w:sz="12" w:space="9"/>
        </w:pBdr>
        <w:spacing w:before="480" w:beforeAutospacing="1" w:after="480" w:afterAutospacing="1" w:line="384"/>
        <w:outlineLvl w:val="1"/>
        <w:rPr>
          <w:color w:val="1a237e"/>
          <w:sz w:val="32"/>
          <w:szCs w:val="32"/>
        </w:rPr>
      </w:pPr>
      <w:bookmarkStart w:id="13" w:name="section-5"/>
      <w:r>
        <w:rPr>
          <w:rFonts w:hint="eastAsia" w:ascii="黑体" w:hAnsi="黑体" w:eastAsia="黑体" w:cs="黑体"/>
          <w:b w:val="1"/>
          <w:color w:val="1a237e"/>
          <w:sz w:val="32"/>
        </w:rPr>
        <w:t>四、技术方案</w:t>
      </w:r>
      <w:bookmarkEnd w:id="13"/>
    </w:p>
    <w:p w14:paraId="5DECA97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技术方案由 AI 识别主方案、发布流程辅方案与存量补采运营配套三部分组成，分别解决"怎么采""必须采"与"历史旧账"三类问题。</w:t>
      </w:r>
    </w:p>
    <w:p w14:paraId="26C84BFB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4" w:name="section-5-1"/>
      <w:r>
        <w:rPr>
          <w:rFonts w:hint="eastAsia" w:ascii="黑体" w:hAnsi="黑体" w:eastAsia="黑体" w:cs="黑体"/>
          <w:b w:val="1"/>
          <w:color w:val="1565c0"/>
          <w:sz w:val="26"/>
        </w:rPr>
        <w:t>4.1 主方案：AI 多模态识别仪表盘工时读数</w:t>
      </w:r>
      <w:bookmarkEnd w:id="14"/>
    </w:p>
    <w:p w14:paraId="2F86AE1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平台已有 AI 识别能力（豆包 + Gemini 双引擎 recognize API，当前用于识别农机外观）。本方案复用并升级该能力，不新建识别体系：</w:t>
      </w:r>
    </w:p>
    <w:p w14:paraId="6602BA6F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新增识别项</w:t>
      </w:r>
      <w:r>
        <w:rPr>
          <w:rFonts w:hint="eastAsia" w:ascii="宋体" w:hAnsi="宋体" w:eastAsia="宋体" w:cs="宋体"/>
          <w:color w:val="212121"/>
          <w:sz w:val="24"/>
        </w:rPr>
        <w:t>：新增"仪表盘工时读数"识别项，卖家上传仪表盘照片，由 AI 识别照片中的工时表读数；</w:t>
      </w:r>
    </w:p>
    <w:p w14:paraId="5F49C967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数据落库</w:t>
      </w:r>
      <w:r>
        <w:rPr>
          <w:rFonts w:hint="eastAsia" w:ascii="宋体" w:hAnsi="宋体" w:eastAsia="宋体" w:cs="宋体"/>
          <w:color w:val="212121"/>
          <w:sz w:val="24"/>
        </w:rPr>
        <w:t>：识别结果写入 workingHours 字段，标记来源为"真实识别"，并记录识别置信度；</w:t>
      </w:r>
    </w:p>
    <w:p w14:paraId="395A0726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质量兜底</w:t>
      </w:r>
      <w:r>
        <w:rPr>
          <w:rFonts w:hint="eastAsia" w:ascii="宋体" w:hAnsi="宋体" w:eastAsia="宋体" w:cs="宋体"/>
          <w:color w:val="212121"/>
          <w:sz w:val="24"/>
        </w:rPr>
        <w:t>：低于置信度门槛的识别结果自动转人工复核（详见第七章风险对策）。</w:t>
      </w:r>
    </w:p>
    <w:p w14:paraId="385EF998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5" w:name="section-5-2"/>
      <w:r>
        <w:rPr>
          <w:rFonts w:hint="eastAsia" w:ascii="黑体" w:hAnsi="黑体" w:eastAsia="黑体" w:cs="黑体"/>
          <w:b w:val="1"/>
          <w:color w:val="1565c0"/>
          <w:sz w:val="26"/>
        </w:rPr>
        <w:t>4.2 辅方案：发布流程字段改造</w:t>
      </w:r>
      <w:bookmarkEnd w:id="15"/>
    </w:p>
    <w:p w14:paraId="45EA1B33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改造范围</w:t>
      </w:r>
      <w:r>
        <w:rPr>
          <w:rFonts w:hint="eastAsia" w:ascii="宋体" w:hAnsi="宋体" w:eastAsia="宋体" w:cs="宋体"/>
          <w:color w:val="212121"/>
          <w:sz w:val="24"/>
        </w:rPr>
        <w:t>：出厂必带工时表的品类——拖拉机、联合收割机、玉米收获机、青贮机等；</w:t>
      </w:r>
    </w:p>
    <w:p w14:paraId="1E8199AC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字段必填</w:t>
      </w:r>
      <w:r>
        <w:rPr>
          <w:rFonts w:hint="eastAsia" w:ascii="宋体" w:hAnsi="宋体" w:eastAsia="宋体" w:cs="宋体"/>
          <w:color w:val="212121"/>
          <w:sz w:val="24"/>
        </w:rPr>
        <w:t>：上述品类发布时，工时字段改为必填，从入口端堵住漏采；</w:t>
      </w:r>
    </w:p>
    <w:p w14:paraId="3D06862B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卖家引导</w:t>
      </w:r>
      <w:r>
        <w:rPr>
          <w:rFonts w:hint="eastAsia" w:ascii="宋体" w:hAnsi="宋体" w:eastAsia="宋体" w:cs="宋体"/>
          <w:color w:val="212121"/>
          <w:sz w:val="24"/>
        </w:rPr>
        <w:t>：无表显读数时，引导卖家上传仪表盘照片，走 AI 识别录入。</w:t>
      </w:r>
    </w:p>
    <w:p w14:paraId="11915632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6" w:name="section-5-3"/>
      <w:r>
        <w:rPr>
          <w:rFonts w:hint="eastAsia" w:ascii="黑体" w:hAnsi="黑体" w:eastAsia="黑体" w:cs="黑体"/>
          <w:b w:val="1"/>
          <w:color w:val="1565c0"/>
          <w:sz w:val="26"/>
        </w:rPr>
        <w:t>4.3 运营配套：存量回溯补采</w:t>
      </w:r>
      <w:bookmarkEnd w:id="16"/>
    </w:p>
    <w:p w14:paraId="30314B1B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结合公司正在推进的约 97 台二手机器实地审核项目，补拍仪表盘照片；</w:t>
      </w:r>
    </w:p>
    <w:p w14:paraId="34143A21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对 76 条存量产品记录回溯补录工时，优先补采拖拉机等出厂必带工时表品类。</w:t>
      </w:r>
    </w:p>
    <w:p w14:paraId="08713952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7" w:name="section-5-4"/>
      <w:r>
        <w:rPr>
          <w:rFonts w:hint="eastAsia" w:ascii="黑体" w:hAnsi="黑体" w:eastAsia="黑体" w:cs="黑体"/>
          <w:b w:val="1"/>
          <w:color w:val="1565c0"/>
          <w:sz w:val="26"/>
        </w:rPr>
        <w:t>4.4 方案组合逻辑</w:t>
      </w:r>
      <w:bookmarkEnd w:id="17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5D5958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方案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029EC4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解决什么问题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4BE873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覆盖对象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11477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主方案：AI 识别仪表盘读数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068E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工时"怎么采"——录入效率与准确性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F4501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全部有表显读数的机器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3DD4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辅方案：发布流程字段必填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F3404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工时"必须采"——新发产品漏采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028AE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出厂必带工时表的品类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01959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运营配套：存量回溯补采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AF449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历史"旧账"——存量数据欠账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A57C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 97 台在审机器 + 76 条存量记录</w:t>
            </w:r>
          </w:p>
        </w:tc>
      </w:tr>
    </w:tbl>
    <w:p w14:paraId="433C639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三个方案分别覆盖新发与存量、必填与激励，构成完整闭环：辅方案保证增量数据质量，主方案提供录入手段，运营配套清理历史欠账。</w:t>
      </w:r>
    </w:p>
    <w:p w14:paraId="10977B23">
      <w:pPr>
        <w:pStyle w:val="000005"/>
        <w:keepNext w:val="1"/>
        <w:keepLines w:val="1"/>
        <w:pBdr>
          <w:bottom w:val="single" w:color="1565c0" w:sz="12" w:space="9"/>
        </w:pBdr>
        <w:spacing w:before="480" w:beforeAutospacing="1" w:after="480" w:afterAutospacing="1" w:line="384"/>
        <w:outlineLvl w:val="1"/>
        <w:rPr>
          <w:color w:val="1a237e"/>
          <w:sz w:val="32"/>
          <w:szCs w:val="32"/>
        </w:rPr>
      </w:pPr>
      <w:bookmarkStart w:id="18" w:name="section-6"/>
      <w:r>
        <w:rPr>
          <w:rFonts w:hint="eastAsia" w:ascii="黑体" w:hAnsi="黑体" w:eastAsia="黑体" w:cs="黑体"/>
          <w:b w:val="1"/>
          <w:color w:val="1a237e"/>
          <w:sz w:val="32"/>
        </w:rPr>
        <w:t>五、实施计划与里程碑</w:t>
      </w:r>
      <w:bookmarkEnd w:id="18"/>
    </w:p>
    <w:p w14:paraId="2A230C5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项目分 4 个里程碑，每阶段约 2 周，总周期约 8 周。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13B6D2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里程碑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CBC428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周期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74276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主要工作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5A2FA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交付物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91BF8E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0E9E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识别引擎升级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77B17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1-2 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5EFD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复用豆包 + Gemini 双引擎 recognize API，新增仪表盘工时读数识别项；识别结果写入 workingHours 字段并标记来源与置信度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2655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识别项上线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C8872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抽检准确率 ≥90%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55C7C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M2 发布流程改造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58BF5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3-4 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31DD0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出厂必带工时表品类工时字段改必填；无表显读数时引导卖家上传仪表盘照片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37CC1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字段必填 + 卖家端引导文案上线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36D3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必填与引导在目标品类生效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71E04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M3 存量补采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6D19D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5-6 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49980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 97 台在审机器补拍仪表盘照片；76 条产品记录回溯补录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252F0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存量工时回填完成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7418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存量产品工时补录完成，优先覆盖拖拉机品类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498D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M4 持续运营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5A42C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7-8 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8253E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采集率监控看板 + 周度跟踪机制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48927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监控看板上线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6E48B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工时采集率 ≥80%、工时折旧法实际命中率 ≥60%，转入周度持续跟踪</w:t>
            </w:r>
          </w:p>
        </w:tc>
      </w:tr>
    </w:tbl>
    <w:p w14:paraId="2431BF45">
      <w:pPr>
        <w:pStyle w:val="000005"/>
        <w:keepNext w:val="1"/>
        <w:keepLines w:val="1"/>
        <w:pBdr>
          <w:bottom w:val="single" w:color="1565c0" w:sz="12" w:space="9"/>
        </w:pBdr>
        <w:spacing w:before="480" w:beforeAutospacing="1" w:after="480" w:afterAutospacing="1" w:line="384"/>
        <w:outlineLvl w:val="1"/>
        <w:rPr>
          <w:color w:val="1a237e"/>
          <w:sz w:val="32"/>
          <w:szCs w:val="32"/>
        </w:rPr>
      </w:pPr>
      <w:bookmarkStart w:id="19" w:name="section-7"/>
      <w:r>
        <w:rPr>
          <w:rFonts w:hint="eastAsia" w:ascii="黑体" w:hAnsi="黑体" w:eastAsia="黑体" w:cs="黑体"/>
          <w:b w:val="1"/>
          <w:color w:val="1a237e"/>
          <w:sz w:val="32"/>
        </w:rPr>
        <w:t>六、资源需求与分工</w:t>
      </w:r>
      <w:bookmarkEnd w:id="19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D5DFC7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角色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EA7FF9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人数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82DFB3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职责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4B9CBF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主要投入阶段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1390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算法工程师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94061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65781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识别引擎升级（仪表盘工时读数识别项）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489A1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M1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97922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前端工程师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3C0B6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F9A8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发布流程改造（字段必填 + 卖家端引导文案）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1C093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M2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FAF0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运营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5B253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DD5F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存量补采（约 97 台在审机器 + 76 条产品记录回溯补录）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B8BFF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M3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4767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数据分析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5F1EA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0.5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D8A14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采集率监控看板与周度跟踪机制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49E1C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M1-M4</w:t>
            </w:r>
          </w:p>
        </w:tc>
      </w:tr>
    </w:tbl>
    <w:p w14:paraId="7665C85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合计投入 3.5 个人力，总工作量约 10 人周（估算：算法 2 人周 + 前端 2 人周 + 运营 2 人周 + 数据分析 0.5 名 × 8 周 = 4 人周）。</w:t>
      </w:r>
    </w:p>
    <w:p w14:paraId="2802D7E6">
      <w:pPr>
        <w:pStyle w:val="000005"/>
        <w:keepNext w:val="1"/>
        <w:keepLines w:val="1"/>
        <w:pBdr>
          <w:bottom w:val="single" w:color="1565c0" w:sz="12" w:space="9"/>
        </w:pBdr>
        <w:spacing w:before="480" w:beforeAutospacing="1" w:after="480" w:afterAutospacing="1" w:line="384"/>
        <w:outlineLvl w:val="1"/>
        <w:rPr>
          <w:color w:val="1a237e"/>
          <w:sz w:val="32"/>
          <w:szCs w:val="32"/>
        </w:rPr>
      </w:pPr>
      <w:bookmarkStart w:id="20" w:name="section-8"/>
      <w:r>
        <w:rPr>
          <w:rFonts w:hint="eastAsia" w:ascii="黑体" w:hAnsi="黑体" w:eastAsia="黑体" w:cs="黑体"/>
          <w:b w:val="1"/>
          <w:color w:val="1a237e"/>
          <w:sz w:val="32"/>
        </w:rPr>
        <w:t>七、风险识别与对策</w:t>
      </w:r>
      <w:bookmarkEnd w:id="20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AA5E27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1"/>
              </w:rPr>
              <w:t>#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823C6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风险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E3DE1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影响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CB781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对策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141E1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B08AA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老旧机械表盘模糊、照片质量差，导致识别率不达标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350B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验收指标（抽检准确率 ≥90%）无法达成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82D5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人工复核兜底 + 置信度门槛：低于置信度门槛的识别结果自动转人工复核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6D468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5D476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卖家不配合上传仪表盘照片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6C20B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新发产品工时字段留空，采集率目标无法达成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2992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与平台付费深度报告（¥9 设备体检 / ¥99-299 深度估值报告）结合，上传仪表盘照片解锁更精准估值，作为上传激励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0E24A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C7D85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合成工时与真实工时存在偏差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2DB45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估值口径不一致，数据可信度受损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5719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双轨并行：识别为真实工时的优先采用，合成工时仅作兜底；workingHours 字段同步标记数据来源，口径可追溯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26755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E553B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存量补采依赖约 97 台实地审核项目排期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CB42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M3 回溯补录延期，项目整体顺延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5EAE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提前锁定补采窗口；优先补采拖拉机等出厂必带工时表品类（采集缺口价值最高）</w:t>
            </w:r>
          </w:p>
        </w:tc>
      </w:tr>
    </w:tbl>
    <w:p w14:paraId="318617CA">
      <w:pPr>
        <w:pStyle w:val="000005"/>
        <w:keepNext w:val="1"/>
        <w:keepLines w:val="1"/>
        <w:pBdr>
          <w:bottom w:val="single" w:color="1565c0" w:sz="12" w:space="9"/>
        </w:pBdr>
        <w:spacing w:before="480" w:beforeAutospacing="1" w:after="480" w:afterAutospacing="1" w:line="384"/>
        <w:outlineLvl w:val="1"/>
        <w:rPr>
          <w:color w:val="1a237e"/>
          <w:sz w:val="32"/>
          <w:szCs w:val="32"/>
        </w:rPr>
      </w:pPr>
      <w:bookmarkStart w:id="21" w:name="section-9"/>
      <w:r>
        <w:rPr>
          <w:rFonts w:hint="eastAsia" w:ascii="黑体" w:hAnsi="黑体" w:eastAsia="黑体" w:cs="黑体"/>
          <w:b w:val="1"/>
          <w:color w:val="1a237e"/>
          <w:sz w:val="32"/>
        </w:rPr>
        <w:t>八、预期收益与投入产出分析</w:t>
      </w:r>
      <w:bookmarkEnd w:id="21"/>
    </w:p>
    <w:p w14:paraId="5623ED7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本章从估值精度、商业转化与数据资产三个维度分析预期收益，并给出投入产出结论。</w:t>
      </w:r>
    </w:p>
    <w:p w14:paraId="2AC8CA8B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2" w:name="section-9-1"/>
      <w:r>
        <w:rPr>
          <w:rFonts w:hint="eastAsia" w:ascii="黑体" w:hAnsi="黑体" w:eastAsia="黑体" w:cs="黑体"/>
          <w:b w:val="1"/>
          <w:color w:val="1565c0"/>
          <w:sz w:val="26"/>
        </w:rPr>
        <w:t>8.1 估值精度收益</w:t>
      </w:r>
      <w:bookmarkEnd w:id="22"/>
    </w:p>
    <w:p w14:paraId="13E560A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现状：同一台拖拉机，缺工时时退回机龄表，机龄 1 年残值差 </w:t>
      </w:r>
      <w:r>
        <w:rPr>
          <w:rFonts w:ascii="宋体" w:hAnsi="宋体" w:eastAsia="宋体" w:cs="宋体"/>
          <w:b w:val="1"/>
          <w:color w:val="c62828"/>
          <w:sz w:val="24"/>
        </w:rPr>
        <w:t>31.2%</w:t>
      </w:r>
      <w:r>
        <w:rPr>
          <w:rFonts w:hint="eastAsia" w:ascii="宋体" w:hAnsi="宋体" w:eastAsia="宋体" w:cs="宋体"/>
          <w:color w:val="212121"/>
          <w:sz w:val="24"/>
        </w:rPr>
        <w:t xml:space="preserve">、4 年差 </w:t>
      </w:r>
      <w:r>
        <w:rPr>
          <w:rFonts w:ascii="宋体" w:hAnsi="宋体" w:eastAsia="宋体" w:cs="宋体"/>
          <w:b w:val="1"/>
          <w:color w:val="c62828"/>
          <w:sz w:val="24"/>
        </w:rPr>
        <w:t>36.9%</w:t>
      </w:r>
      <w:r>
        <w:rPr>
          <w:rFonts w:hint="eastAsia" w:ascii="宋体" w:hAnsi="宋体" w:eastAsia="宋体" w:cs="宋体"/>
          <w:color w:val="212121"/>
          <w:sz w:val="24"/>
        </w:rPr>
        <w:t>、8 年差 11.4%。</w:t>
      </w:r>
    </w:p>
    <w:p w14:paraId="358608B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改善目标：工时采集到位后，拖拉机走工时折旧曲线，把机龄 1-9 年区间 11%-37% 的残值模糊区间收窄到个位数。这是本项目最核心的量化收益。</w:t>
      </w:r>
    </w:p>
    <w:p w14:paraId="095D6B1F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3" w:name="section-9-2"/>
      <w:r>
        <w:rPr>
          <w:rFonts w:hint="eastAsia" w:ascii="黑体" w:hAnsi="黑体" w:eastAsia="黑体" w:cs="黑体"/>
          <w:b w:val="1"/>
          <w:color w:val="1565c0"/>
          <w:sz w:val="26"/>
        </w:rPr>
        <w:t>8.2 商业转化收益</w:t>
      </w:r>
      <w:bookmarkEnd w:id="23"/>
    </w:p>
    <w:p w14:paraId="208205B0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买家信任</w:t>
      </w:r>
      <w:r>
        <w:rPr>
          <w:rFonts w:hint="eastAsia" w:ascii="宋体" w:hAnsi="宋体" w:eastAsia="宋体" w:cs="宋体"/>
          <w:color w:val="212121"/>
          <w:sz w:val="24"/>
        </w:rPr>
        <w:t>：工时透明化提升买家对估值结果的信任，支撑成交转化；</w:t>
      </w:r>
    </w:p>
    <w:p w14:paraId="5490498D">
      <w:pPr>
        <w:numPr>
          <w:ilvl w:val="0"/>
          <w:numId w:val="3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付费钩子</w:t>
      </w:r>
      <w:r>
        <w:rPr>
          <w:rFonts w:hint="eastAsia" w:ascii="宋体" w:hAnsi="宋体" w:eastAsia="宋体" w:cs="宋体"/>
          <w:color w:val="212121"/>
          <w:sz w:val="24"/>
        </w:rPr>
        <w:t>：上传仪表盘照片解锁更精准估值，与平台付费深度报告（¥9 设备体检 / ¥99-299 深度估值报告）形成自然转化路径。</w:t>
      </w:r>
    </w:p>
    <w:p w14:paraId="37CB6A1C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4" w:name="section-9-3"/>
      <w:r>
        <w:rPr>
          <w:rFonts w:hint="eastAsia" w:ascii="黑体" w:hAnsi="黑体" w:eastAsia="黑体" w:cs="黑体"/>
          <w:b w:val="1"/>
          <w:color w:val="1565c0"/>
          <w:sz w:val="26"/>
        </w:rPr>
        <w:t>8.3 数据资产收益</w:t>
      </w:r>
      <w:bookmarkEnd w:id="24"/>
    </w:p>
    <w:p w14:paraId="777040E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真实工时数据回流后，工时折旧曲线可从"专家锚点标定"（0 小时残值 0.79 → 20000 小时残值 0.180）逐步走向"大数据自标定"，形成数据飞轮：采集率越高 → 曲线越准 → 估值越准 → 上传激励越强。</w:t>
      </w:r>
    </w:p>
    <w:p w14:paraId="23D7514B">
      <w:pPr>
        <w:pStyle w:val="000006"/>
        <w:keepNext w:val="1"/>
        <w:keepLines w:val="1"/>
        <w:spacing w:before="48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5" w:name="section-9-4"/>
      <w:r>
        <w:rPr>
          <w:rFonts w:hint="eastAsia" w:ascii="黑体" w:hAnsi="黑体" w:eastAsia="黑体" w:cs="黑体"/>
          <w:b w:val="1"/>
          <w:color w:val="1565c0"/>
          <w:sz w:val="26"/>
        </w:rPr>
        <w:t>8.4 投入产出分析</w:t>
      </w:r>
      <w:bookmarkEnd w:id="25"/>
    </w:p>
    <w:p w14:paraId="6D90396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投入</w:t>
      </w:r>
      <w:r>
        <w:rPr>
          <w:rFonts w:hint="eastAsia" w:ascii="宋体" w:hAnsi="宋体" w:eastAsia="宋体" w:cs="宋体"/>
          <w:color w:val="212121"/>
          <w:sz w:val="24"/>
        </w:rPr>
        <w:t>：约 8 周周期，算法 1 名 + 前端 1 名 + 运营 1 名 + 数据分析 0.5 名，总工作量约 10 人周（估算）。</w:t>
      </w:r>
    </w:p>
    <w:p w14:paraId="66BDDDA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产出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6CA9AF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收益维度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DE814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具体产出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6780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估值精度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E28E1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拖拉机机龄 1-9 年残值模糊区间从 11%-37% 收窄到个位数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63858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商业转化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EEFA5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工时透明提升买家信任；¥9 / ¥99-299 深度报告付费钩子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67AB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数据资产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1DAD6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真实工时数据回流，折旧曲线走向大数据自标定</w:t>
            </w:r>
          </w:p>
        </w:tc>
      </w:tr>
    </w:tbl>
    <w:p w14:paraId="5E39B5A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001E2D5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投入产出核心逻辑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：本项目的本质不是新建能力，而是让已完成的投入真正产生回报——工时折旧曲线刚完成专家锚点重新标定，工时合成机制刚下沉落地，但线上只有 1.2% 的机器能走到工时折旧分支。本项目以约 10 人周（估算）的投入，把工时折旧法实际命中率从 1.2% 提升至 60%+、工时采集率从 5.3% 提升至 80%+，解锁既有标定投入的估值产出，并为后续折旧曲线自标定积累数据资产。投入规模小、杠杆作用直接，建议批准立项。</w:t>
            </w:r>
          </w:p>
        </w:tc>
      </w:tr>
    </w:tbl>
    <w:p w14:paraId="1B7EA8CA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3934B4F8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CFFD3D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0"/>
  </w:num>
  <w:num w:numId="1">
    <w:abstractNumId w:val="2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3" w:semiHidden="1" w:unhideWhenUsed="1"/>
    <w:lsdException w:name="toa heading" w:semiHidden="1" w:unhideWhenUsed="1"/>
    <w:lsdException w:name="Date" w:semiHidden="1" w:unhideWhenUsed="1"/>
    <w:lsdException w:name="List Number 3" w:semiHidden="1" w:unhideWhenUsed="1"/>
    <w:lsdException w:name="List Continue 2" w:semiHidden="1" w:unhideWhenUsed="1"/>
    <w:lsdException w:name="List" w:semiHidden="1" w:unhideWhenUsed="1"/>
    <w:lsdException w:name="Body Text First Indent" w:semiHidden="1" w:unhideWhenUsed="1"/>
    <w:lsdException w:name="Subtitle" w:uiPriority="11" w:qFormat="1"/>
    <w:lsdException w:name="annotation text" w:semiHidden="1" w:unhideWhenUsed="1"/>
    <w:lsdException w:name="Body Text Indent" w:semiHidden="1" w:unhideWhenUsed="1"/>
    <w:lsdException w:name="List Continue 4" w:semiHidden="1" w:unhideWhenUsed="1"/>
    <w:lsdException w:name="table of authorities" w:semiHidden="1" w:unhideWhenUsed="1"/>
    <w:lsdException w:name="index 6" w:semiHidden="1" w:unhideWhenUsed="1"/>
    <w:lsdException w:name="Note Heading" w:semiHidden="1" w:unhideWhenUsed="1"/>
    <w:lsdException w:name="Hyperlink" w:semiHidden="1" w:unhideWhenUsed="1"/>
    <w:lsdException w:name="index 7" w:semiHidden="1" w:unhideWhenUsed="1"/>
    <w:lsdException w:name="index 4" w:semiHidden="1" w:unhideWhenUsed="1"/>
    <w:lsdException w:name="footnote text" w:semiHidden="1" w:unhideWhenUsed="1"/>
    <w:lsdException w:name="Strong" w:uiPriority="22" w:qFormat="1"/>
    <w:lsdException w:name="toc 6" w:uiPriority="39" w:semiHidden="1" w:unhideWhenUsed="1"/>
    <w:lsdException w:name="toc 1" w:uiPriority="39" w:semiHidden="1" w:unhideWhenUsed="1"/>
    <w:lsdException w:name="toc 7" w:uiPriority="39" w:semiHidden="1" w:unhideWhenUsed="1"/>
    <w:lsdException w:name="heading 7" w:uiPriority="9" w:semiHidden="1" w:unhideWhenUsed="1" w:qFormat="1"/>
    <w:lsdException w:name="List Bullet 2" w:semiHidden="1" w:unhideWhenUsed="1"/>
    <w:lsdException w:name="List Number 4" w:semiHidden="1" w:unhideWhenUsed="1"/>
    <w:lsdException w:name="Body Text 2" w:semiHidden="1" w:unhideWhenUsed="1"/>
    <w:lsdException w:name="Default Paragraph Font" w:uiPriority="1" w:semiHidden="1" w:unhideWhenUsed="1"/>
    <w:lsdException w:name="List Continue 3" w:semiHidden="1" w:unhideWhenUsed="1"/>
    <w:lsdException w:name="line number" w:semiHidden="1" w:unhideWhenUsed="1"/>
    <w:lsdException w:name="Body Text Indent 2" w:semiHidden="1" w:unhideWhenUsed="1"/>
    <w:lsdException w:name="Normal" w:uiPriority="0" w:qFormat="1"/>
    <w:lsdException w:name="Block Text" w:semiHidden="1" w:unhideWhenUsed="1"/>
    <w:lsdException w:name="index 3" w:semiHidden="1" w:unhideWhenUsed="1"/>
    <w:lsdException w:name="Signature" w:semiHidden="1" w:unhideWhenUsed="1"/>
    <w:lsdException w:name="index heading" w:semiHidden="1" w:unhideWhenUsed="1"/>
    <w:lsdException w:name="toc 4" w:uiPriority="39" w:semiHidden="1" w:unhideWhenUsed="1"/>
    <w:lsdException w:name="heading 4" w:uiPriority="9" w:semiHidden="1" w:unhideWhenUsed="1" w:qFormat="1"/>
    <w:lsdException w:name="List Continue" w:semiHidden="1" w:unhideWhenUsed="1"/>
    <w:lsdException w:name="List Bullet 3" w:semiHidden="1" w:unhideWhenUsed="1"/>
    <w:lsdException w:name="heading 6" w:uiPriority="9" w:semiHidden="1" w:unhideWhenUsed="1" w:qFormat="1"/>
    <w:lsdException w:name="heading 1" w:uiPriority="9" w:qFormat="1"/>
    <w:lsdException w:name="footer" w:semiHidden="1" w:unhideWhenUsed="1"/>
    <w:lsdException w:name="FollowedHyperlink" w:semiHidden="1" w:unhideWhenUsed="1"/>
    <w:lsdException w:name="toc 8" w:uiPriority="39" w:semiHidden="1" w:unhideWhenUsed="1"/>
    <w:lsdException w:name="page number" w:semiHidden="1" w:unhideWhenUsed="1"/>
    <w:lsdException w:name="toc 3" w:uiPriority="39" w:semiHidden="1" w:unhideWhenUsed="1"/>
    <w:lsdException w:name="List Bullet" w:semiHidden="1" w:unhideWhenUsed="1"/>
    <w:lsdException w:name="Normal Indent" w:semiHidden="1" w:unhideWhenUsed="1"/>
    <w:lsdException w:name="heading 9" w:uiPriority="9" w:semiHidden="1" w:unhideWhenUsed="1" w:qFormat="1"/>
    <w:lsdException w:name="toc 9" w:uiPriority="39" w:semiHidden="1" w:unhideWhenUsed="1"/>
    <w:lsdException w:name="annotation reference" w:semiHidden="1" w:unhideWhenUsed="1"/>
    <w:lsdException w:name="Message Header" w:semiHidden="1" w:unhideWhenUsed="1"/>
    <w:lsdException w:name="header" w:semiHidden="1" w:unhideWhenUsed="1"/>
    <w:lsdException w:name="heading 5" w:uiPriority="9" w:semiHidden="1" w:unhideWhenUsed="1" w:qFormat="1"/>
    <w:lsdException w:name="envelope return" w:semiHidden="1" w:unhideWhenUsed="1"/>
    <w:lsdException w:name="toc 5" w:uiPriority="39" w:semiHidden="1" w:unhideWhenUsed="1"/>
    <w:lsdException w:name="macro" w:semiHidden="1" w:unhideWhenUsed="1"/>
    <w:lsdException w:name="Salutation" w:semiHidden="1" w:unhideWhenUsed="1"/>
    <w:lsdException w:name="List Number 5" w:semiHidden="1" w:unhideWhenUsed="1"/>
    <w:lsdException w:name="List Bullet 4" w:semiHidden="1" w:unhideWhenUsed="1"/>
    <w:lsdException w:name="List Bullet 5" w:semiHidden="1" w:unhideWhenUsed="1"/>
    <w:lsdException w:name="index 8" w:semiHidden="1" w:unhideWhenUsed="1"/>
    <w:lsdException w:name="index 2" w:semiHidden="1" w:unhideWhenUsed="1"/>
    <w:lsdException w:name="List 3" w:semiHidden="1" w:unhideWhenUsed="1"/>
    <w:lsdException w:name="index 9" w:semiHidden="1" w:unhideWhenUsed="1"/>
    <w:lsdException w:name="Body Text First Indent 2" w:semiHidden="1" w:unhideWhenUsed="1"/>
    <w:lsdException w:name="endnote reference" w:semiHidden="1" w:unhideWhenUsed="1"/>
    <w:lsdException w:name="endnote text" w:semiHidden="1" w:unhideWhenUsed="1"/>
    <w:lsdException w:name="heading 8" w:uiPriority="9" w:semiHidden="1" w:unhideWhenUsed="1" w:qFormat="1"/>
    <w:lsdException w:name="Body Text" w:semiHidden="1" w:unhideWhenUsed="1"/>
    <w:lsdException w:name="heading 3" w:uiPriority="9" w:semiHidden="1" w:unhideWhenUsed="1" w:qFormat="1"/>
    <w:lsdException w:name="Closing" w:semiHidden="1" w:unhideWhenUsed="1"/>
    <w:lsdException w:name="heading 2" w:uiPriority="9" w:semiHidden="1" w:unhideWhenUsed="1" w:qFormat="1"/>
    <w:lsdException w:name="toc 2" w:uiPriority="39" w:semiHidden="1" w:unhideWhenUsed="1"/>
    <w:lsdException w:name="Title" w:uiPriority="10" w:qFormat="1"/>
    <w:lsdException w:name="List Number 2" w:semiHidden="1" w:unhideWhenUsed="1"/>
    <w:lsdException w:name="List 4" w:semiHidden="1" w:unhideWhenUsed="1"/>
    <w:lsdException w:name="index 1" w:semiHidden="1" w:unhideWhenUsed="1"/>
    <w:lsdException w:name="index 5" w:semiHidden="1" w:unhideWhenUsed="1"/>
    <w:lsdException w:name="Body Text Indent 3" w:semiHidden="1" w:unhideWhenUsed="1"/>
    <w:lsdException w:name="footnote reference" w:semiHidden="1" w:unhideWhenUsed="1"/>
    <w:lsdException w:name="List Continue 5" w:semiHidden="1" w:unhideWhenUsed="1"/>
    <w:lsdException w:name="List Number" w:semiHidden="1" w:unhideWhenUsed="1"/>
    <w:lsdException w:name="caption" w:uiPriority="35" w:semiHidden="1" w:unhideWhenUsed="1" w:qFormat="1"/>
    <w:lsdException w:name="envelope address" w:semiHidden="1" w:unhideWhenUsed="1"/>
    <w:lsdException w:name="List 2" w:semiHidden="1" w:unhideWhenUsed="1"/>
    <w:lsdException w:name="List 5" w:semiHidden="1" w:unhideWhenUsed="1"/>
    <w:lsdException w:name="table of figures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2026-10-15T02:00:02Z</dcterms:created>
  <dcterms:modified xsi:type="dcterms:W3CDTF">2026-10-15T02:00:02Z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"01a13b6ce50e7fcba5047fa195d04b72", "ReservedCode1": "", "ContentPropagator": "00119111010856365494821B355", "PropagateID": "01a13b6ce50e7fcba5047fa195d04b72", "ReservedCode2": ""}}</vt:lpwstr>
  </property>
</Properties>
</file>