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圣人是肯下工夫的庸人 庸人是不肯下功夫的圣人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践行社会主义核心价值观要笃行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新时代党的民族</w:t>
      </w:r>
      <w:r>
        <w:rPr>
          <w:rFonts w:hint="eastAsia"/>
          <w:lang w:val="en-US" w:eastAsia="zh-CN"/>
        </w:rPr>
        <w:t>工作主线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铸牢中华民族共同体意识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马克思主义法学理论认为，法律体现的是</w:t>
      </w:r>
    </w:p>
    <w:p>
      <w:pPr>
        <w:numPr>
          <w:ilvl w:val="0"/>
          <w:numId w:val="0"/>
        </w:numPr>
        <w:ind w:firstLine="420" w:firstLineChars="0"/>
        <w:rPr>
          <w:rFonts w:hint="eastAsia"/>
        </w:rPr>
      </w:pPr>
      <w:r>
        <w:rPr>
          <w:rFonts w:hint="eastAsia"/>
        </w:rPr>
        <w:t>统治阶级的意志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中国特色社会主义制度的最大优势是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</w:rPr>
        <w:t>中国共产党领导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都江堰体现的中国精神内涵是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百折不挠、克服困难、默默奉献、造福后世、全心全意地造福于民的精神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集体主义对公民最基本的道德要求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无私奉献，一心为公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7.当一天和尚撞一天钟，今朝有酒今朝醉的根本原因是没有树立正确的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人生态度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8.法律运行的起始性和关键性环节是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法律制定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9.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共产主义社会是（）样的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物质财富极大丰富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实现按需分配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人的精神境界极大提高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每个人自由而全面发展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10.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拜金主义的人生观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人为财死，鸟为食亡，金钱是万能的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人不为己，天诛地灭×</w:t>
      </w:r>
    </w:p>
    <w:p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树立正确的得失观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 w:firstLine="420" w:firstLineChars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不要惧怕一时的失；不要惧怕一时的得；不要拘泥于个人利益的得失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如何正确评价人生价值</w:t>
      </w: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如何实现中国梦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404A4C"/>
    <w:multiLevelType w:val="singleLevel"/>
    <w:tmpl w:val="B9404A4C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627CB5A"/>
    <w:multiLevelType w:val="singleLevel"/>
    <w:tmpl w:val="E627CB5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99B28E4"/>
    <w:multiLevelType w:val="singleLevel"/>
    <w:tmpl w:val="699B28E4"/>
    <w:lvl w:ilvl="0" w:tentative="0">
      <w:start w:val="1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YThjMGRlODJiMjU3MmU5OTY1MGUwMjJiMGM5ZWIifQ=="/>
  </w:docVars>
  <w:rsids>
    <w:rsidRoot w:val="00000000"/>
    <w:rsid w:val="012637B9"/>
    <w:rsid w:val="080348DA"/>
    <w:rsid w:val="36CD1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2023-12-24T23:36:00Z</dcterms:created>
  <dc:creator>Luboao</dc:creator>
  <cp:lastModifiedBy>້眰.</cp:lastModifiedBy>
  <dcterms:modified xsi:type="dcterms:W3CDTF">2023-12-25T01:55:29Z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8AED4EAB0C64403381AD223EA6F3C19A_12</vt:lpwstr>
  </property>
</Properties>
</file>