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354413" w14:textId="77777777" w:rsidR="0063107A" w:rsidRDefault="00CE4D4C">
      <w:pPr>
        <w:numPr>
          <w:ilvl w:val="0"/>
          <w:numId w:val="1"/>
        </w:num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乙烯分子为平面结构，其中两个双键碳原子不能围绕碳</w:t>
      </w:r>
      <w:proofErr w:type="gramStart"/>
      <w:r>
        <w:rPr>
          <w:rFonts w:ascii="黑体" w:eastAsia="黑体" w:hAnsi="黑体" w:cs="黑体" w:hint="eastAsia"/>
          <w:sz w:val="28"/>
          <w:szCs w:val="28"/>
        </w:rPr>
        <w:t>碳</w:t>
      </w:r>
      <w:proofErr w:type="gramEnd"/>
      <w:r>
        <w:rPr>
          <w:rFonts w:ascii="黑体" w:eastAsia="黑体" w:hAnsi="黑体" w:cs="黑体" w:hint="eastAsia"/>
          <w:sz w:val="28"/>
          <w:szCs w:val="28"/>
        </w:rPr>
        <w:t>σ键自由旋转。（√）</w:t>
      </w:r>
    </w:p>
    <w:p w14:paraId="188172D8" w14:textId="77777777" w:rsidR="0063107A" w:rsidRDefault="00CE4D4C">
      <w:pPr>
        <w:numPr>
          <w:ilvl w:val="0"/>
          <w:numId w:val="1"/>
        </w:num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只有不对称烯烃与</w:t>
      </w:r>
      <w:r>
        <w:rPr>
          <w:rFonts w:ascii="Times New Roman" w:eastAsia="黑体" w:hAnsi="Times New Roman" w:cs="Times New Roman"/>
          <w:sz w:val="28"/>
          <w:szCs w:val="28"/>
        </w:rPr>
        <w:t>HBr</w:t>
      </w:r>
      <w:r>
        <w:rPr>
          <w:rFonts w:ascii="Times New Roman" w:eastAsia="黑体" w:hAnsi="Times New Roman" w:cs="Times New Roman" w:hint="eastAsia"/>
          <w:sz w:val="28"/>
          <w:szCs w:val="28"/>
        </w:rPr>
        <w:t>加成时才能产生过氧化物效应，而不对称烯烃与</w:t>
      </w:r>
      <w:r>
        <w:rPr>
          <w:rFonts w:ascii="Times New Roman" w:eastAsia="黑体" w:hAnsi="Times New Roman" w:cs="Times New Roman" w:hint="eastAsia"/>
          <w:sz w:val="28"/>
          <w:szCs w:val="28"/>
        </w:rPr>
        <w:t>HCl</w:t>
      </w:r>
      <w:r>
        <w:rPr>
          <w:rFonts w:ascii="Times New Roman" w:eastAsia="黑体" w:hAnsi="Times New Roman" w:cs="Times New Roman" w:hint="eastAsia"/>
          <w:sz w:val="28"/>
          <w:szCs w:val="28"/>
        </w:rPr>
        <w:t>和</w:t>
      </w:r>
      <w:r>
        <w:rPr>
          <w:rFonts w:ascii="Times New Roman" w:eastAsia="黑体" w:hAnsi="Times New Roman" w:cs="Times New Roman" w:hint="eastAsia"/>
          <w:sz w:val="28"/>
          <w:szCs w:val="28"/>
        </w:rPr>
        <w:t>HI</w:t>
      </w:r>
      <w:r>
        <w:rPr>
          <w:rFonts w:ascii="Times New Roman" w:eastAsia="黑体" w:hAnsi="Times New Roman" w:cs="Times New Roman" w:hint="eastAsia"/>
          <w:sz w:val="28"/>
          <w:szCs w:val="28"/>
        </w:rPr>
        <w:t>加成时不能产生过氧化物效应。</w:t>
      </w:r>
      <w:r>
        <w:rPr>
          <w:rFonts w:ascii="黑体" w:eastAsia="黑体" w:hAnsi="黑体" w:cs="黑体" w:hint="eastAsia"/>
          <w:sz w:val="28"/>
          <w:szCs w:val="28"/>
        </w:rPr>
        <w:t>（√）</w:t>
      </w:r>
    </w:p>
    <w:p w14:paraId="391F93D9" w14:textId="77777777" w:rsidR="0063107A" w:rsidRDefault="00CE4D4C">
      <w:pPr>
        <w:numPr>
          <w:ilvl w:val="0"/>
          <w:numId w:val="1"/>
        </w:num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不对称烯烃与溴化氢的加成反应一定遵守马氏规则。</w:t>
      </w:r>
      <w:r>
        <w:rPr>
          <w:rFonts w:ascii="黑体" w:eastAsia="黑体" w:hAnsi="黑体" w:cs="黑体" w:hint="eastAsia"/>
          <w:sz w:val="28"/>
          <w:szCs w:val="28"/>
        </w:rPr>
        <w:t>（×）</w:t>
      </w:r>
    </w:p>
    <w:p w14:paraId="0B77BB56" w14:textId="77777777" w:rsidR="0063107A" w:rsidRDefault="00CE4D4C">
      <w:pPr>
        <w:numPr>
          <w:ilvl w:val="0"/>
          <w:numId w:val="1"/>
        </w:numPr>
        <w:rPr>
          <w:rFonts w:ascii="黑体" w:eastAsia="黑体" w:hAnsi="黑体" w:cs="黑体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可利用硝酸银的氨溶液来鉴别乙炔和</w:t>
      </w:r>
      <w:r>
        <w:rPr>
          <w:rFonts w:ascii="Times New Roman" w:eastAsia="黑体" w:hAnsi="Times New Roman" w:cs="Times New Roman" w:hint="eastAsia"/>
          <w:position w:val="-6"/>
          <w:sz w:val="28"/>
          <w:szCs w:val="28"/>
        </w:rPr>
        <w:object w:dxaOrig="1502" w:dyaOrig="344" w14:anchorId="7FE3EA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17pt" o:ole="">
            <v:imagedata r:id="rId6" o:title=""/>
          </v:shape>
          <o:OLEObject Type="Embed" ProgID="Equation.KSEE3" ShapeID="_x0000_i1025" DrawAspect="Content" ObjectID="_1668925809" r:id="rId7"/>
        </w:object>
      </w:r>
      <w:r>
        <w:rPr>
          <w:rFonts w:ascii="Times New Roman" w:eastAsia="黑体" w:hAnsi="Times New Roman" w:cs="Times New Roman" w:hint="eastAsia"/>
          <w:sz w:val="28"/>
          <w:szCs w:val="28"/>
        </w:rPr>
        <w:t>类型的炔烃。</w:t>
      </w:r>
      <w:r>
        <w:rPr>
          <w:rFonts w:ascii="黑体" w:eastAsia="黑体" w:hAnsi="黑体" w:cs="黑体" w:hint="eastAsia"/>
          <w:sz w:val="28"/>
          <w:szCs w:val="28"/>
        </w:rPr>
        <w:t>（√）</w:t>
      </w:r>
    </w:p>
    <w:p w14:paraId="0B5A7B02" w14:textId="77777777" w:rsidR="0063107A" w:rsidRDefault="00CE4D4C">
      <w:pPr>
        <w:numPr>
          <w:ilvl w:val="0"/>
          <w:numId w:val="1"/>
        </w:num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下列烯烃分别与</w:t>
      </w:r>
      <w:r>
        <w:rPr>
          <w:rFonts w:ascii="Times New Roman" w:eastAsia="黑体" w:hAnsi="Times New Roman" w:cs="Times New Roman"/>
          <w:sz w:val="28"/>
          <w:szCs w:val="28"/>
        </w:rPr>
        <w:t>KMnO</w:t>
      </w:r>
      <w:r>
        <w:rPr>
          <w:rFonts w:ascii="Times New Roman" w:eastAsia="黑体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="黑体" w:hAnsi="Times New Roman" w:cs="Times New Roman" w:hint="eastAsia"/>
          <w:sz w:val="28"/>
          <w:szCs w:val="28"/>
        </w:rPr>
        <w:t>酸性溶液反应，生成丙酮并有气体放出的是（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292DA803" w14:textId="77777777" w:rsidR="0063107A" w:rsidRDefault="00CE4D4C">
      <w:pPr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position w:val="-12"/>
          <w:sz w:val="28"/>
          <w:szCs w:val="28"/>
        </w:rPr>
        <w:object w:dxaOrig="1857" w:dyaOrig="413" w14:anchorId="65B3658E">
          <v:shape id="_x0000_i1026" type="#_x0000_t75" style="width:93pt;height:20.5pt" o:ole="">
            <v:imagedata r:id="rId8" o:title=""/>
          </v:shape>
          <o:OLEObject Type="Embed" ProgID="Equation.KSEE3" ShapeID="_x0000_i1026" DrawAspect="Content" ObjectID="_1668925810" r:id="rId9"/>
        </w:objec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position w:val="-12"/>
          <w:sz w:val="28"/>
          <w:szCs w:val="28"/>
        </w:rPr>
        <w:object w:dxaOrig="2116" w:dyaOrig="414" w14:anchorId="2E4BE383">
          <v:shape id="_x0000_i1027" type="#_x0000_t75" style="width:106pt;height:20.5pt" o:ole="">
            <v:imagedata r:id="rId10" o:title=""/>
          </v:shape>
          <o:OLEObject Type="Embed" ProgID="Equation.KSEE3" ShapeID="_x0000_i1027" DrawAspect="Content" ObjectID="_1668925811" r:id="rId11"/>
        </w:object>
      </w:r>
    </w:p>
    <w:p w14:paraId="57933BFA" w14:textId="77777777" w:rsidR="0063107A" w:rsidRDefault="00CE4D4C">
      <w:pPr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position w:val="-12"/>
          <w:sz w:val="28"/>
          <w:szCs w:val="28"/>
        </w:rPr>
        <w:object w:dxaOrig="2377" w:dyaOrig="400" w14:anchorId="3063D3C9">
          <v:shape id="_x0000_i1028" type="#_x0000_t75" style="width:119pt;height:20pt" o:ole="">
            <v:imagedata r:id="rId12" o:title=""/>
          </v:shape>
          <o:OLEObject Type="Embed" ProgID="Equation.KSEE3" ShapeID="_x0000_i1028" DrawAspect="Content" ObjectID="_1668925812" r:id="rId13"/>
        </w:objec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position w:val="-12"/>
          <w:sz w:val="28"/>
          <w:szCs w:val="28"/>
        </w:rPr>
        <w:object w:dxaOrig="2316" w:dyaOrig="430" w14:anchorId="00C08C88">
          <v:shape id="_x0000_i1029" type="#_x0000_t75" style="width:116pt;height:21.5pt" o:ole="">
            <v:imagedata r:id="rId14" o:title=""/>
          </v:shape>
          <o:OLEObject Type="Embed" ProgID="Equation.KSEE3" ShapeID="_x0000_i1029" DrawAspect="Content" ObjectID="_1668925813" r:id="rId15"/>
        </w:object>
      </w:r>
    </w:p>
    <w:p w14:paraId="4670CB33" w14:textId="77777777" w:rsidR="0063107A" w:rsidRDefault="00CE4D4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6.</w:t>
      </w:r>
      <w:r>
        <w:rPr>
          <w:rFonts w:ascii="Times New Roman" w:eastAsia="黑体" w:hAnsi="Times New Roman" w:cs="Times New Roman" w:hint="eastAsia"/>
          <w:sz w:val="28"/>
          <w:szCs w:val="28"/>
        </w:rPr>
        <w:t>下列不饱和烃中，在室温下能与硝酸银的氨溶液生成灰白色沉淀的是（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70303426" w14:textId="77777777" w:rsidR="0063107A" w:rsidRDefault="00CE4D4C">
      <w:pPr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position w:val="-10"/>
          <w:sz w:val="28"/>
          <w:szCs w:val="28"/>
        </w:rPr>
        <w:object w:dxaOrig="2707" w:dyaOrig="391" w14:anchorId="75DBEDF5">
          <v:shape id="_x0000_i1030" type="#_x0000_t75" style="width:135.5pt;height:19.5pt" o:ole="">
            <v:imagedata r:id="rId16" o:title=""/>
          </v:shape>
          <o:OLEObject Type="Embed" ProgID="Equation.KSEE3" ShapeID="_x0000_i1030" DrawAspect="Content" ObjectID="_1668925814" r:id="rId17"/>
        </w:objec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position w:val="-12"/>
          <w:sz w:val="28"/>
          <w:szCs w:val="28"/>
        </w:rPr>
        <w:object w:dxaOrig="1955" w:dyaOrig="414" w14:anchorId="1144C4D2">
          <v:shape id="_x0000_i1031" type="#_x0000_t75" style="width:98pt;height:20.5pt" o:ole="">
            <v:imagedata r:id="rId18" o:title=""/>
          </v:shape>
          <o:OLEObject Type="Embed" ProgID="Equation.KSEE3" ShapeID="_x0000_i1031" DrawAspect="Content" ObjectID="_1668925815" r:id="rId19"/>
        </w:object>
      </w:r>
    </w:p>
    <w:p w14:paraId="044D80BB" w14:textId="77777777" w:rsidR="0063107A" w:rsidRDefault="00CE4D4C">
      <w:pPr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position w:val="-12"/>
          <w:sz w:val="28"/>
          <w:szCs w:val="28"/>
        </w:rPr>
        <w:object w:dxaOrig="2071" w:dyaOrig="405" w14:anchorId="163F7233">
          <v:shape id="_x0000_i1032" type="#_x0000_t75" style="width:103.5pt;height:20.5pt" o:ole="">
            <v:imagedata r:id="rId20" o:title=""/>
          </v:shape>
          <o:OLEObject Type="Embed" ProgID="Equation.KSEE3" ShapeID="_x0000_i1032" DrawAspect="Content" ObjectID="_1668925816" r:id="rId21"/>
        </w:objec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 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position w:val="-12"/>
          <w:sz w:val="28"/>
          <w:szCs w:val="28"/>
        </w:rPr>
        <w:object w:dxaOrig="1794" w:dyaOrig="436" w14:anchorId="1B0CD410">
          <v:shape id="_x0000_i1033" type="#_x0000_t75" style="width:89.5pt;height:22pt" o:ole="">
            <v:imagedata r:id="rId22" o:title=""/>
          </v:shape>
          <o:OLEObject Type="Embed" ProgID="Equation.KSEE3" ShapeID="_x0000_i1033" DrawAspect="Content" ObjectID="_1668925817" r:id="rId23"/>
        </w:object>
      </w:r>
    </w:p>
    <w:p w14:paraId="2C504134" w14:textId="77777777" w:rsidR="0063107A" w:rsidRDefault="00CE4D4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7.</w:t>
      </w:r>
      <w:r>
        <w:rPr>
          <w:rFonts w:ascii="Times New Roman" w:eastAsia="黑体" w:hAnsi="Times New Roman" w:cs="Times New Roman" w:hint="eastAsia"/>
          <w:sz w:val="28"/>
          <w:szCs w:val="28"/>
        </w:rPr>
        <w:t>烯烃与</w:t>
      </w:r>
      <w:r>
        <w:rPr>
          <w:rFonts w:ascii="Times New Roman" w:eastAsia="黑体" w:hAnsi="Times New Roman" w:cs="Times New Roman" w:hint="eastAsia"/>
          <w:sz w:val="28"/>
          <w:szCs w:val="28"/>
        </w:rPr>
        <w:t>Cl</w:t>
      </w:r>
      <w:r w:rsidRPr="00CE4D4C"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在光照下进行反应，氯原子进攻的主要位置是（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1DE2355E" w14:textId="77777777" w:rsidR="0063107A" w:rsidRDefault="00CE4D4C">
      <w:pPr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）双键碳原子</w: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）与双键碳原子连接的α</w:t>
      </w:r>
      <w:r>
        <w:rPr>
          <w:rFonts w:ascii="Times New Roman" w:eastAsia="黑体" w:hAnsi="Times New Roman" w:cs="Times New Roman" w:hint="eastAsia"/>
          <w:sz w:val="28"/>
          <w:szCs w:val="28"/>
        </w:rPr>
        <w:t>-</w:t>
      </w:r>
      <w:r>
        <w:rPr>
          <w:rFonts w:ascii="Times New Roman" w:eastAsia="黑体" w:hAnsi="Times New Roman" w:cs="Times New Roman" w:hint="eastAsia"/>
          <w:sz w:val="28"/>
          <w:szCs w:val="28"/>
        </w:rPr>
        <w:t>碳原子</w:t>
      </w:r>
    </w:p>
    <w:p w14:paraId="0A2629F3" w14:textId="77777777" w:rsidR="0063107A" w:rsidRDefault="00CE4D4C">
      <w:pPr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）双键的β</w:t>
      </w:r>
      <w:r>
        <w:rPr>
          <w:rFonts w:ascii="Times New Roman" w:eastAsia="黑体" w:hAnsi="Times New Roman" w:cs="Times New Roman" w:hint="eastAsia"/>
          <w:sz w:val="28"/>
          <w:szCs w:val="28"/>
        </w:rPr>
        <w:t>-</w:t>
      </w:r>
      <w:r>
        <w:rPr>
          <w:rFonts w:ascii="Times New Roman" w:eastAsia="黑体" w:hAnsi="Times New Roman" w:cs="Times New Roman" w:hint="eastAsia"/>
          <w:sz w:val="28"/>
          <w:szCs w:val="28"/>
        </w:rPr>
        <w:t>碳原子</w: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proofErr w:type="gramStart"/>
      <w:r>
        <w:rPr>
          <w:rFonts w:ascii="Times New Roman" w:eastAsia="黑体" w:hAnsi="Times New Roman" w:cs="Times New Roman" w:hint="eastAsia"/>
          <w:sz w:val="28"/>
          <w:szCs w:val="28"/>
        </w:rPr>
        <w:t>叔碳原子</w:t>
      </w:r>
      <w:proofErr w:type="gramEnd"/>
    </w:p>
    <w:p w14:paraId="7523F7BC" w14:textId="77777777" w:rsidR="0063107A" w:rsidRDefault="0063107A">
      <w:pPr>
        <w:rPr>
          <w:rFonts w:ascii="Times New Roman" w:eastAsia="黑体" w:hAnsi="Times New Roman" w:cs="Times New Roman"/>
          <w:sz w:val="28"/>
          <w:szCs w:val="28"/>
        </w:rPr>
      </w:pPr>
    </w:p>
    <w:sectPr w:rsidR="00631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2A91E"/>
    <w:multiLevelType w:val="singleLevel"/>
    <w:tmpl w:val="1002A91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D719EB"/>
    <w:rsid w:val="0063107A"/>
    <w:rsid w:val="00CE4D4C"/>
    <w:rsid w:val="25694546"/>
    <w:rsid w:val="2873391A"/>
    <w:rsid w:val="4AD719EB"/>
    <w:rsid w:val="50CD623B"/>
    <w:rsid w:val="6C5F4960"/>
    <w:rsid w:val="76340E2B"/>
    <w:rsid w:val="7B0C0564"/>
    <w:rsid w:val="7C30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C4C50"/>
  <w15:docId w15:val="{E2085F61-B3A2-4601-B130-5C6EC016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Keep moving</dc:creator>
  <cp:lastModifiedBy> </cp:lastModifiedBy>
  <cp:revision>2</cp:revision>
  <dcterms:created xsi:type="dcterms:W3CDTF">2020-12-05T03:08:00Z</dcterms:created>
  <dcterms:modified xsi:type="dcterms:W3CDTF">2020-12-08T01:44:00Z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