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A16207"/>
          <w:sz w:val="30"/>
          <w:spacing w:val="40"/>
        </w:rPr>
        <w:t>ITC GUARD</w:t>
      </w:r>
    </w:p>
    <w:p>
      <w:pPr>
        <w:spacing w:before="280"/>
        <w:jc w:val="center"/>
      </w:pPr>
      <w:r>
        <w:rPr>
          <w:b/>
          <w:color w:val="0F172A"/>
          <w:sz w:val="64"/>
        </w:rPr>
        <w:t>How ITC Guard Works</w:t>
      </w:r>
    </w:p>
    <w:p>
      <w:pPr>
        <w:spacing w:before="120"/>
        <w:jc w:val="center"/>
      </w:pPr>
      <w:r>
        <w:rPr>
          <w:i/>
          <w:color w:val="5B6677"/>
          <w:sz w:val="28"/>
        </w:rPr>
        <w:t>What the product does, and how it does it</w:t>
      </w:r>
    </w:p>
    <w:p>
      <w:pPr>
        <w:spacing w:after="40"/>
        <w:jc w:val="center"/>
        <w:pBdr>
          <w:bottom w:val="single" w:sz="8" w:space="1" w:color="A16207"/>
        </w:pBdr>
      </w:pPr>
    </w:p>
    <w:p>
      <w:pPr>
        <w:spacing w:before="360"/>
        <w:jc w:val="center"/>
      </w:pPr>
      <w:r>
        <w:rPr>
          <w:color w:val="1F2937"/>
          <w:sz w:val="23"/>
        </w:rPr>
        <w:t>A plain-English walkthrough of the product, written so it can be understood without a background in either accounting or software.</w:t>
      </w:r>
    </w:p>
    <w:p>
      <w:r>
        <w:br w:type="page"/>
      </w:r>
    </w:p>
    <w:p>
      <w:pPr>
        <w:pStyle w:val="Heading1"/>
      </w:pPr>
      <w:r>
        <w:t>In This Document</w:t>
      </w:r>
    </w:p>
    <w:p>
      <w:pPr>
        <w:spacing w:after="60"/>
      </w:pPr>
      <w:r>
        <w:t>1. The problem, in one sentence</w:t>
      </w:r>
    </w:p>
    <w:p>
      <w:pPr>
        <w:spacing w:after="60"/>
      </w:pPr>
      <w:r>
        <w:t>2. What the product does, in one paragraph</w:t>
      </w:r>
    </w:p>
    <w:p>
      <w:pPr>
        <w:spacing w:after="60"/>
      </w:pPr>
      <w:r>
        <w:t>3. The journey through the product</w:t>
      </w:r>
    </w:p>
    <w:p>
      <w:pPr>
        <w:spacing w:after="60"/>
      </w:pPr>
      <w:r>
        <w:t>4. The matching engine -- lining up two lists that never quite agree</w:t>
      </w:r>
    </w:p>
    <w:p>
      <w:pPr>
        <w:spacing w:after="60"/>
      </w:pPr>
      <w:r>
        <w:t>5. The nine ways credit actually gets lost or delayed</w:t>
      </w:r>
    </w:p>
    <w:p>
      <w:pPr>
        <w:spacing w:after="60"/>
      </w:pPr>
      <w:r>
        <w:t>6. The pay/hold decision -- the actual answer the product gives</w:t>
      </w:r>
    </w:p>
    <w:p>
      <w:pPr>
        <w:spacing w:after="60"/>
      </w:pPr>
      <w:r>
        <w:t>7. Vendor scoring and memory -- knowing who your risky suppliers really are</w:t>
      </w:r>
    </w:p>
    <w:p>
      <w:pPr>
        <w:spacing w:after="60"/>
      </w:pPr>
      <w:r>
        <w:t>8. The five screens</w:t>
      </w:r>
    </w:p>
    <w:p>
      <w:pPr>
        <w:spacing w:after="60"/>
      </w:pPr>
      <w:r>
        <w:t>9. Where your data lives</w:t>
      </w:r>
    </w:p>
    <w:p>
      <w:pPr>
        <w:spacing w:after="60"/>
      </w:pPr>
      <w:r>
        <w:t>10. Connecting directly to Tally (optional)</w:t>
      </w:r>
    </w:p>
    <w:p>
      <w:pPr>
        <w:spacing w:after="60"/>
      </w:pPr>
      <w:r>
        <w:t>11. What is solid, and what is still unproven</w:t>
      </w:r>
    </w:p>
    <w:p>
      <w:pPr>
        <w:spacing w:after="60"/>
      </w:pPr>
      <w:r>
        <w:t>12. A short glossary</w:t>
      </w:r>
    </w:p>
    <w:p>
      <w:r>
        <w:br w:type="page"/>
      </w:r>
    </w:p>
    <w:p>
      <w:pPr>
        <w:pStyle w:val="Heading1"/>
      </w:pPr>
      <w:r>
        <w:t>1. The problem, in one sentence</w:t>
      </w:r>
    </w:p>
    <w:p>
      <w:r>
        <w:rPr>
          <w:b w:val="0"/>
          <w:i w:val="0"/>
        </w:rPr>
        <w:t>Every month, a company that buys from many suppliers has to decide, supplier by supplier, whether to pay them, hold their payment, or pay them only for the goods and hold back the tax -- because getting that decision wrong can permanently lose the company money it has already paid in tax, or cost it a deduction it was otherwise entitled to.</w:t>
      </w:r>
    </w:p>
    <w:p>
      <w:r>
        <w:rPr>
          <w:b w:val="0"/>
          <w:i w:val="0"/>
        </w:rPr>
        <w:t>Today, at companies that do not have this tool, that decision is either made on instinct in a WhatsApp group, or it is made properly -- by a Chartered Accountant, working through spreadsheets by hand, which is exactly why companies pay consultants real money to do this every single month.</w:t>
      </w:r>
    </w:p>
    <w:p>
      <w:pPr>
        <w:pStyle w:val="Heading1"/>
      </w:pPr>
      <w:r>
        <w:t>2. What the product does, in one paragraph</w:t>
      </w:r>
    </w:p>
    <w:p>
      <w:r>
        <w:rPr>
          <w:b w:val="0"/>
          <w:i w:val="0"/>
        </w:rPr>
        <w:t>You give it two things your company already has: your purchase records, and the government's own record of what your suppliers have reported about you (called GSTR-2B). The product lines every invoice up against the other, finds every place the two disagree, prices exactly how many rupees are at risk and why -- citing the specific law each time -- and then, for every supplier you currently owe money to, tells you whether to pay them, hold their payment, or pay the goods value and hold back only the tax. Every recommendation shows its full working, so it can be checked rather than simply trusted.</w:t>
      </w:r>
    </w:p>
    <w:p>
      <w:pPr>
        <w:pStyle w:val="Heading1"/>
      </w:pPr>
      <w:r>
        <w:t>3. The journey through the product</w:t>
      </w:r>
    </w:p>
    <w:p>
      <w:pPr>
        <w:pStyle w:val="ListNumber"/>
      </w:pPr>
      <w:r>
        <w:t>You provide two files -- or click “Try it on sample data” to see the whole product working first, before uploading anything real.</w:t>
      </w:r>
    </w:p>
    <w:p>
      <w:pPr>
        <w:pStyle w:val="ListNumber"/>
      </w:pPr>
      <w:r>
        <w:t>The matching engine reads both files and works out which invoice in your books corresponds to which document in the government's report -- and, just as importantly, which ones do not correspond to anything at all.</w:t>
      </w:r>
    </w:p>
    <w:p>
      <w:pPr>
        <w:pStyle w:val="ListNumber"/>
      </w:pPr>
      <w:r>
        <w:t>The rules engine looks at every mismatch and prices it in rupees, citing the exact provision of law responsible.</w:t>
      </w:r>
    </w:p>
    <w:p>
      <w:pPr>
        <w:pStyle w:val="ListNumber"/>
      </w:pPr>
      <w:r>
        <w:t>The decision engine looks at every supplier you currently owe money to and works out whether paying them or holding their payment costs less, all things considered.</w:t>
      </w:r>
    </w:p>
    <w:p>
      <w:pPr>
        <w:pStyle w:val="ListNumber"/>
      </w:pPr>
      <w:r>
        <w:t>Five screens present all of this -- a headline number, a ranked action list, a supplier-by-supplier pay/hold recommendation, ready-to-send follow-up messages, a vendor scorecard, and a full audit trail.</w:t>
      </w:r>
    </w:p>
    <w:p>
      <w:pPr>
        <w:pStyle w:val="Heading1"/>
      </w:pPr>
      <w:r>
        <w:t>4. The matching engine — lining up two lists that never quite agree</w:t>
      </w:r>
    </w:p>
    <w:p>
      <w:r>
        <w:rPr>
          <w:b w:val="0"/>
          <w:i w:val="0"/>
        </w:rPr>
        <w:t>In theory, every invoice in your purchase register should have a twin in the government's GSTR-2B report. In practice, the two almost never look identical: your accounting software might record an invoice number as “INV/2026-27/0091” while the supplier typed it into the government portal as “inv-2026-27-91”. A rupee of rounding difference might appear on the tax. A date might be off by a day because one side recorded the invoice date and the other recorded the date goods arrived.</w:t>
      </w:r>
    </w:p>
    <w:p>
      <w:r>
        <w:rPr>
          <w:b w:val="0"/>
          <w:i w:val="0"/>
        </w:rPr>
        <w:t>The matching engine's job is to see through all of that cosmetic noise and correctly identify the same invoice on both sides -- while never, under any circumstances, wrongly deciding that two genuinely different invoices are the same one. That second failure is far more dangerous than the first: a missed match just means a human has to look at it, but a false match can quietly hide a real, permanent loss of credit behind a report that looks clean. The engine is deliberately built to be suspicious -- when it is not confident an invoice number alone proves a match, it insists that the rupee amounts also agree closely before accepting the pair.</w:t>
      </w:r>
    </w:p>
    <w:p>
      <w:r>
        <w:rPr>
          <w:b w:val="0"/>
          <w:i w:val="0"/>
        </w:rPr>
        <w:t>Every invoice ends up in one of six categories:</w:t>
      </w:r>
    </w:p>
    <w:p>
      <w:pPr>
        <w:pStyle w:val="ListBullet"/>
      </w:pPr>
      <w:r>
        <w:rPr>
          <w:b/>
        </w:rPr>
        <w:t xml:space="preserve">Exact — </w:t>
      </w:r>
      <w:r>
        <w:t>Every field agrees. No question this is the same invoice.</w:t>
      </w:r>
    </w:p>
    <w:p>
      <w:pPr>
        <w:pStyle w:val="ListBullet"/>
      </w:pPr>
      <w:r>
        <w:rPr>
          <w:b/>
        </w:rPr>
        <w:t xml:space="preserve">Within tolerance — </w:t>
      </w:r>
      <w:r>
        <w:t>Same invoice; a rounding difference of a rupee or two, or a date a few days apart -- normal and harmless.</w:t>
      </w:r>
    </w:p>
    <w:p>
      <w:pPr>
        <w:pStyle w:val="ListBullet"/>
      </w:pPr>
      <w:r>
        <w:rPr>
          <w:b/>
        </w:rPr>
        <w:t xml:space="preserve">Value mismatch — </w:t>
      </w:r>
      <w:r>
        <w:t>Same invoice, but the amount claimed genuinely disagrees with the amount the portal shows.</w:t>
      </w:r>
    </w:p>
    <w:p>
      <w:pPr>
        <w:pStyle w:val="ListBullet"/>
      </w:pPr>
      <w:r>
        <w:rPr>
          <w:b/>
        </w:rPr>
        <w:t xml:space="preserve">Probable -- needs review — </w:t>
      </w:r>
      <w:r>
        <w:t>Likely the same invoice, but not certain enough to accept automatically. Shown to a human rather than guessed.</w:t>
      </w:r>
    </w:p>
    <w:p>
      <w:pPr>
        <w:pStyle w:val="ListBullet"/>
      </w:pPr>
      <w:r>
        <w:rPr>
          <w:b/>
        </w:rPr>
        <w:t xml:space="preserve">In books, not in 2B — </w:t>
      </w:r>
      <w:r>
        <w:t>You claimed it; the government has no record of it. This is the single biggest source of real risk.</w:t>
      </w:r>
    </w:p>
    <w:p>
      <w:pPr>
        <w:pStyle w:val="ListBullet"/>
      </w:pPr>
      <w:r>
        <w:rPr>
          <w:b/>
        </w:rPr>
        <w:t xml:space="preserve">In 2B, not in books — </w:t>
      </w:r>
      <w:r>
        <w:t>The government has it; you never claimed it. Money left on the table, not money at risk.</w:t>
      </w:r>
    </w:p>
    <w:p>
      <w:pPr>
        <w:pStyle w:val="Heading1"/>
      </w:pPr>
      <w:r>
        <w:t>5. The nine ways credit actually gets lost or delayed</w:t>
      </w:r>
    </w:p>
    <w:p>
      <w:r>
        <w:rPr>
          <w:b w:val="0"/>
          <w:i w:val="0"/>
        </w:rPr>
        <w:t>This is the part that actually requires legal knowledge, and it is the part the product carries so nobody using it has to. Every mismatch the matching engine finds is checked against nine specific rules, drawn from two different laws -- the GST law and the income-tax law -- because a decision that only looks at one of the two is only telling half the story.</w:t>
      </w:r>
    </w:p>
    <w:tbl>
      <w:tblPr>
        <w:tblStyle w:val="TableGrid"/>
        <w:tblW w:type="auto" w:w="0"/>
        <w:jc w:val="center"/>
        <w:tblLayout w:type="autofit"/>
        <w:tblLook w:firstColumn="1" w:firstRow="1" w:lastColumn="0" w:lastRow="0" w:noHBand="0" w:noVBand="1" w:val="04A0"/>
      </w:tblPr>
      <w:tblGrid>
        <w:gridCol w:w="3211"/>
        <w:gridCol w:w="3211"/>
        <w:gridCol w:w="3211"/>
      </w:tblGrid>
      <w:tr>
        <w:tc>
          <w:tcPr>
            <w:tcW w:type="dxa" w:w="2880"/>
            <w:shd w:val="clear" w:color="auto" w:fill="0F172A"/>
          </w:tcPr>
          <w:p>
            <w:r/>
            <w:r>
              <w:rPr>
                <w:b/>
                <w:color w:val="FFFFFF"/>
                <w:sz w:val="20"/>
              </w:rPr>
              <w:t>What it means</w:t>
            </w:r>
          </w:p>
        </w:tc>
        <w:tc>
          <w:tcPr>
            <w:tcW w:type="dxa" w:w="3744"/>
            <w:shd w:val="clear" w:color="auto" w:fill="0F172A"/>
          </w:tcPr>
          <w:p>
            <w:r/>
            <w:r>
              <w:rPr>
                <w:b/>
                <w:color w:val="FFFFFF"/>
                <w:sz w:val="20"/>
              </w:rPr>
              <w:t>Legal basis</w:t>
            </w:r>
          </w:p>
        </w:tc>
        <w:tc>
          <w:tcPr>
            <w:tcW w:type="dxa" w:w="1584"/>
            <w:shd w:val="clear" w:color="auto" w:fill="0F172A"/>
          </w:tcPr>
          <w:p>
            <w:r/>
            <w:r>
              <w:rPr>
                <w:b/>
                <w:color w:val="FFFFFF"/>
                <w:sz w:val="20"/>
              </w:rPr>
              <w:t>Severity</w:t>
            </w:r>
          </w:p>
        </w:tc>
      </w:tr>
      <w:tr>
        <w:tc>
          <w:tcPr>
            <w:tcW w:type="dxa" w:w="2880"/>
          </w:tcPr>
          <w:p>
            <w:r/>
            <w:r>
              <w:rPr>
                <w:b w:val="0"/>
                <w:color w:val="1F2937"/>
                <w:sz w:val="20"/>
              </w:rPr>
              <w:t>Not in GSTR-2B</w:t>
            </w:r>
          </w:p>
        </w:tc>
        <w:tc>
          <w:tcPr>
            <w:tcW w:type="dxa" w:w="3744"/>
          </w:tcPr>
          <w:p>
            <w:r/>
            <w:r>
              <w:rPr>
                <w:b w:val="0"/>
                <w:color w:val="1F2937"/>
                <w:sz w:val="20"/>
              </w:rPr>
              <w:t>Sec 16(2)(aa), CGST Act, 2017</w:t>
            </w:r>
          </w:p>
        </w:tc>
        <w:tc>
          <w:tcPr>
            <w:tcW w:type="dxa" w:w="1584"/>
          </w:tcPr>
          <w:p>
            <w:r/>
            <w:r>
              <w:rPr>
                <w:b w:val="0"/>
                <w:color w:val="1F2937"/>
                <w:sz w:val="20"/>
              </w:rPr>
              <w:t>Critical</w:t>
            </w:r>
          </w:p>
        </w:tc>
      </w:tr>
      <w:tr>
        <w:tc>
          <w:tcPr>
            <w:tcW w:type="dxa" w:w="2880"/>
          </w:tcPr>
          <w:p>
            <w:r/>
            <w:r>
              <w:rPr>
                <w:b w:val="0"/>
                <w:color w:val="1F2937"/>
                <w:sz w:val="20"/>
              </w:rPr>
              <w:t>Portal marked ineligible</w:t>
            </w:r>
          </w:p>
        </w:tc>
        <w:tc>
          <w:tcPr>
            <w:tcW w:type="dxa" w:w="3744"/>
          </w:tcPr>
          <w:p>
            <w:r/>
            <w:r>
              <w:rPr>
                <w:b w:val="0"/>
                <w:color w:val="1F2937"/>
                <w:sz w:val="20"/>
              </w:rPr>
              <w:t>Sec 17(5), CGST Act, 2017</w:t>
            </w:r>
          </w:p>
        </w:tc>
        <w:tc>
          <w:tcPr>
            <w:tcW w:type="dxa" w:w="1584"/>
          </w:tcPr>
          <w:p>
            <w:r/>
            <w:r>
              <w:rPr>
                <w:b w:val="0"/>
                <w:color w:val="1F2937"/>
                <w:sz w:val="20"/>
              </w:rPr>
              <w:t>Critical</w:t>
            </w:r>
          </w:p>
        </w:tc>
      </w:tr>
      <w:tr>
        <w:tc>
          <w:tcPr>
            <w:tcW w:type="dxa" w:w="2880"/>
          </w:tcPr>
          <w:p>
            <w:r/>
            <w:r>
              <w:rPr>
                <w:b w:val="0"/>
                <w:color w:val="1F2937"/>
                <w:sz w:val="20"/>
              </w:rPr>
              <w:t>180-day non-payment</w:t>
            </w:r>
          </w:p>
        </w:tc>
        <w:tc>
          <w:tcPr>
            <w:tcW w:type="dxa" w:w="3744"/>
          </w:tcPr>
          <w:p>
            <w:r/>
            <w:r>
              <w:rPr>
                <w:b w:val="0"/>
                <w:color w:val="1F2937"/>
                <w:sz w:val="20"/>
              </w:rPr>
              <w:t>Rule 37, CGST Rules</w:t>
            </w:r>
          </w:p>
        </w:tc>
        <w:tc>
          <w:tcPr>
            <w:tcW w:type="dxa" w:w="1584"/>
          </w:tcPr>
          <w:p>
            <w:r/>
            <w:r>
              <w:rPr>
                <w:b w:val="0"/>
                <w:color w:val="1F2937"/>
                <w:sz w:val="20"/>
              </w:rPr>
              <w:t>High</w:t>
            </w:r>
          </w:p>
        </w:tc>
      </w:tr>
      <w:tr>
        <w:tc>
          <w:tcPr>
            <w:tcW w:type="dxa" w:w="2880"/>
          </w:tcPr>
          <w:p>
            <w:r/>
            <w:r>
              <w:rPr>
                <w:b w:val="0"/>
                <w:color w:val="1F2937"/>
                <w:sz w:val="20"/>
              </w:rPr>
              <w:t>Supplier GSTR-3B unfiled</w:t>
            </w:r>
          </w:p>
        </w:tc>
        <w:tc>
          <w:tcPr>
            <w:tcW w:type="dxa" w:w="3744"/>
          </w:tcPr>
          <w:p>
            <w:r/>
            <w:r>
              <w:rPr>
                <w:b w:val="0"/>
                <w:color w:val="1F2937"/>
                <w:sz w:val="20"/>
              </w:rPr>
              <w:t>Rule 37A, CGST Rules, 2017</w:t>
            </w:r>
          </w:p>
        </w:tc>
        <w:tc>
          <w:tcPr>
            <w:tcW w:type="dxa" w:w="1584"/>
          </w:tcPr>
          <w:p>
            <w:r/>
            <w:r>
              <w:rPr>
                <w:b w:val="0"/>
                <w:color w:val="1F2937"/>
                <w:sz w:val="20"/>
              </w:rPr>
              <w:t>High</w:t>
            </w:r>
          </w:p>
        </w:tc>
      </w:tr>
      <w:tr>
        <w:tc>
          <w:tcPr>
            <w:tcW w:type="dxa" w:w="2880"/>
          </w:tcPr>
          <w:p>
            <w:r/>
            <w:r>
              <w:rPr>
                <w:b w:val="0"/>
                <w:color w:val="1F2937"/>
                <w:sz w:val="20"/>
              </w:rPr>
              <w:t>Claim window closing</w:t>
            </w:r>
          </w:p>
        </w:tc>
        <w:tc>
          <w:tcPr>
            <w:tcW w:type="dxa" w:w="3744"/>
          </w:tcPr>
          <w:p>
            <w:r/>
            <w:r>
              <w:rPr>
                <w:b w:val="0"/>
                <w:color w:val="1F2937"/>
                <w:sz w:val="20"/>
              </w:rPr>
              <w:t>Sec 16(4), CGST Act, 2017</w:t>
            </w:r>
          </w:p>
        </w:tc>
        <w:tc>
          <w:tcPr>
            <w:tcW w:type="dxa" w:w="1584"/>
          </w:tcPr>
          <w:p>
            <w:r/>
            <w:r>
              <w:rPr>
                <w:b w:val="0"/>
                <w:color w:val="1F2937"/>
                <w:sz w:val="20"/>
              </w:rPr>
              <w:t>Critical</w:t>
            </w:r>
          </w:p>
        </w:tc>
      </w:tr>
      <w:tr>
        <w:tc>
          <w:tcPr>
            <w:tcW w:type="dxa" w:w="2880"/>
          </w:tcPr>
          <w:p>
            <w:r/>
            <w:r>
              <w:rPr>
                <w:b w:val="0"/>
                <w:color w:val="1F2937"/>
                <w:sz w:val="20"/>
              </w:rPr>
              <w:t>Value mismatch</w:t>
            </w:r>
          </w:p>
        </w:tc>
        <w:tc>
          <w:tcPr>
            <w:tcW w:type="dxa" w:w="3744"/>
          </w:tcPr>
          <w:p>
            <w:r/>
            <w:r>
              <w:rPr>
                <w:b w:val="0"/>
                <w:color w:val="1F2937"/>
                <w:sz w:val="20"/>
              </w:rPr>
              <w:t>Sec 16(2)(aa) r/w Rule 36, CGST Rules</w:t>
            </w:r>
          </w:p>
        </w:tc>
        <w:tc>
          <w:tcPr>
            <w:tcW w:type="dxa" w:w="1584"/>
          </w:tcPr>
          <w:p>
            <w:r/>
            <w:r>
              <w:rPr>
                <w:b w:val="0"/>
                <w:color w:val="1F2937"/>
                <w:sz w:val="20"/>
              </w:rPr>
              <w:t>Medium</w:t>
            </w:r>
          </w:p>
        </w:tc>
      </w:tr>
      <w:tr>
        <w:tc>
          <w:tcPr>
            <w:tcW w:type="dxa" w:w="2880"/>
          </w:tcPr>
          <w:p>
            <w:r/>
            <w:r>
              <w:rPr>
                <w:b w:val="0"/>
                <w:color w:val="1F2937"/>
                <w:sz w:val="20"/>
              </w:rPr>
              <w:t>Unclaimed credit in 2B</w:t>
            </w:r>
          </w:p>
        </w:tc>
        <w:tc>
          <w:tcPr>
            <w:tcW w:type="dxa" w:w="3744"/>
          </w:tcPr>
          <w:p>
            <w:r/>
            <w:r>
              <w:rPr>
                <w:b w:val="0"/>
                <w:color w:val="1F2937"/>
                <w:sz w:val="20"/>
              </w:rPr>
              <w:t>Sec 16(4), CGST Act, 2017</w:t>
            </w:r>
          </w:p>
        </w:tc>
        <w:tc>
          <w:tcPr>
            <w:tcW w:type="dxa" w:w="1584"/>
          </w:tcPr>
          <w:p>
            <w:r/>
            <w:r>
              <w:rPr>
                <w:b w:val="0"/>
                <w:color w:val="1F2937"/>
                <w:sz w:val="20"/>
              </w:rPr>
              <w:t>Low (opportunity)</w:t>
            </w:r>
          </w:p>
        </w:tc>
      </w:tr>
      <w:tr>
        <w:tc>
          <w:tcPr>
            <w:tcW w:type="dxa" w:w="2880"/>
          </w:tcPr>
          <w:p>
            <w:r/>
            <w:r>
              <w:rPr>
                <w:b w:val="0"/>
                <w:color w:val="1F2937"/>
                <w:sz w:val="20"/>
              </w:rPr>
              <w:t>MSME payment overdue</w:t>
            </w:r>
          </w:p>
        </w:tc>
        <w:tc>
          <w:tcPr>
            <w:tcW w:type="dxa" w:w="3744"/>
          </w:tcPr>
          <w:p>
            <w:r/>
            <w:r>
              <w:rPr>
                <w:b w:val="0"/>
                <w:color w:val="1F2937"/>
                <w:sz w:val="20"/>
              </w:rPr>
              <w:t>Sec 43B(h), Income-tax Act, 1961</w:t>
            </w:r>
          </w:p>
        </w:tc>
        <w:tc>
          <w:tcPr>
            <w:tcW w:type="dxa" w:w="1584"/>
          </w:tcPr>
          <w:p>
            <w:r/>
            <w:r>
              <w:rPr>
                <w:b w:val="0"/>
                <w:color w:val="1F2937"/>
                <w:sz w:val="20"/>
              </w:rPr>
              <w:t>High</w:t>
            </w:r>
          </w:p>
        </w:tc>
      </w:tr>
      <w:tr>
        <w:tc>
          <w:tcPr>
            <w:tcW w:type="dxa" w:w="2880"/>
          </w:tcPr>
          <w:p>
            <w:r/>
            <w:r>
              <w:rPr>
                <w:b w:val="0"/>
                <w:color w:val="1F2937"/>
                <w:sz w:val="20"/>
              </w:rPr>
              <w:t>Invalid / cancelled GSTIN</w:t>
            </w:r>
          </w:p>
        </w:tc>
        <w:tc>
          <w:tcPr>
            <w:tcW w:type="dxa" w:w="3744"/>
          </w:tcPr>
          <w:p>
            <w:r/>
            <w:r>
              <w:rPr>
                <w:b w:val="0"/>
                <w:color w:val="1F2937"/>
                <w:sz w:val="20"/>
              </w:rPr>
              <w:t>Sec 16(2)(a) r/w Rule 36(1), CGST Rules</w:t>
            </w:r>
          </w:p>
        </w:tc>
        <w:tc>
          <w:tcPr>
            <w:tcW w:type="dxa" w:w="1584"/>
          </w:tcPr>
          <w:p>
            <w:r/>
            <w:r>
              <w:rPr>
                <w:b w:val="0"/>
                <w:color w:val="1F2937"/>
                <w:sz w:val="20"/>
              </w:rPr>
              <w:t>Critical</w:t>
            </w:r>
          </w:p>
        </w:tc>
      </w:tr>
    </w:tbl>
    <w:p>
      <w:pPr>
        <w:spacing w:after="80"/>
      </w:pPr>
    </w:p>
    <w:p>
      <w:r>
        <w:rPr>
          <w:b w:val="0"/>
          <w:i w:val="0"/>
        </w:rPr>
        <w:t>In plain language, each one of these means:</w:t>
      </w:r>
    </w:p>
    <w:p>
      <w:pPr>
        <w:pStyle w:val="ListBullet"/>
      </w:pPr>
      <w:r>
        <w:rPr>
          <w:b/>
        </w:rPr>
        <w:t xml:space="preserve">Not in GSTR-2B. </w:t>
      </w:r>
      <w:r>
        <w:t>You claimed this credit, but the supplier never reported the invoice, so it does not appear in your GSTR-2B. The credit is not legally available until it does.</w:t>
      </w:r>
    </w:p>
    <w:p>
      <w:pPr>
        <w:pStyle w:val="ListBullet"/>
      </w:pPr>
      <w:r>
        <w:rPr>
          <w:b/>
        </w:rPr>
        <w:t xml:space="preserve">Portal marked ineligible. </w:t>
      </w:r>
      <w:r>
        <w:t>The GST portal itself has flagged this credit as not available to you. Claiming it anyway is the fastest route to a notice.</w:t>
      </w:r>
    </w:p>
    <w:p>
      <w:pPr>
        <w:pStyle w:val="ListBullet"/>
      </w:pPr>
      <w:r>
        <w:rPr>
          <w:b/>
        </w:rPr>
        <w:t xml:space="preserve">180-day non-payment. </w:t>
      </w:r>
      <w:r>
        <w:t>The supplier has not been paid within 180 days of the invoice date, so the credit already taken must be reversed, with interest.</w:t>
      </w:r>
    </w:p>
    <w:p>
      <w:pPr>
        <w:pStyle w:val="ListBullet"/>
      </w:pPr>
      <w:r>
        <w:rPr>
          <w:b/>
        </w:rPr>
        <w:t xml:space="preserve">Supplier GSTR-3B unfiled. </w:t>
      </w:r>
      <w:r>
        <w:t>The supplier declared this invoice in their GSTR-1 but never actually paid the tax over in their GSTR-3B. The law makes you reverse the credit -- not them.</w:t>
      </w:r>
    </w:p>
    <w:p>
      <w:pPr>
        <w:pStyle w:val="ListBullet"/>
      </w:pPr>
      <w:r>
        <w:rPr>
          <w:b/>
        </w:rPr>
        <w:t xml:space="preserve">Claim window closing. </w:t>
      </w:r>
      <w:r>
        <w:t>Credit on this invoice can only be claimed until 30 November following the end of its financial year. After that date, the money is gone permanently.</w:t>
      </w:r>
    </w:p>
    <w:p>
      <w:pPr>
        <w:pStyle w:val="ListBullet"/>
      </w:pPr>
      <w:r>
        <w:rPr>
          <w:b/>
        </w:rPr>
        <w:t xml:space="preserve">Value mismatch. </w:t>
      </w:r>
      <w:r>
        <w:t>Your books and the supplier's filing disagree on what the invoice was worth. Only the lower of the two amounts is safely claimable.</w:t>
      </w:r>
    </w:p>
    <w:p>
      <w:pPr>
        <w:pStyle w:val="ListBullet"/>
      </w:pPr>
      <w:r>
        <w:rPr>
          <w:b/>
        </w:rPr>
        <w:t xml:space="preserve">Unclaimed credit in 2B. </w:t>
      </w:r>
      <w:r>
        <w:t>The portal shows credit you are entitled to but have not booked. This is money you are owed -- claim it before the Sec 16(4) window closes.</w:t>
      </w:r>
    </w:p>
    <w:p>
      <w:pPr>
        <w:pStyle w:val="ListBullet"/>
      </w:pPr>
      <w:r>
        <w:rPr>
          <w:b/>
        </w:rPr>
        <w:t xml:space="preserve">MSME payment overdue. </w:t>
      </w:r>
      <w:r>
        <w:t>This micro or small supplier is unpaid beyond the MSMED limit, so the entire expense is disallowed as a deduction in this year's income-tax computation.</w:t>
      </w:r>
    </w:p>
    <w:p>
      <w:pPr>
        <w:pStyle w:val="ListBullet"/>
      </w:pPr>
      <w:r>
        <w:rPr>
          <w:b/>
        </w:rPr>
        <w:t xml:space="preserve">Invalid / cancelled GSTIN. </w:t>
      </w:r>
      <w:r>
        <w:t>The supplier's GSTIN fails validation or is no longer active, so the document does not qualify as a valid tax invoice for credit.</w:t>
      </w:r>
    </w:p>
    <w:tbl>
      <w:tblPr>
        <w:tblW w:type="auto" w:w="0"/>
        <w:jc w:val="center"/>
        <w:tblLook w:firstColumn="1" w:firstRow="1" w:lastColumn="0" w:lastRow="0" w:noHBand="0" w:noVBand="1" w:val="04A0"/>
      </w:tblPr>
      <w:tblGrid>
        <w:gridCol w:w="9632"/>
      </w:tblGrid>
      <w:tr>
        <w:tc>
          <w:tcPr>
            <w:tcW w:type="dxa" w:w="9632"/>
            <w:shd w:val="clear" w:color="auto" w:fill="F6F5F0"/>
            <w:tcBorders>
              <w:left w:val="single" w:sz="10" w:space="0" w:color="A16207"/>
            </w:tcBorders>
          </w:tcPr>
          <w:p>
            <w:pPr>
              <w:spacing w:before="80" w:after="80"/>
            </w:pPr>
            <w:r>
              <w:rPr>
                <w:b/>
                <w:color w:val="0F172A"/>
                <w:sz w:val="21"/>
              </w:rPr>
              <w:t xml:space="preserve">Why two laws?  </w:t>
            </w:r>
            <w:r>
              <w:rPr>
                <w:color w:val="1F2937"/>
                <w:sz w:val="21"/>
              </w:rPr>
              <w:t>The GST law wants you to pay your supplier promptly, or you lose the credit. The income-tax law wants you to pay a small supplier promptly, or you lose the deduction. Both are real financial costs, and they can point in opposite directions on the same invoice. This tension is exactly what Section 6 explains how the product resolves.</w:t>
            </w:r>
          </w:p>
        </w:tc>
      </w:tr>
    </w:tbl>
    <w:p>
      <w:pPr>
        <w:spacing w:after="40"/>
      </w:pPr>
    </w:p>
    <w:p>
      <w:pPr>
        <w:pStyle w:val="Heading1"/>
      </w:pPr>
      <w:r>
        <w:t>6. The pay/hold decision — the actual answer the product gives</w:t>
      </w:r>
    </w:p>
    <w:p>
      <w:r>
        <w:rPr>
          <w:b w:val="0"/>
          <w:i w:val="0"/>
        </w:rPr>
        <w:t>Most GST software stops at “here is your mismatch.” This product goes one step further and answers the question a finance team actually has: for a specific supplier, right now, should we release the payment or not?</w:t>
      </w:r>
    </w:p>
    <w:p>
      <w:r>
        <w:rPr>
          <w:b w:val="0"/>
          <w:i w:val="0"/>
        </w:rPr>
        <w:t>For every supplier with an unpaid invoice, the product estimates the odds that the credit on that invoice will ever actually arrive -- based on how reliably that supplier has filed in the past -- and then prices two numbers side by side: the cost of paying now (the credit you stand to lose if the supplier never files) and the cost of holding (interest on a reversed credit, or a lost tax deduction on a small supplier paid too late). Whichever costs less, in rupees, wins the recommendation, and the reasoning behind it is always shown in full -- never a black box a finance team is asked to simply trust.</w:t>
      </w:r>
    </w:p>
    <w:p>
      <w:r>
        <w:rPr>
          <w:b w:val="0"/>
          <w:i w:val="0"/>
        </w:rPr>
        <w:t>One design choice is worth calling out specifically: the product is deliberately reluctant to recommend withholding an entire payment. Withholding money from a supplier is a commercial act as much as a financial one -- it strains their cash flow and the relationship with them -- so a full hold is only recommended when a genuinely large share of that supplier's credit is in doubt. Below that threshold, the product prefers the smaller, more surgical option: release the goods value, and withhold only the tax that is actually at risk.</w:t>
      </w:r>
    </w:p>
    <w:p>
      <w:r>
        <w:rPr>
          <w:b w:val="0"/>
          <w:i w:val="0"/>
        </w:rPr>
        <w:t>Every recommendation lands in one of four categories:</w:t>
      </w:r>
    </w:p>
    <w:p>
      <w:pPr>
        <w:pStyle w:val="ListBullet"/>
      </w:pPr>
      <w:r>
        <w:rPr>
          <w:b/>
        </w:rPr>
        <w:t xml:space="preserve">Pay in full — </w:t>
      </w:r>
      <w:r>
        <w:t>This supplier is filing reliably and no clock is close to expiring. Release the payment normally.</w:t>
      </w:r>
    </w:p>
    <w:p>
      <w:pPr>
        <w:pStyle w:val="ListBullet"/>
      </w:pPr>
      <w:r>
        <w:rPr>
          <w:b/>
        </w:rPr>
        <w:t xml:space="preserve">Pay net of GST — </w:t>
      </w:r>
      <w:r>
        <w:t>Release the goods value now; hold back only the tax portion until the invoice actually shows up in GSTR-2B. Keeps the supplier relationship and their cash flow intact while protecting exactly the money that is actually at risk.</w:t>
      </w:r>
    </w:p>
    <w:p>
      <w:pPr>
        <w:pStyle w:val="ListBullet"/>
      </w:pPr>
      <w:r>
        <w:rPr>
          <w:b/>
        </w:rPr>
        <w:t xml:space="preserve">Hold payment — </w:t>
      </w:r>
      <w:r>
        <w:t>A large share of this supplier's credit is failing to arrive. Withhold the full balance until they can show evidence of filing.</w:t>
      </w:r>
    </w:p>
    <w:p>
      <w:pPr>
        <w:pStyle w:val="ListBullet"/>
      </w:pPr>
      <w:r>
        <w:rPr>
          <w:b/>
        </w:rPr>
        <w:t xml:space="preserve">Escalate -- needs a human decision — </w:t>
      </w:r>
      <w:r>
        <w:t>The cost of paying and the cost of holding are close enough that this is a judgement call, not an arithmetic one. Both figures are shown so a person can decide on the facts.</w:t>
      </w:r>
    </w:p>
    <w:p>
      <w:pPr>
        <w:pStyle w:val="Heading1"/>
      </w:pPr>
      <w:r>
        <w:t>7. Vendor scoring and memory — knowing who your risky suppliers really are</w:t>
      </w:r>
    </w:p>
    <w:p>
      <w:r>
        <w:rPr>
          <w:b w:val="0"/>
          <w:i w:val="0"/>
        </w:rPr>
        <w:t>Every supplier gets a risk score from 0 to 100, and a plain-language band: Safe, Watch, High risk, or Severe. The score is weighted toward what actually costs money -- invoices missing from the government's report, and suppliers who declare an invoice but never actually pay the tax over -- rather than cosmetic issues like a rupee of rounding difference.</w:t>
      </w:r>
    </w:p>
    <w:p>
      <w:r>
        <w:rPr>
          <w:b w:val="0"/>
          <w:i w:val="0"/>
        </w:rPr>
        <w:t>Just as importantly, the product now remembers a supplier from one month to the next. A small digest of each vendor's score is kept after every reconciliation, so the next time you upload a register, the product can tell the difference between a supplier having one unlucky month and a supplier repeating the same bad behaviour for the fourth month running -- two situations that look identical from a single month's data alone, but call for very different responses. This shows up three ways:</w:t>
      </w:r>
    </w:p>
    <w:p>
      <w:pPr>
        <w:pStyle w:val="ListBullet"/>
      </w:pPr>
      <w:r>
        <w:t>A trend indicator -- Improving, Steady, Worsening, or New -- next to every supplier's score.</w:t>
      </w:r>
    </w:p>
    <w:p>
      <w:pPr>
        <w:pStyle w:val="ListBullet"/>
      </w:pPr>
      <w:r>
        <w:t>A streak count -- “flagged 4 periods in a row” -- which is the difference between a bad month and a bad pattern.</w:t>
      </w:r>
    </w:p>
    <w:p>
      <w:pPr>
        <w:pStyle w:val="ListBullet"/>
      </w:pPr>
      <w:r>
        <w:t>A sharper pay/hold recommendation: once two or more months of history exist, a supplier's track record is blended into the odds used in Section 6, so a clean month from an otherwise unreliable supplier no longer gets an automatic pass.</w:t>
      </w:r>
    </w:p>
    <w:tbl>
      <w:tblPr>
        <w:tblW w:type="auto" w:w="0"/>
        <w:jc w:val="center"/>
        <w:tblLook w:firstColumn="1" w:firstRow="1" w:lastColumn="0" w:lastRow="0" w:noHBand="0" w:noVBand="1" w:val="04A0"/>
      </w:tblPr>
      <w:tblGrid>
        <w:gridCol w:w="9632"/>
      </w:tblGrid>
      <w:tr>
        <w:tc>
          <w:tcPr>
            <w:tcW w:type="dxa" w:w="9632"/>
            <w:shd w:val="clear" w:color="auto" w:fill="F6F5F0"/>
            <w:tcBorders>
              <w:left w:val="single" w:sz="10" w:space="0" w:color="A16207"/>
            </w:tcBorders>
          </w:tcPr>
          <w:p>
            <w:pPr>
              <w:spacing w:before="80" w:after="80"/>
            </w:pPr>
            <w:r>
              <w:rPr>
                <w:b/>
                <w:color w:val="0F172A"/>
                <w:sz w:val="21"/>
              </w:rPr>
              <w:t xml:space="preserve">A deliberate limit:  </w:t>
            </w:r>
            <w:r>
              <w:rPr>
                <w:color w:val="1F2937"/>
                <w:sz w:val="21"/>
              </w:rPr>
              <w:t>History never changes what a given month's own numbers say happened that month -- it only adds context on top. The first time a supplier is seen, the product honestly says “New” rather than inventing a trend from nothing, and sample or demonstration data is never allowed to mix into a real company's supplier history.</w:t>
            </w:r>
          </w:p>
        </w:tc>
      </w:tr>
    </w:tbl>
    <w:p>
      <w:pPr>
        <w:spacing w:after="40"/>
      </w:pPr>
    </w:p>
    <w:p>
      <w:pPr>
        <w:pStyle w:val="Heading1"/>
      </w:pPr>
      <w:r>
        <w:t>8. The five screens</w:t>
      </w:r>
    </w:p>
    <w:tbl>
      <w:tblPr>
        <w:tblStyle w:val="TableGrid"/>
        <w:tblW w:type="auto" w:w="0"/>
        <w:jc w:val="center"/>
        <w:tblLayout w:type="autofit"/>
        <w:tblLook w:firstColumn="1" w:firstRow="1" w:lastColumn="0" w:lastRow="0" w:noHBand="0" w:noVBand="1" w:val="04A0"/>
      </w:tblPr>
      <w:tblGrid>
        <w:gridCol w:w="4816"/>
        <w:gridCol w:w="4816"/>
      </w:tblGrid>
      <w:tr>
        <w:tc>
          <w:tcPr>
            <w:tcW w:type="dxa" w:w="2304"/>
            <w:shd w:val="clear" w:color="auto" w:fill="0F172A"/>
          </w:tcPr>
          <w:p>
            <w:r/>
            <w:r>
              <w:rPr>
                <w:b/>
                <w:color w:val="FFFFFF"/>
                <w:sz w:val="20"/>
              </w:rPr>
              <w:t>Screen</w:t>
            </w:r>
          </w:p>
        </w:tc>
        <w:tc>
          <w:tcPr>
            <w:tcW w:type="dxa" w:w="6192"/>
            <w:shd w:val="clear" w:color="auto" w:fill="0F172A"/>
          </w:tcPr>
          <w:p>
            <w:r/>
            <w:r>
              <w:rPr>
                <w:b/>
                <w:color w:val="FFFFFF"/>
                <w:sz w:val="20"/>
              </w:rPr>
              <w:t>What it is for</w:t>
            </w:r>
          </w:p>
        </w:tc>
      </w:tr>
      <w:tr>
        <w:tc>
          <w:tcPr>
            <w:tcW w:type="dxa" w:w="2304"/>
          </w:tcPr>
          <w:p>
            <w:r/>
            <w:r>
              <w:rPr>
                <w:b w:val="0"/>
                <w:color w:val="1F2937"/>
                <w:sz w:val="20"/>
              </w:rPr>
              <w:t>Cockpit</w:t>
            </w:r>
          </w:p>
        </w:tc>
        <w:tc>
          <w:tcPr>
            <w:tcW w:type="dxa" w:w="6192"/>
          </w:tcPr>
          <w:p>
            <w:r/>
            <w:r>
              <w:rPr>
                <w:b w:val="0"/>
                <w:color w:val="1F2937"/>
                <w:sz w:val="20"/>
              </w:rPr>
              <w:t>The one number that matters -- total credit at risk this month -- followed by a short, ranked list of the biggest problems and what to do about each one.</w:t>
            </w:r>
          </w:p>
        </w:tc>
      </w:tr>
      <w:tr>
        <w:tc>
          <w:tcPr>
            <w:tcW w:type="dxa" w:w="2304"/>
          </w:tcPr>
          <w:p>
            <w:r/>
            <w:r>
              <w:rPr>
                <w:b w:val="0"/>
                <w:color w:val="1F2937"/>
                <w:sz w:val="20"/>
              </w:rPr>
              <w:t>Pay or hold</w:t>
            </w:r>
          </w:p>
        </w:tc>
        <w:tc>
          <w:tcPr>
            <w:tcW w:type="dxa" w:w="6192"/>
          </w:tcPr>
          <w:p>
            <w:r/>
            <w:r>
              <w:rPr>
                <w:b w:val="0"/>
                <w:color w:val="1F2937"/>
                <w:sz w:val="20"/>
              </w:rPr>
              <w:t>Every supplier with money currently owed to them, with the cost of paying and the cost of holding shown side by side, and a recommendation.</w:t>
            </w:r>
          </w:p>
        </w:tc>
      </w:tr>
      <w:tr>
        <w:tc>
          <w:tcPr>
            <w:tcW w:type="dxa" w:w="2304"/>
          </w:tcPr>
          <w:p>
            <w:r/>
            <w:r>
              <w:rPr>
                <w:b w:val="0"/>
                <w:color w:val="1F2937"/>
                <w:sz w:val="20"/>
              </w:rPr>
              <w:t>Chase</w:t>
            </w:r>
          </w:p>
        </w:tc>
        <w:tc>
          <w:tcPr>
            <w:tcW w:type="dxa" w:w="6192"/>
          </w:tcPr>
          <w:p>
            <w:r/>
            <w:r>
              <w:rPr>
                <w:b w:val="0"/>
                <w:color w:val="1F2937"/>
                <w:sz w:val="20"/>
              </w:rPr>
              <w:t>A complete, ready-to-send email or WhatsApp message for every supplier who needs to fix something on their end, listing the exact invoices involved.</w:t>
            </w:r>
          </w:p>
        </w:tc>
      </w:tr>
      <w:tr>
        <w:tc>
          <w:tcPr>
            <w:tcW w:type="dxa" w:w="2304"/>
          </w:tcPr>
          <w:p>
            <w:r/>
            <w:r>
              <w:rPr>
                <w:b w:val="0"/>
                <w:color w:val="1F2937"/>
                <w:sz w:val="20"/>
              </w:rPr>
              <w:t>Suppliers</w:t>
            </w:r>
          </w:p>
        </w:tc>
        <w:tc>
          <w:tcPr>
            <w:tcW w:type="dxa" w:w="6192"/>
          </w:tcPr>
          <w:p>
            <w:r/>
            <w:r>
              <w:rPr>
                <w:b w:val="0"/>
                <w:color w:val="1F2937"/>
                <w:sz w:val="20"/>
              </w:rPr>
              <w:t>A scorecard for every vendor: risk score, risk band, and now a track record across months -- whether they are improving, steady, or getting worse.</w:t>
            </w:r>
          </w:p>
        </w:tc>
      </w:tr>
      <w:tr>
        <w:tc>
          <w:tcPr>
            <w:tcW w:type="dxa" w:w="2304"/>
          </w:tcPr>
          <w:p>
            <w:r/>
            <w:r>
              <w:rPr>
                <w:b w:val="0"/>
                <w:color w:val="1F2937"/>
                <w:sz w:val="20"/>
              </w:rPr>
              <w:t>Working papers</w:t>
            </w:r>
          </w:p>
        </w:tc>
        <w:tc>
          <w:tcPr>
            <w:tcW w:type="dxa" w:w="6192"/>
          </w:tcPr>
          <w:p>
            <w:r/>
            <w:r>
              <w:rPr>
                <w:b w:val="0"/>
                <w:color w:val="1F2937"/>
                <w:sz w:val="20"/>
              </w:rPr>
              <w:t>The full line-by-line detail behind every number, plus a one-click Excel export built for a Chartered Accountant to check.</w:t>
            </w:r>
          </w:p>
        </w:tc>
      </w:tr>
    </w:tbl>
    <w:p>
      <w:pPr>
        <w:spacing w:after="80"/>
      </w:pPr>
    </w:p>
    <w:p>
      <w:pPr>
        <w:pStyle w:val="Heading1"/>
      </w:pPr>
      <w:r>
        <w:t>9. Where your data lives</w:t>
      </w:r>
    </w:p>
    <w:p>
      <w:r>
        <w:rPr>
          <w:b w:val="0"/>
          <w:i w:val="0"/>
        </w:rPr>
        <w:t>Both files you provide are read and processed entirely inside your own web browser, on your own computer. Nothing is uploaded to a server -- there is no server in this picture at all. Whatever the product remembers between visits (this month's reconciliation, and the vendor history described in Section 7) is stored only in that browser's own local storage, and can be permanently deleted at any time with one click. This is a deliberate design choice, not an accident: a purchase ledger is sensitive information, and the strongest possible answer to “how do I know this is safe” is that the data genuinely never leaves the machine it started on.</w:t>
      </w:r>
    </w:p>
    <w:p>
      <w:pPr>
        <w:pStyle w:val="Heading1"/>
      </w:pPr>
      <w:r>
        <w:t>10. Connecting directly to Tally (optional)</w:t>
      </w:r>
    </w:p>
    <w:p>
      <w:r>
        <w:rPr>
          <w:b w:val="0"/>
          <w:i w:val="0"/>
        </w:rPr>
        <w:t>For a company running TallyPrime, the product also has a built-in connector that can pull the purchase register directly out of Tally over the local network, instead of someone manually exporting an Excel file every month. It only ever talks to an address on the same computer or the same local office network -- it is technically incapable of reaching the public internet -- which closes off an entire category of security concern by construction rather than by policy.</w:t>
      </w:r>
    </w:p>
    <w:p>
      <w:r>
        <w:rPr>
          <w:b w:val="0"/>
          <w:i/>
          <w:color w:val="5B6677"/>
        </w:rPr>
        <w:t>This connector is built and has been tested against a realistic simulation of Tally's export format, but it has not yet been tested against a real, live TallyPrime installation, and it is not yet connected to a screen in the product. Both are the next step before this feature is offered to an actual customer.</w:t>
      </w:r>
    </w:p>
    <w:p>
      <w:pPr>
        <w:pStyle w:val="Heading1"/>
      </w:pPr>
      <w:r>
        <w:t>11. What is solid, and what is still unproven</w:t>
      </w:r>
    </w:p>
    <w:p>
      <w:pPr>
        <w:pStyle w:val="Heading3"/>
      </w:pPr>
      <w:r>
        <w:t>Solid</w:t>
      </w:r>
    </w:p>
    <w:p>
      <w:pPr>
        <w:pStyle w:val="ListBullet"/>
      </w:pPr>
      <w:r>
        <w:t>Tested against a large, deliberately messy synthetic dataset -- over 600 purchase lines across 44 suppliers, with every real-world defect seeded on purpose: formatting differences, rounding, date drift, wrong rates, missing filings, invalid GSTINs, and more.</w:t>
      </w:r>
    </w:p>
    <w:p>
      <w:pPr>
        <w:pStyle w:val="ListBullet"/>
      </w:pPr>
      <w:r>
        <w:t>80 automated checks run every time anything in the product changes, including a hard rule that the matching engine must never, under any test condition, wrongly match two different invoices to each other.</w:t>
      </w:r>
    </w:p>
    <w:p>
      <w:pPr>
        <w:pStyle w:val="ListBullet"/>
      </w:pPr>
      <w:r>
        <w:t>Every rupee figure is tied back to a control total: the credit your books claim must always equal the credit matched plus the credit left unmatched, to the paisa, or the product refuses to display a headline number at all.</w:t>
      </w:r>
    </w:p>
    <w:p>
      <w:pPr>
        <w:pStyle w:val="Heading3"/>
      </w:pPr>
      <w:r>
        <w:t>Not yet proven</w:t>
      </w:r>
    </w:p>
    <w:p>
      <w:pPr>
        <w:pStyle w:val="ListBullet"/>
      </w:pPr>
      <w:r>
        <w:t>A real GSTR-2B file freshly downloaded from the GST portal has not yet been run through the product -- only a realistic reconstruction of its format.</w:t>
      </w:r>
    </w:p>
    <w:p>
      <w:pPr>
        <w:pStyle w:val="ListBullet"/>
      </w:pPr>
      <w:r>
        <w:t>A real, live TallyPrime installation has not yet been connected to.</w:t>
      </w:r>
    </w:p>
    <w:p>
      <w:pPr>
        <w:pStyle w:val="ListBullet"/>
      </w:pPr>
      <w:r>
        <w:t>The Chase screen's messages can be copied and sent, but the product does not yet remember which ones have actually been sent.</w:t>
      </w:r>
    </w:p>
    <w:tbl>
      <w:tblPr>
        <w:tblW w:type="auto" w:w="0"/>
        <w:jc w:val="center"/>
        <w:tblLook w:firstColumn="1" w:firstRow="1" w:lastColumn="0" w:lastRow="0" w:noHBand="0" w:noVBand="1" w:val="04A0"/>
      </w:tblPr>
      <w:tblGrid>
        <w:gridCol w:w="9632"/>
      </w:tblGrid>
      <w:tr>
        <w:tc>
          <w:tcPr>
            <w:tcW w:type="dxa" w:w="9632"/>
            <w:shd w:val="clear" w:color="auto" w:fill="F6F5F0"/>
            <w:tcBorders>
              <w:left w:val="single" w:sz="10" w:space="0" w:color="A16207"/>
            </w:tcBorders>
          </w:tcPr>
          <w:p>
            <w:pPr>
              <w:spacing w:before="80" w:after="80"/>
            </w:pPr>
            <w:r>
              <w:rPr>
                <w:b/>
                <w:color w:val="B4232A"/>
                <w:sz w:val="21"/>
              </w:rPr>
              <w:t xml:space="preserve">Bottom line:  </w:t>
            </w:r>
            <w:r>
              <w:rPr>
                <w:color w:val="1F2937"/>
                <w:sz w:val="21"/>
              </w:rPr>
              <w:t>The engine's logic is thoroughly and automatically tested. What remains is testing it against real, messy, live data from an actual company and an actual GST portal download -- the step that should happen before this is shown to a paying customer.</w:t>
            </w:r>
          </w:p>
        </w:tc>
      </w:tr>
    </w:tbl>
    <w:p>
      <w:pPr>
        <w:spacing w:after="40"/>
      </w:pPr>
    </w:p>
    <w:p>
      <w:pPr>
        <w:pStyle w:val="Heading1"/>
      </w:pPr>
      <w:r>
        <w:t>12. A short glossary</w:t>
      </w:r>
    </w:p>
    <w:p>
      <w:pPr>
        <w:spacing w:after="140"/>
      </w:pPr>
      <w:r>
        <w:rPr>
          <w:b/>
          <w:color w:val="0F172A"/>
        </w:rPr>
        <w:t xml:space="preserve">ITC — </w:t>
      </w:r>
      <w:r>
        <w:t>Input Tax Credit -- GST you already paid on a purchase, which you are entitled to deduct from the GST you owe on your own sales.</w:t>
      </w:r>
    </w:p>
    <w:p>
      <w:pPr>
        <w:spacing w:after="140"/>
      </w:pPr>
      <w:r>
        <w:rPr>
          <w:b/>
          <w:color w:val="0F172A"/>
        </w:rPr>
        <w:t xml:space="preserve">GSTR-2B — </w:t>
      </w:r>
      <w:r>
        <w:t>A statement the government generates automatically, showing every invoice your suppliers have reported against your GSTIN. This is the government's version of the truth, and it is what actually controls whether a credit is legally available to you.</w:t>
      </w:r>
    </w:p>
    <w:p>
      <w:pPr>
        <w:spacing w:after="140"/>
      </w:pPr>
      <w:r>
        <w:rPr>
          <w:b/>
          <w:color w:val="0F172A"/>
        </w:rPr>
        <w:t xml:space="preserve">GSTIN — </w:t>
      </w:r>
      <w:r>
        <w:t>A company's 15-character GST registration number. It encodes the state the company is registered in and includes a built-in check digit, which is how the product can tell a mistyped GSTIN from a valid one instantly.</w:t>
      </w:r>
    </w:p>
    <w:p>
      <w:pPr>
        <w:spacing w:after="140"/>
      </w:pPr>
      <w:r>
        <w:rPr>
          <w:b/>
          <w:color w:val="0F172A"/>
        </w:rPr>
        <w:t xml:space="preserve">Purchase register — </w:t>
      </w:r>
      <w:r>
        <w:t>Your own company's record of everything it has bought -- normally exported from accounting software such as Tally, Busy, or Zoho Books.</w:t>
      </w:r>
    </w:p>
    <w:p>
      <w:pPr>
        <w:spacing w:after="140"/>
      </w:pPr>
      <w:r>
        <w:rPr>
          <w:b/>
          <w:color w:val="0F172A"/>
        </w:rPr>
        <w:t xml:space="preserve">MSME — </w:t>
      </w:r>
      <w:r>
        <w:t>Micro, Small, and Medium Enterprise -- a supplier registered under the MSMED Act. Paying an MSME supplier late has a specific income-tax consequence that does not apply to a larger supplier.</w:t>
      </w:r>
    </w:p>
    <w:p>
      <w:pPr>
        <w:spacing w:after="140"/>
      </w:pPr>
      <w:r>
        <w:rPr>
          <w:b/>
          <w:color w:val="0F172A"/>
        </w:rPr>
        <w:t xml:space="preserve">Reconciliation — </w:t>
      </w:r>
      <w:r>
        <w:t>The general accounting term for comparing two records that should agree -- here, your purchase register against the government's GSTR-2B -- and accounting for every difference between them.</w:t>
      </w:r>
    </w:p>
    <w:p>
      <w:pPr>
        <w:spacing w:after="140"/>
      </w:pPr>
      <w:r>
        <w:rPr>
          <w:b/>
          <w:color w:val="0F172A"/>
        </w:rPr>
        <w:t xml:space="preserve">Reverse charge — </w:t>
      </w:r>
      <w:r>
        <w:t>A small category of purchases where the buyer, not the supplier, is responsible for paying the GST directly to the government.</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7"/>
        <w:sz w:val="17"/>
      </w:rPr>
      <w:t>ITC Guard — How It Works — internal reference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A1620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