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A16207"/>
          <w:sz w:val="30"/>
          <w:spacing w:val="40"/>
        </w:rPr>
        <w:t>ITC GUARD</w:t>
      </w:r>
    </w:p>
    <w:p>
      <w:pPr>
        <w:spacing w:before="280"/>
        <w:jc w:val="center"/>
      </w:pPr>
      <w:r>
        <w:rPr>
          <w:b/>
          <w:color w:val="0F172A"/>
          <w:sz w:val="64"/>
        </w:rPr>
        <w:t>How to Operate ITC Guard</w:t>
      </w:r>
    </w:p>
    <w:p>
      <w:pPr>
        <w:spacing w:before="120"/>
        <w:jc w:val="center"/>
      </w:pPr>
      <w:r>
        <w:rPr>
          <w:i/>
          <w:color w:val="5B6677"/>
          <w:sz w:val="28"/>
        </w:rPr>
        <w:t>A step-by-step guide to using the product</w:t>
      </w:r>
    </w:p>
    <w:p>
      <w:pPr>
        <w:spacing w:after="40"/>
        <w:jc w:val="center"/>
        <w:pBdr>
          <w:bottom w:val="single" w:sz="8" w:space="1" w:color="A16207"/>
        </w:pBdr>
      </w:pPr>
    </w:p>
    <w:p>
      <w:pPr>
        <w:spacing w:before="360"/>
        <w:jc w:val="center"/>
      </w:pPr>
      <w:r>
        <w:rPr>
          <w:color w:val="1F2937"/>
          <w:sz w:val="23"/>
        </w:rPr>
        <w:t>Everything you need to run the product and work through a real month's reconciliation, start to finish.</w:t>
      </w:r>
    </w:p>
    <w:p>
      <w:r>
        <w:br w:type="page"/>
      </w:r>
    </w:p>
    <w:p>
      <w:pPr>
        <w:pStyle w:val="Heading1"/>
      </w:pPr>
      <w:r>
        <w:t>In This Document</w:t>
      </w:r>
    </w:p>
    <w:p>
      <w:pPr>
        <w:spacing w:after="60"/>
      </w:pPr>
      <w:r>
        <w:t>1. Starting the product</w:t>
      </w:r>
    </w:p>
    <w:p>
      <w:pPr>
        <w:spacing w:after="60"/>
      </w:pPr>
      <w:r>
        <w:t>2. The first screen you will see</w:t>
      </w:r>
    </w:p>
    <w:p>
      <w:pPr>
        <w:spacing w:after="60"/>
      </w:pPr>
      <w:r>
        <w:t>3. Trying it with sample data</w:t>
      </w:r>
    </w:p>
    <w:p>
      <w:pPr>
        <w:spacing w:after="60"/>
      </w:pPr>
      <w:r>
        <w:t>4. Using it with your own company's data</w:t>
      </w:r>
    </w:p>
    <w:p>
      <w:pPr>
        <w:spacing w:after="60"/>
      </w:pPr>
      <w:r>
        <w:t>5. Reading the Cockpit</w:t>
      </w:r>
    </w:p>
    <w:p>
      <w:pPr>
        <w:spacing w:after="60"/>
      </w:pPr>
      <w:r>
        <w:t>6. Using Pay or Hold</w:t>
      </w:r>
    </w:p>
    <w:p>
      <w:pPr>
        <w:spacing w:after="60"/>
      </w:pPr>
      <w:r>
        <w:t>7. Using Chase</w:t>
      </w:r>
    </w:p>
    <w:p>
      <w:pPr>
        <w:spacing w:after="60"/>
      </w:pPr>
      <w:r>
        <w:t>8. Using Suppliers</w:t>
      </w:r>
    </w:p>
    <w:p>
      <w:pPr>
        <w:spacing w:after="60"/>
      </w:pPr>
      <w:r>
        <w:t>9. Exporting working papers</w:t>
      </w:r>
    </w:p>
    <w:p>
      <w:pPr>
        <w:spacing w:after="60"/>
      </w:pPr>
      <w:r>
        <w:t>10. Ending a session, and starting the next month</w:t>
      </w:r>
    </w:p>
    <w:p>
      <w:pPr>
        <w:spacing w:after="60"/>
      </w:pPr>
      <w:r>
        <w:t>11. If something goes wrong</w:t>
      </w:r>
    </w:p>
    <w:p>
      <w:r>
        <w:br w:type="page"/>
      </w:r>
    </w:p>
    <w:p>
      <w:pPr>
        <w:pStyle w:val="Heading1"/>
      </w:pPr>
      <w:r>
        <w:t>1. Starting the product</w:t>
      </w:r>
    </w:p>
    <w:p>
      <w:r>
        <w:rPr>
          <w:b w:val="0"/>
          <w:i w:val="0"/>
        </w:rPr>
        <w:t>The product is not yet hosted anywhere online -- for now, it runs on your own computer as a local development server. To start it:</w:t>
      </w:r>
    </w:p>
    <w:p>
      <w:pPr>
        <w:pStyle w:val="ListNumber"/>
      </w:pPr>
      <w:r>
        <w:t>Open a terminal (PowerShell) and go to the project folder: itcguard</w:t>
      </w:r>
    </w:p>
    <w:p>
      <w:pPr>
        <w:pStyle w:val="ListNumber"/>
      </w:pPr>
      <w:r>
        <w:t>Run: npm run dev</w:t>
      </w:r>
    </w:p>
    <w:p>
      <w:pPr>
        <w:pStyle w:val="ListNumber"/>
      </w:pPr>
      <w:r>
        <w:t>Open a web browser and go to: http://localhost:3000</w:t>
      </w:r>
    </w:p>
    <w:p>
      <w:r>
        <w:rPr>
          <w:b w:val="0"/>
          <w:i/>
          <w:color w:val="5B6677"/>
        </w:rPr>
        <w:t>A ready-made walkthrough is also available at http://localhost:3000/demo — useful for showing someone the product without asking them to upload anything real first.</w:t>
      </w:r>
    </w:p>
    <w:p>
      <w:pPr>
        <w:pStyle w:val="Heading1"/>
      </w:pPr>
      <w:r>
        <w:t>2. The first screen you will see</w:t>
      </w:r>
    </w:p>
    <w:p>
      <w:r>
        <w:rPr>
          <w:b w:val="0"/>
          <w:i w:val="0"/>
        </w:rPr>
        <w:t>The welcome screen offers two ways in: a button to try the product on a realistic sample dataset, or two upload boxes for your own purchase register and GSTR-2B file. Nothing is required to try the sample data -- no account, no sign-up, no configuration.</w:t>
      </w:r>
    </w:p>
    <w:p>
      <w:pPr>
        <w:pStyle w:val="Heading1"/>
      </w:pPr>
      <w:r>
        <w:t>3. Trying it with sample data</w:t>
      </w:r>
    </w:p>
    <w:p>
      <w:r>
        <w:rPr>
          <w:b w:val="0"/>
          <w:i w:val="0"/>
        </w:rPr>
        <w:t>Click “Try it on sample data.” In a few seconds, the product generates a realistic 616-line purchase register for a fictional manufacturer, complete with every kind of real-world problem deliberately built in, and takes you straight to the Cockpit screen with results already calculated. This is the fastest way to see the whole product working before trusting it with anything real, and it is also the safest way to show a colleague -- sample data can never affect any real company's vendor history.</w:t>
      </w:r>
    </w:p>
    <w:p>
      <w:pPr>
        <w:pStyle w:val="Heading1"/>
      </w:pPr>
      <w:r>
        <w:t>4. Using it with your own company's data</w:t>
      </w:r>
    </w:p>
    <w:p>
      <w:r>
        <w:rPr>
          <w:b w:val="0"/>
          <w:i w:val="0"/>
        </w:rPr>
        <w:t>You will need two files:</w:t>
      </w:r>
    </w:p>
    <w:p>
      <w:pPr>
        <w:pStyle w:val="ListBullet"/>
      </w:pPr>
      <w:r>
        <w:t>Your purchase register, as an Excel or CSV file. This is normally exported from your accounting software -- Tally, Busy, Zoho Books, or SAP all work; column headings are detected automatically, whatever your software happens to call them.</w:t>
      </w:r>
    </w:p>
    <w:p>
      <w:pPr>
        <w:pStyle w:val="ListBullet"/>
      </w:pPr>
      <w:r>
        <w:t>Your GSTR-2B, as the JSON file downloaded from the GST portal itself: Services → Returns → View/Download GSTR-2B → Download JSON.</w:t>
      </w:r>
    </w:p>
    <w:p>
      <w:r>
        <w:rPr>
          <w:b w:val="0"/>
          <w:i w:val="0"/>
        </w:rPr>
        <w:t>Then, on the welcome screen:</w:t>
      </w:r>
    </w:p>
    <w:p>
      <w:pPr>
        <w:pStyle w:val="ListNumber"/>
      </w:pPr>
      <w:r>
        <w:t>Choose the purchase register file in the first box.</w:t>
      </w:r>
    </w:p>
    <w:p>
      <w:pPr>
        <w:pStyle w:val="ListNumber"/>
      </w:pPr>
      <w:r>
        <w:t>Choose the GSTR-2B JSON file in the second box.</w:t>
      </w:r>
    </w:p>
    <w:p>
      <w:pPr>
        <w:pStyle w:val="ListNumber"/>
      </w:pPr>
      <w:r>
        <w:t>If the product cannot confidently read a column, or finds a structurally invalid GSTIN, it will list the problem clearly rather than guessing silently -- review these, but you can generally continue regardless.</w:t>
      </w:r>
    </w:p>
    <w:p>
      <w:pPr>
        <w:pStyle w:val="ListNumber"/>
      </w:pPr>
      <w:r>
        <w:t>Click “Reconcile.”</w:t>
      </w:r>
    </w:p>
    <w:p>
      <w:r>
        <w:rPr>
          <w:b/>
          <w:i w:val="0"/>
        </w:rPr>
        <w:t>Both files are read entirely inside your browser. Nothing is uploaded anywhere.</w:t>
      </w:r>
    </w:p>
    <w:p>
      <w:pPr>
        <w:pStyle w:val="Heading1"/>
      </w:pPr>
      <w:r>
        <w:t>5. Reading the Cockpit</w:t>
      </w:r>
    </w:p>
    <w:p>
      <w:r>
        <w:rPr>
          <w:b w:val="0"/>
          <w:i w:val="0"/>
        </w:rPr>
        <w:t>This is the screen you land on after every reconciliation. The large number at the top is the total input tax credit at risk this month -- the single figure to lead with in any conversation about this month's exposure.</w:t>
      </w:r>
    </w:p>
    <w:p>
      <w:pPr>
        <w:pStyle w:val="ListBullet"/>
      </w:pPr>
      <w:r>
        <w:t>Below it, a short, ranked list of action cards -- the biggest problems first, each one expandable to see exactly which suppliers and invoices are involved.</w:t>
      </w:r>
    </w:p>
    <w:p>
      <w:pPr>
        <w:pStyle w:val="ListBullet"/>
      </w:pPr>
      <w:r>
        <w:t>“Auto-resolved” shows the share of invoices the product matched with full confidence, with no need for a human to look at them.</w:t>
      </w:r>
    </w:p>
    <w:p>
      <w:pPr>
        <w:pStyle w:val="ListBullet"/>
      </w:pPr>
      <w:r>
        <w:t>“Control totals: Balanced” confirms every rupee of claimed credit has been accounted for, either matched or unmatched. If this ever says “Not balanced,” do not rely on any other number on the screen until that is resolved -- the product will say so plainly rather than hide it.</w:t>
      </w:r>
    </w:p>
    <w:p>
      <w:pPr>
        <w:pStyle w:val="Heading1"/>
      </w:pPr>
      <w:r>
        <w:t>6. Using Pay or Hold</w:t>
      </w:r>
    </w:p>
    <w:p>
      <w:r>
        <w:rPr>
          <w:b w:val="0"/>
          <w:i w:val="0"/>
        </w:rPr>
        <w:t>This screen lists every supplier you currently owe money to, ranked by exposure. Each card shows the cost of paying now and the cost of holding, side by side, plus a recommendation and the plain-English reasoning behind it.</w:t>
      </w:r>
    </w:p>
    <w:tbl>
      <w:tblPr>
        <w:tblStyle w:val="TableGrid"/>
        <w:tblW w:type="auto" w:w="0"/>
        <w:jc w:val="center"/>
        <w:tblLayout w:type="autofit"/>
        <w:tblLook w:firstColumn="1" w:firstRow="1" w:lastColumn="0" w:lastRow="0" w:noHBand="0" w:noVBand="1" w:val="04A0"/>
      </w:tblPr>
      <w:tblGrid>
        <w:gridCol w:w="4816"/>
        <w:gridCol w:w="4816"/>
      </w:tblGrid>
      <w:tr>
        <w:tc>
          <w:tcPr>
            <w:tcW w:type="dxa" w:w="2736"/>
            <w:shd w:val="clear" w:color="auto" w:fill="0F172A"/>
          </w:tcPr>
          <w:p>
            <w:r/>
            <w:r>
              <w:rPr>
                <w:b/>
                <w:color w:val="FFFFFF"/>
                <w:sz w:val="20"/>
              </w:rPr>
              <w:t>If you see…</w:t>
            </w:r>
          </w:p>
        </w:tc>
        <w:tc>
          <w:tcPr>
            <w:tcW w:type="dxa" w:w="5760"/>
            <w:shd w:val="clear" w:color="auto" w:fill="0F172A"/>
          </w:tcPr>
          <w:p>
            <w:r/>
            <w:r>
              <w:rPr>
                <w:b/>
                <w:color w:val="FFFFFF"/>
                <w:sz w:val="20"/>
              </w:rPr>
              <w:t>It means…</w:t>
            </w:r>
          </w:p>
        </w:tc>
      </w:tr>
      <w:tr>
        <w:tc>
          <w:tcPr>
            <w:tcW w:type="dxa" w:w="2736"/>
          </w:tcPr>
          <w:p>
            <w:r/>
            <w:r>
              <w:rPr>
                <w:b w:val="0"/>
                <w:color w:val="1F2937"/>
                <w:sz w:val="20"/>
              </w:rPr>
              <w:t>Pay in full</w:t>
            </w:r>
          </w:p>
        </w:tc>
        <w:tc>
          <w:tcPr>
            <w:tcW w:type="dxa" w:w="5760"/>
          </w:tcPr>
          <w:p>
            <w:r/>
            <w:r>
              <w:rPr>
                <w:b w:val="0"/>
                <w:color w:val="1F2937"/>
                <w:sz w:val="20"/>
              </w:rPr>
              <w:t>This supplier is filing reliably and no clock is close to expiring. Release the payment normally.</w:t>
            </w:r>
          </w:p>
        </w:tc>
      </w:tr>
      <w:tr>
        <w:tc>
          <w:tcPr>
            <w:tcW w:type="dxa" w:w="2736"/>
          </w:tcPr>
          <w:p>
            <w:r/>
            <w:r>
              <w:rPr>
                <w:b w:val="0"/>
                <w:color w:val="1F2937"/>
                <w:sz w:val="20"/>
              </w:rPr>
              <w:t>Pay net of GST</w:t>
            </w:r>
          </w:p>
        </w:tc>
        <w:tc>
          <w:tcPr>
            <w:tcW w:type="dxa" w:w="5760"/>
          </w:tcPr>
          <w:p>
            <w:r/>
            <w:r>
              <w:rPr>
                <w:b w:val="0"/>
                <w:color w:val="1F2937"/>
                <w:sz w:val="20"/>
              </w:rPr>
              <w:t>Release the goods value now; hold back only the tax portion until the invoice actually shows up in GSTR-2B. Keeps the supplier relationship and their cash flow intact while protecting exactly the money that is actually at risk.</w:t>
            </w:r>
          </w:p>
        </w:tc>
      </w:tr>
      <w:tr>
        <w:tc>
          <w:tcPr>
            <w:tcW w:type="dxa" w:w="2736"/>
          </w:tcPr>
          <w:p>
            <w:r/>
            <w:r>
              <w:rPr>
                <w:b w:val="0"/>
                <w:color w:val="1F2937"/>
                <w:sz w:val="20"/>
              </w:rPr>
              <w:t>Hold payment</w:t>
            </w:r>
          </w:p>
        </w:tc>
        <w:tc>
          <w:tcPr>
            <w:tcW w:type="dxa" w:w="5760"/>
          </w:tcPr>
          <w:p>
            <w:r/>
            <w:r>
              <w:rPr>
                <w:b w:val="0"/>
                <w:color w:val="1F2937"/>
                <w:sz w:val="20"/>
              </w:rPr>
              <w:t>A large share of this supplier's credit is failing to arrive. Withhold the full balance until they can show evidence of filing.</w:t>
            </w:r>
          </w:p>
        </w:tc>
      </w:tr>
      <w:tr>
        <w:tc>
          <w:tcPr>
            <w:tcW w:type="dxa" w:w="2736"/>
          </w:tcPr>
          <w:p>
            <w:r/>
            <w:r>
              <w:rPr>
                <w:b w:val="0"/>
                <w:color w:val="1F2937"/>
                <w:sz w:val="20"/>
              </w:rPr>
              <w:t>Escalate -- needs a human decision</w:t>
            </w:r>
          </w:p>
        </w:tc>
        <w:tc>
          <w:tcPr>
            <w:tcW w:type="dxa" w:w="5760"/>
          </w:tcPr>
          <w:p>
            <w:r/>
            <w:r>
              <w:rPr>
                <w:b w:val="0"/>
                <w:color w:val="1F2937"/>
                <w:sz w:val="20"/>
              </w:rPr>
              <w:t>The cost of paying and the cost of holding are close enough that this is a judgement call, not an arithmetic one. Both figures are shown so a person can decide on the facts.</w:t>
            </w:r>
          </w:p>
        </w:tc>
      </w:tr>
    </w:tbl>
    <w:p>
      <w:pPr>
        <w:spacing w:after="80"/>
      </w:pPr>
    </w:p>
    <w:tbl>
      <w:tblPr>
        <w:tblW w:type="auto" w:w="0"/>
        <w:jc w:val="center"/>
        <w:tblLook w:firstColumn="1" w:firstRow="1" w:lastColumn="0" w:lastRow="0" w:noHBand="0" w:noVBand="1" w:val="04A0"/>
      </w:tblPr>
      <w:tblGrid>
        <w:gridCol w:w="9632"/>
      </w:tblGrid>
      <w:tr>
        <w:tc>
          <w:tcPr>
            <w:tcW w:type="dxa" w:w="9632"/>
            <w:shd w:val="clear" w:color="auto" w:fill="F6F5F0"/>
            <w:tcBorders>
              <w:left w:val="single" w:sz="10" w:space="0" w:color="A16207"/>
            </w:tcBorders>
          </w:tcPr>
          <w:p>
            <w:pPr>
              <w:spacing w:before="80" w:after="80"/>
            </w:pPr>
            <w:r>
              <w:rPr>
                <w:b/>
                <w:color w:val="0F172A"/>
                <w:sz w:val="21"/>
              </w:rPr>
              <w:t xml:space="preserve">Important:  </w:t>
            </w:r>
            <w:r>
              <w:rPr>
                <w:color w:val="1F2937"/>
                <w:sz w:val="21"/>
              </w:rPr>
              <w:t>This is a recommendation with its full working shown, not an automatic instruction. A person should still make the final call -- particularly on “Escalate,” which exists specifically for situations too close to call by arithmetic alone.</w:t>
            </w:r>
          </w:p>
        </w:tc>
      </w:tr>
    </w:tbl>
    <w:p>
      <w:pPr>
        <w:spacing w:after="40"/>
      </w:pPr>
    </w:p>
    <w:p>
      <w:pPr>
        <w:pStyle w:val="Heading1"/>
      </w:pPr>
      <w:r>
        <w:t>7. Using Chase</w:t>
      </w:r>
    </w:p>
    <w:p>
      <w:r>
        <w:rPr>
          <w:b w:val="0"/>
          <w:i w:val="0"/>
        </w:rPr>
        <w:t>Every supplier who needs to fix something on their end -- a missing filing, an unfiled return, a value that does not match -- appears in a queue here, largest first. Select one and a complete email or WhatsApp message is already written, listing every affected invoice by number, date, and amount.</w:t>
      </w:r>
    </w:p>
    <w:p>
      <w:pPr>
        <w:pStyle w:val="ListNumber"/>
      </w:pPr>
      <w:r>
        <w:t>Pick a supplier from the list on the left.</w:t>
      </w:r>
    </w:p>
    <w:p>
      <w:pPr>
        <w:pStyle w:val="ListNumber"/>
      </w:pPr>
      <w:r>
        <w:t>Choose Email or WhatsApp.</w:t>
      </w:r>
    </w:p>
    <w:p>
      <w:pPr>
        <w:pStyle w:val="ListNumber"/>
      </w:pPr>
      <w:r>
        <w:t>Click “Copy message” and paste it into your own email client or WhatsApp.</w:t>
      </w:r>
    </w:p>
    <w:p>
      <w:r>
        <w:rPr>
          <w:b w:val="0"/>
          <w:i w:val="0"/>
        </w:rPr>
        <w:t>If a supplier has been flagged for the same issue several months running, the message says so plainly -- “this is the 3rd consecutive month” -- because that single fact is usually what actually gets a slow-moving supplier to fix their process.</w:t>
      </w:r>
    </w:p>
    <w:p>
      <w:r>
        <w:rPr>
          <w:b w:val="0"/>
          <w:i/>
          <w:color w:val="5B6677"/>
        </w:rPr>
        <w:t>If a supplier replies that an invoice was filed under a different number, note the reference they give you and check it against your own record for that invoice -- in practice, this turns out to be a simple numbering mismatch more often than an actual filing gap.</w:t>
      </w:r>
    </w:p>
    <w:p>
      <w:pPr>
        <w:pStyle w:val="Heading1"/>
      </w:pPr>
      <w:r>
        <w:t>8. Using Suppliers</w:t>
      </w:r>
    </w:p>
    <w:p>
      <w:r>
        <w:rPr>
          <w:b w:val="0"/>
          <w:i w:val="0"/>
        </w:rPr>
        <w:t>A scorecard for every supplier, sortable by risk score, amount at risk, or name. Each row shows a risk band -- Safe, Watch, High risk, or Severe -- and, once a second month has been reconciled, a trend indicator: Improving, Steady, Worsening, or New.</w:t>
      </w:r>
    </w:p>
    <w:p>
      <w:r>
        <w:rPr>
          <w:b w:val="0"/>
          <w:i w:val="0"/>
        </w:rPr>
        <w:t>Click any supplier to open their full detail panel, including a “Track record” section. “Flagged 4 periods in a row” means exactly what it says -- this is not a one-off, and it is the strongest single piece of evidence for a harder conversation with that supplier.</w:t>
      </w:r>
    </w:p>
    <w:p>
      <w:pPr>
        <w:pStyle w:val="Heading1"/>
      </w:pPr>
      <w:r>
        <w:t>9. Exporting working papers</w:t>
      </w:r>
    </w:p>
    <w:p>
      <w:r>
        <w:rPr>
          <w:b w:val="0"/>
          <w:i w:val="0"/>
        </w:rPr>
        <w:t>The “Working papers” button, available from the Cockpit, produces a single Excel file with eight sheets -- a summary, control totals, every finding, every pay/hold decision, the full supplier scorecard, every matched line, and the two one-sided lists (claimed but not in 2B, and in 2B but not claimed). Every rupee figure in the workbook is a real number, not text, so a Chartered Accountant can sum any column themselves and check it against the figure quoted on screen.</w:t>
      </w:r>
    </w:p>
    <w:p>
      <w:pPr>
        <w:pStyle w:val="Heading1"/>
      </w:pPr>
      <w:r>
        <w:t>10. Ending a session, and starting the next month</w:t>
      </w:r>
    </w:p>
    <w:p>
      <w:r>
        <w:rPr>
          <w:b w:val="0"/>
          <w:i w:val="0"/>
        </w:rPr>
        <w:t>Two separate controls exist in the sidebar, and they are separate on purpose:</w:t>
      </w:r>
    </w:p>
    <w:p>
      <w:pPr>
        <w:pStyle w:val="ListBullet"/>
      </w:pPr>
      <w:r>
        <w:t>Clear this session — removes this month's uploaded files. Use this when you are done reviewing a month and want a clean start.</w:t>
      </w:r>
    </w:p>
    <w:p>
      <w:pPr>
        <w:pStyle w:val="ListBullet"/>
      </w:pPr>
      <w:r>
        <w:t>Clear vendor history — removes the long-term, month-over-month supplier track record described in Section 8. This is a deliberate, separate action so that starting a new month never accidentally wipes out months of accumulated supplier history.</w:t>
      </w:r>
    </w:p>
    <w:p>
      <w:r>
        <w:rPr>
          <w:b w:val="0"/>
          <w:i w:val="0"/>
        </w:rPr>
        <w:t>In the ordinary course, you will only ever need the first one. Next month, simply download the new GSTR-2B and export the new purchase register, and upload both the same way -- the product will automatically recognise returning suppliers and continue their track record.</w:t>
      </w:r>
    </w:p>
    <w:p>
      <w:pPr>
        <w:pStyle w:val="Heading1"/>
      </w:pPr>
      <w:r>
        <w:t>11. If something goes wrong</w:t>
      </w:r>
    </w:p>
    <w:tbl>
      <w:tblPr>
        <w:tblStyle w:val="TableGrid"/>
        <w:tblW w:type="auto" w:w="0"/>
        <w:jc w:val="center"/>
        <w:tblLayout w:type="autofit"/>
        <w:tblLook w:firstColumn="1" w:firstRow="1" w:lastColumn="0" w:lastRow="0" w:noHBand="0" w:noVBand="1" w:val="04A0"/>
      </w:tblPr>
      <w:tblGrid>
        <w:gridCol w:w="4816"/>
        <w:gridCol w:w="4816"/>
      </w:tblGrid>
      <w:tr>
        <w:tc>
          <w:tcPr>
            <w:tcW w:type="dxa" w:w="2736"/>
            <w:shd w:val="clear" w:color="auto" w:fill="0F172A"/>
          </w:tcPr>
          <w:p>
            <w:r/>
            <w:r>
              <w:rPr>
                <w:b/>
                <w:color w:val="FFFFFF"/>
                <w:sz w:val="20"/>
              </w:rPr>
              <w:t>What you see</w:t>
            </w:r>
          </w:p>
        </w:tc>
        <w:tc>
          <w:tcPr>
            <w:tcW w:type="dxa" w:w="5760"/>
            <w:shd w:val="clear" w:color="auto" w:fill="0F172A"/>
          </w:tcPr>
          <w:p>
            <w:r/>
            <w:r>
              <w:rPr>
                <w:b/>
                <w:color w:val="FFFFFF"/>
                <w:sz w:val="20"/>
              </w:rPr>
              <w:t>What it means, and what to do</w:t>
            </w:r>
          </w:p>
        </w:tc>
      </w:tr>
      <w:tr>
        <w:tc>
          <w:tcPr>
            <w:tcW w:type="dxa" w:w="2736"/>
          </w:tcPr>
          <w:p>
            <w:r/>
            <w:r>
              <w:rPr>
                <w:b w:val="0"/>
                <w:color w:val="1F2937"/>
                <w:sz w:val="20"/>
              </w:rPr>
              <w:t>A file is rejected outright</w:t>
            </w:r>
          </w:p>
        </w:tc>
        <w:tc>
          <w:tcPr>
            <w:tcW w:type="dxa" w:w="5760"/>
          </w:tcPr>
          <w:p>
            <w:r/>
            <w:r>
              <w:rPr>
                <w:b w:val="0"/>
                <w:color w:val="1F2937"/>
                <w:sz w:val="20"/>
              </w:rPr>
              <w:t>Check the file type: the purchase register must be .xlsx, .xls, or .csv; the GSTR-2B must be the .json download, not a PDF or Excel export from the portal.</w:t>
            </w:r>
          </w:p>
        </w:tc>
      </w:tr>
      <w:tr>
        <w:tc>
          <w:tcPr>
            <w:tcW w:type="dxa" w:w="2736"/>
          </w:tcPr>
          <w:p>
            <w:r/>
            <w:r>
              <w:rPr>
                <w:b w:val="0"/>
                <w:color w:val="1F2937"/>
                <w:sz w:val="20"/>
              </w:rPr>
              <w:t>A column is listed as “unmapped”</w:t>
            </w:r>
          </w:p>
        </w:tc>
        <w:tc>
          <w:tcPr>
            <w:tcW w:type="dxa" w:w="5760"/>
          </w:tcPr>
          <w:p>
            <w:r/>
            <w:r>
              <w:rPr>
                <w:b w:val="0"/>
                <w:color w:val="1F2937"/>
                <w:sz w:val="20"/>
              </w:rPr>
              <w:t>The product could not confidently identify what that column contains. Reconciliation will still proceed — just check the listed columns to see if anything important was missed.</w:t>
            </w:r>
          </w:p>
        </w:tc>
      </w:tr>
      <w:tr>
        <w:tc>
          <w:tcPr>
            <w:tcW w:type="dxa" w:w="2736"/>
          </w:tcPr>
          <w:p>
            <w:r/>
            <w:r>
              <w:rPr>
                <w:b w:val="0"/>
                <w:color w:val="1F2937"/>
                <w:sz w:val="20"/>
              </w:rPr>
              <w:t>A GSTIN is flagged as structurally invalid</w:t>
            </w:r>
          </w:p>
        </w:tc>
        <w:tc>
          <w:tcPr>
            <w:tcW w:type="dxa" w:w="5760"/>
          </w:tcPr>
          <w:p>
            <w:r/>
            <w:r>
              <w:rPr>
                <w:b w:val="0"/>
                <w:color w:val="1F2937"/>
                <w:sz w:val="20"/>
              </w:rPr>
              <w:t>The check-digit calculation failed. This is almost always a transcription error in the vendor master and is worth fixing at the source before chasing that supplier.</w:t>
            </w:r>
          </w:p>
        </w:tc>
      </w:tr>
      <w:tr>
        <w:tc>
          <w:tcPr>
            <w:tcW w:type="dxa" w:w="2736"/>
          </w:tcPr>
          <w:p>
            <w:r/>
            <w:r>
              <w:rPr>
                <w:b w:val="0"/>
                <w:color w:val="1F2937"/>
                <w:sz w:val="20"/>
              </w:rPr>
              <w:t>“Control totals: Not balanced”</w:t>
            </w:r>
          </w:p>
        </w:tc>
        <w:tc>
          <w:tcPr>
            <w:tcW w:type="dxa" w:w="5760"/>
          </w:tcPr>
          <w:p>
            <w:r/>
            <w:r>
              <w:rPr>
                <w:b w:val="0"/>
                <w:color w:val="1F2937"/>
                <w:sz w:val="20"/>
              </w:rPr>
              <w:t>Do not rely on any figure on the Cockpit until this is resolved. This means the product cannot currently account for every rupee of claimed credit, and it will not pretend otherwise.</w:t>
            </w:r>
          </w:p>
        </w:tc>
      </w:tr>
      <w:tr>
        <w:tc>
          <w:tcPr>
            <w:tcW w:type="dxa" w:w="2736"/>
          </w:tcPr>
          <w:p>
            <w:r/>
            <w:r>
              <w:rPr>
                <w:b w:val="0"/>
                <w:color w:val="1F2937"/>
                <w:sz w:val="20"/>
              </w:rPr>
              <w:t>A save warning appears about local storage</w:t>
            </w:r>
          </w:p>
        </w:tc>
        <w:tc>
          <w:tcPr>
            <w:tcW w:type="dxa" w:w="5760"/>
          </w:tcPr>
          <w:p>
            <w:r/>
            <w:r>
              <w:rPr>
                <w:b w:val="0"/>
                <w:color w:val="1F2937"/>
                <w:sz w:val="20"/>
              </w:rPr>
              <w:t>Most browsers cap local storage at roughly 5 MB. The current reconciliation still works normally — it simply will not be remembered the next time the browser is reopened.</w:t>
            </w:r>
          </w:p>
        </w:tc>
      </w:tr>
    </w:tbl>
    <w:p>
      <w:pPr>
        <w:spacing w:after="80"/>
      </w:pP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7"/>
        <w:sz w:val="17"/>
      </w:rPr>
      <w:t>ITC Guard — How to Operate — internal reference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F172A"/>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A1620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