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《成都工业职业技术学院外事工作管理办法》修订前后对照表</w:t>
      </w:r>
    </w:p>
    <w:p/>
    <w:tbl>
      <w:tblPr>
        <w:tblStyle w:val="TableGrid"/>
        <w:tblW w:type="auto" w:w="0"/>
        <w:tblLook w:firstColumn="1" w:firstRow="1" w:lastColumn="0" w:lastRow="0" w:noHBand="0" w:noVBand="1" w:val="04A0"/>
      </w:tblPr>
      <w:tblGrid>
        <w:gridCol w:w="3021"/>
        <w:gridCol w:w="3021"/>
        <w:gridCol w:w="3021"/>
        <w:gridCol w:w="3021"/>
        <w:gridCol w:w="3021"/>
      </w:tblGrid>
      <w:tr>
        <w:tc>
          <w:tcPr>
            <w:tcW w:type="dxa" w:w="1247"/>
            <w:vAlign w:val="top"/>
            <w:shd w:val="clear" w:color="auto" w:fill="1F497D"/>
          </w:tcPr>
          <w:p>
            <w:pPr>
              <w:jc w:val="center"/>
            </w:pPr>
            <w:r>
              <w:rPr>
                <w:b/>
                <w:color w:val="FFFFFF"/>
                <w:sz w:val="20"/>
              </w:rPr>
              <w:t>章节</w:t>
            </w:r>
          </w:p>
        </w:tc>
        <w:tc>
          <w:tcPr>
            <w:tcW w:type="dxa" w:w="907"/>
            <w:vAlign w:val="top"/>
            <w:shd w:val="clear" w:color="auto" w:fill="1F497D"/>
          </w:tcPr>
          <w:p>
            <w:pPr>
              <w:jc w:val="center"/>
            </w:pPr>
            <w:r>
              <w:rPr>
                <w:b/>
                <w:color w:val="FFFFFF"/>
                <w:sz w:val="20"/>
              </w:rPr>
              <w:t>条款</w:t>
            </w:r>
          </w:p>
        </w:tc>
        <w:tc>
          <w:tcPr>
            <w:tcW w:type="dxa" w:w="1361"/>
            <w:vAlign w:val="top"/>
            <w:shd w:val="clear" w:color="auto" w:fill="1F497D"/>
          </w:tcPr>
          <w:p>
            <w:pPr>
              <w:jc w:val="center"/>
            </w:pPr>
            <w:r>
              <w:rPr>
                <w:b/>
                <w:color w:val="FFFFFF"/>
                <w:sz w:val="20"/>
              </w:rPr>
              <w:t>修改类型</w:t>
            </w:r>
          </w:p>
        </w:tc>
        <w:tc>
          <w:tcPr>
            <w:tcW w:type="dxa" w:w="5102"/>
            <w:vAlign w:val="top"/>
            <w:shd w:val="clear" w:color="auto" w:fill="1F497D"/>
          </w:tcPr>
          <w:p>
            <w:pPr>
              <w:jc w:val="center"/>
            </w:pPr>
            <w:r>
              <w:rPr>
                <w:b/>
                <w:color w:val="FFFFFF"/>
                <w:sz w:val="20"/>
              </w:rPr>
              <w:t>修改前（原制度）</w:t>
            </w:r>
          </w:p>
        </w:tc>
        <w:tc>
          <w:tcPr>
            <w:tcW w:type="dxa" w:w="5102"/>
            <w:vAlign w:val="top"/>
            <w:shd w:val="clear" w:color="auto" w:fill="1F497D"/>
          </w:tcPr>
          <w:p>
            <w:pPr>
              <w:jc w:val="center"/>
            </w:pPr>
            <w:r>
              <w:rPr>
                <w:b/>
                <w:color w:val="FFFFFF"/>
                <w:sz w:val="20"/>
              </w:rPr>
              <w:t>修改后（新制度）</w:t>
            </w:r>
          </w:p>
        </w:tc>
      </w:tr>
      <w:tr>
        <w:tc>
          <w:tcPr>
            <w:tcW w:type="dxa" w:w="1247"/>
            <w:shd w:val="clear" w:color="auto" w:fill="F2F7FF"/>
            <w:vAlign w:val="top"/>
          </w:tcPr>
          <w:p>
            <w:pPr>
              <w:jc w:val="left"/>
            </w:pPr>
            <w:r>
              <w:rPr>
                <w:sz w:val="18"/>
              </w:rPr>
              <w:t>通知</w:t>
            </w:r>
          </w:p>
        </w:tc>
        <w:tc>
          <w:tcPr>
            <w:tcW w:type="dxa" w:w="907"/>
            <w:shd w:val="clear" w:color="auto" w:fill="F2F7FF"/>
            <w:vAlign w:val="top"/>
          </w:tcPr>
          <w:p>
            <w:pPr>
              <w:jc w:val="left"/>
            </w:pPr>
            <w:r>
              <w:rPr>
                <w:sz w:val="18"/>
              </w:rPr>
              <w:t>文号</w:t>
            </w:r>
          </w:p>
        </w:tc>
        <w:tc>
          <w:tcPr>
            <w:tcW w:type="dxa" w:w="1361"/>
            <w:shd w:val="clear" w:color="auto" w:fill="F2F7FF"/>
            <w:vAlign w:val="top"/>
          </w:tcPr>
          <w:p>
            <w:pPr>
              <w:jc w:val="center"/>
            </w:pPr>
            <w:r>
              <w:rPr>
                <w:b/>
                <w:color w:val="1F497D"/>
                <w:sz w:val="18"/>
              </w:rPr>
              <w:t>修改</w:t>
            </w:r>
          </w:p>
        </w:tc>
        <w:tc>
          <w:tcPr>
            <w:tcW w:type="dxa" w:w="5102"/>
            <w:shd w:val="clear" w:color="auto" w:fill="F2F7FF"/>
            <w:vAlign w:val="top"/>
          </w:tcPr>
          <w:p>
            <w:pPr>
              <w:jc w:val="left"/>
            </w:pPr>
            <w:r>
              <w:rPr>
                <w:sz w:val="18"/>
              </w:rPr>
              <w:t>成工职院〔2022〕49号</w:t>
            </w:r>
          </w:p>
        </w:tc>
        <w:tc>
          <w:tcPr>
            <w:tcW w:type="dxa" w:w="5102"/>
            <w:shd w:val="clear" w:color="auto" w:fill="F2F7FF"/>
            <w:vAlign w:val="top"/>
          </w:tcPr>
          <w:p>
            <w:pPr>
              <w:jc w:val="left"/>
            </w:pPr>
            <w:r>
              <w:rPr>
                <w:sz w:val="18"/>
              </w:rPr>
              <w:t>（修改版未显示文号）</w:t>
            </w:r>
          </w:p>
        </w:tc>
      </w:tr>
      <w:tr>
        <w:tc>
          <w:tcPr>
            <w:tcW w:type="dxa" w:w="1247"/>
            <w:shd w:val="clear" w:color="auto" w:fill="FFFFFF"/>
            <w:vAlign w:val="top"/>
          </w:tcPr>
          <w:p>
            <w:pPr>
              <w:jc w:val="left"/>
            </w:pPr>
            <w:r>
              <w:rPr>
                <w:sz w:val="18"/>
              </w:rPr>
              <w:t>通知</w:t>
            </w:r>
          </w:p>
        </w:tc>
        <w:tc>
          <w:tcPr>
            <w:tcW w:type="dxa" w:w="907"/>
            <w:shd w:val="clear" w:color="auto" w:fill="FFFFFF"/>
            <w:vAlign w:val="top"/>
          </w:tcPr>
          <w:p>
            <w:pPr>
              <w:jc w:val="left"/>
            </w:pPr>
            <w:r>
              <w:rPr>
                <w:sz w:val="18"/>
              </w:rPr>
              <w:t>党委会次数</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经学院2022年第21次党委会研究同意</w:t>
            </w:r>
          </w:p>
        </w:tc>
        <w:tc>
          <w:tcPr>
            <w:tcW w:type="dxa" w:w="5102"/>
            <w:shd w:val="clear" w:color="auto" w:fill="FFFFFF"/>
            <w:vAlign w:val="top"/>
          </w:tcPr>
          <w:p>
            <w:pPr>
              <w:jc w:val="left"/>
            </w:pPr>
            <w:r>
              <w:rPr>
                <w:sz w:val="18"/>
              </w:rPr>
              <w:t>经学院202年第次党委会研究同意（年份及次数空缺）</w:t>
            </w:r>
          </w:p>
        </w:tc>
      </w:tr>
      <w:tr>
        <w:tc>
          <w:tcPr>
            <w:tcW w:type="dxa" w:w="1247"/>
            <w:shd w:val="clear" w:color="auto" w:fill="F2F7FF"/>
            <w:vAlign w:val="top"/>
          </w:tcPr>
          <w:p>
            <w:pPr>
              <w:jc w:val="left"/>
            </w:pPr>
            <w:r>
              <w:rPr>
                <w:sz w:val="18"/>
              </w:rPr>
              <w:t>通知</w:t>
            </w:r>
          </w:p>
        </w:tc>
        <w:tc>
          <w:tcPr>
            <w:tcW w:type="dxa" w:w="907"/>
            <w:shd w:val="clear" w:color="auto" w:fill="F2F7FF"/>
            <w:vAlign w:val="top"/>
          </w:tcPr>
          <w:p>
            <w:pPr>
              <w:jc w:val="left"/>
            </w:pPr>
            <w:r>
              <w:rPr>
                <w:sz w:val="18"/>
              </w:rPr>
              <w:t>落款日期</w:t>
            </w:r>
          </w:p>
        </w:tc>
        <w:tc>
          <w:tcPr>
            <w:tcW w:type="dxa" w:w="1361"/>
            <w:shd w:val="clear" w:color="auto" w:fill="F2F7FF"/>
            <w:vAlign w:val="top"/>
          </w:tcPr>
          <w:p>
            <w:pPr>
              <w:jc w:val="center"/>
            </w:pPr>
            <w:r>
              <w:rPr>
                <w:b/>
                <w:color w:val="1F497D"/>
                <w:sz w:val="18"/>
              </w:rPr>
              <w:t>修改</w:t>
            </w:r>
          </w:p>
        </w:tc>
        <w:tc>
          <w:tcPr>
            <w:tcW w:type="dxa" w:w="5102"/>
            <w:shd w:val="clear" w:color="auto" w:fill="F2F7FF"/>
            <w:vAlign w:val="top"/>
          </w:tcPr>
          <w:p>
            <w:pPr>
              <w:jc w:val="left"/>
            </w:pPr>
            <w:r>
              <w:rPr>
                <w:sz w:val="18"/>
              </w:rPr>
              <w:t>2022年10月26日</w:t>
            </w:r>
          </w:p>
        </w:tc>
        <w:tc>
          <w:tcPr>
            <w:tcW w:type="dxa" w:w="5102"/>
            <w:shd w:val="clear" w:color="auto" w:fill="F2F7FF"/>
            <w:vAlign w:val="top"/>
          </w:tcPr>
          <w:p>
            <w:pPr>
              <w:jc w:val="left"/>
            </w:pPr>
            <w:r>
              <w:rPr>
                <w:sz w:val="18"/>
              </w:rPr>
              <w:t>202年 月 日（日期空缺）</w:t>
            </w:r>
          </w:p>
        </w:tc>
      </w:tr>
      <w:tr>
        <w:tc>
          <w:tcPr>
            <w:tcW w:type="dxa" w:w="1247"/>
            <w:shd w:val="clear" w:color="auto" w:fill="FFFFFF"/>
            <w:vAlign w:val="top"/>
          </w:tcPr>
          <w:p>
            <w:pPr>
              <w:jc w:val="left"/>
            </w:pPr>
            <w:r>
              <w:rPr>
                <w:sz w:val="18"/>
              </w:rPr>
              <w:t>第一章 总则</w:t>
            </w:r>
          </w:p>
        </w:tc>
        <w:tc>
          <w:tcPr>
            <w:tcW w:type="dxa" w:w="907"/>
            <w:shd w:val="clear" w:color="auto" w:fill="FFFFFF"/>
            <w:vAlign w:val="top"/>
          </w:tcPr>
          <w:p>
            <w:pPr>
              <w:jc w:val="left"/>
            </w:pPr>
            <w:r>
              <w:rPr>
                <w:sz w:val="18"/>
              </w:rPr>
              <w:t>第三条</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本办法涉及的外事工作包括因公出国（境）管理、学生出国（境）交流管理、学院外事活动管理、签订国际合作协议管理、中外合作办学项目管理、国际科技学术合作交流管理、教师国际培训管理、外籍人员聘请（用）管理、国（境）外援助项目管理、国际学生管理、国际宣传管理等各类涉外事务。</w:t>
            </w:r>
          </w:p>
        </w:tc>
        <w:tc>
          <w:tcPr>
            <w:tcW w:type="dxa" w:w="5102"/>
            <w:shd w:val="clear" w:color="auto" w:fill="FFFFFF"/>
            <w:vAlign w:val="top"/>
          </w:tcPr>
          <w:p>
            <w:pPr>
              <w:jc w:val="left"/>
            </w:pPr>
            <w:r>
              <w:rPr>
                <w:sz w:val="18"/>
              </w:rPr>
              <w:t>本办法涉及的外事工作包括因公出国（境）管理学生出国（境）交流管理、学院外事活动管理、签订国际合作协议管理、中外合作办学项目管理、国际科技学术合作交流管理教师国际培训管理、外籍人员聘请（用）管理国外援助项目管理、国际学生管理、国际宣传管理等各类涉外事务。</w:t>
            </w:r>
            <w:r>
              <w:rPr>
                <w:i/>
                <w:color w:val="808080"/>
                <w:sz w:val="18"/>
              </w:rPr>
              <w:br/>
              <w:t>（注：删去部分顿号；"国（境）外援助"改为"国外援助"）</w:t>
            </w:r>
          </w:p>
        </w:tc>
      </w:tr>
      <w:tr>
        <w:tc>
          <w:tcPr>
            <w:tcW w:type="dxa" w:w="1247"/>
            <w:shd w:val="clear" w:color="auto" w:fill="F2F7FF"/>
            <w:vAlign w:val="top"/>
          </w:tcPr>
          <w:p>
            <w:pPr>
              <w:jc w:val="left"/>
            </w:pPr>
            <w:r>
              <w:rPr>
                <w:sz w:val="18"/>
              </w:rPr>
              <w:t>第一章 总则</w:t>
            </w:r>
          </w:p>
        </w:tc>
        <w:tc>
          <w:tcPr>
            <w:tcW w:type="dxa" w:w="907"/>
            <w:shd w:val="clear" w:color="auto" w:fill="F2F7FF"/>
            <w:vAlign w:val="top"/>
          </w:tcPr>
          <w:p>
            <w:pPr>
              <w:jc w:val="left"/>
            </w:pPr>
            <w:r>
              <w:rPr>
                <w:sz w:val="18"/>
              </w:rPr>
              <w:t>第四条</w:t>
            </w:r>
          </w:p>
        </w:tc>
        <w:tc>
          <w:tcPr>
            <w:tcW w:type="dxa" w:w="1361"/>
            <w:shd w:val="clear" w:color="auto" w:fill="F2F7FF"/>
            <w:vAlign w:val="top"/>
          </w:tcPr>
          <w:p>
            <w:pPr>
              <w:jc w:val="center"/>
            </w:pPr>
            <w:r>
              <w:rPr>
                <w:b/>
                <w:color w:val="007000"/>
                <w:sz w:val="18"/>
              </w:rPr>
              <w:t>新增</w:t>
            </w:r>
          </w:p>
        </w:tc>
        <w:tc>
          <w:tcPr>
            <w:tcW w:type="dxa" w:w="5102"/>
            <w:shd w:val="clear" w:color="auto" w:fill="F2F7FF"/>
            <w:vAlign w:val="top"/>
          </w:tcPr>
          <w:p>
            <w:pPr>
              <w:jc w:val="left"/>
            </w:pPr>
            <w:r>
              <w:rPr>
                <w:sz w:val="18"/>
              </w:rPr>
              <w:t>外事项目经费使用及管理严格按照《成都市市级单位因公短期出国培训费用管理办法》《成都工业职业技术学院预算管理暂行办法》《成都工业职业技术学院招标管理办法》等相关制度执行。</w:t>
            </w:r>
          </w:p>
        </w:tc>
        <w:tc>
          <w:tcPr>
            <w:tcW w:type="dxa" w:w="5102"/>
            <w:shd w:val="clear" w:color="auto" w:fill="F2F7FF"/>
            <w:vAlign w:val="top"/>
          </w:tcPr>
          <w:p>
            <w:pPr>
              <w:jc w:val="left"/>
            </w:pPr>
            <w:r>
              <w:rPr>
                <w:sz w:val="18"/>
              </w:rPr>
              <w:t>外事项目经费使用及管理严格按照《四川省因公临时出国经费管理办法》《成都市市级单位因公短期出国培训费用管理办法》《成都工业职业技术学院预算管理暂行办法》《成都工业职业技术学院招标管理办法》等相关制度执行。</w:t>
            </w:r>
            <w:r>
              <w:rPr>
                <w:i/>
                <w:color w:val="808080"/>
                <w:sz w:val="18"/>
              </w:rPr>
              <w:br/>
              <w:t>（注：新增《四川省因公临时出国经费管理办法》）</w:t>
            </w:r>
          </w:p>
        </w:tc>
      </w:tr>
      <w:tr>
        <w:tc>
          <w:tcPr>
            <w:tcW w:type="dxa" w:w="1247"/>
            <w:shd w:val="clear" w:color="auto" w:fill="FFFFFF"/>
            <w:vAlign w:val="top"/>
          </w:tcPr>
          <w:p>
            <w:pPr>
              <w:jc w:val="left"/>
            </w:pPr>
            <w:r>
              <w:rPr>
                <w:sz w:val="18"/>
              </w:rPr>
              <w:t>第二章 机构与职责</w:t>
            </w:r>
          </w:p>
        </w:tc>
        <w:tc>
          <w:tcPr>
            <w:tcW w:type="dxa" w:w="907"/>
            <w:shd w:val="clear" w:color="auto" w:fill="FFFFFF"/>
            <w:vAlign w:val="top"/>
          </w:tcPr>
          <w:p>
            <w:pPr>
              <w:jc w:val="left"/>
            </w:pPr>
            <w:r>
              <w:rPr>
                <w:sz w:val="18"/>
              </w:rPr>
              <w:t>第五条</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领导小组办公室设在学院对外交流处，在学院外事工作领导小组指导下，统筹、协调、监督和管理学院外事工作。</w:t>
            </w:r>
          </w:p>
        </w:tc>
        <w:tc>
          <w:tcPr>
            <w:tcW w:type="dxa" w:w="5102"/>
            <w:shd w:val="clear" w:color="auto" w:fill="FFFFFF"/>
            <w:vAlign w:val="top"/>
          </w:tcPr>
          <w:p>
            <w:pPr>
              <w:jc w:val="left"/>
            </w:pPr>
            <w:r>
              <w:rPr>
                <w:sz w:val="18"/>
              </w:rPr>
              <w:t>领导小组办公室设在学院对外交流处，在学院外事工作领导小组指导下，统筹协调监督和管理学院外事工作。</w:t>
            </w:r>
            <w:r>
              <w:rPr>
                <w:i/>
                <w:color w:val="808080"/>
                <w:sz w:val="18"/>
              </w:rPr>
              <w:br/>
              <w:t>（注：删去"、"顿号）</w:t>
            </w:r>
          </w:p>
        </w:tc>
      </w:tr>
      <w:tr>
        <w:tc>
          <w:tcPr>
            <w:tcW w:type="dxa" w:w="1247"/>
            <w:shd w:val="clear" w:color="auto" w:fill="F2F7FF"/>
            <w:vAlign w:val="top"/>
          </w:tcPr>
          <w:p>
            <w:pPr>
              <w:jc w:val="left"/>
            </w:pPr>
            <w:r>
              <w:rPr>
                <w:sz w:val="18"/>
              </w:rPr>
              <w:t>第三章 因公出国（境）管理</w:t>
            </w:r>
          </w:p>
        </w:tc>
        <w:tc>
          <w:tcPr>
            <w:tcW w:type="dxa" w:w="907"/>
            <w:shd w:val="clear" w:color="auto" w:fill="F2F7FF"/>
            <w:vAlign w:val="top"/>
          </w:tcPr>
          <w:p>
            <w:pPr>
              <w:jc w:val="left"/>
            </w:pPr>
            <w:r>
              <w:rPr>
                <w:sz w:val="18"/>
              </w:rPr>
              <w:t>第十条</w:t>
            </w:r>
            <w:r>
              <w:rPr>
                <w:sz w:val="18"/>
              </w:rPr>
              <w:br/>
              <w:t>（审批层级）</w:t>
            </w:r>
          </w:p>
        </w:tc>
        <w:tc>
          <w:tcPr>
            <w:tcW w:type="dxa" w:w="1361"/>
            <w:shd w:val="clear" w:color="auto" w:fill="F2F7FF"/>
            <w:vAlign w:val="top"/>
          </w:tcPr>
          <w:p>
            <w:pPr>
              <w:jc w:val="center"/>
            </w:pPr>
            <w:r>
              <w:rPr>
                <w:b/>
                <w:color w:val="1F497D"/>
                <w:sz w:val="18"/>
              </w:rPr>
              <w:t>修改</w:t>
            </w:r>
          </w:p>
        </w:tc>
        <w:tc>
          <w:tcPr>
            <w:tcW w:type="dxa" w:w="5102"/>
            <w:shd w:val="clear" w:color="auto" w:fill="F2F7FF"/>
            <w:vAlign w:val="top"/>
          </w:tcPr>
          <w:p>
            <w:pPr>
              <w:jc w:val="left"/>
            </w:pPr>
            <w:r>
              <w:rPr>
                <w:sz w:val="18"/>
              </w:rPr>
              <w:t>所有因公出国（境）活动须按规定的程序分级、分类审批：</w:t>
            </w:r>
            <w:r>
              <w:rPr>
                <w:sz w:val="18"/>
              </w:rPr>
              <w:br/>
              <w:t>1.院级领导出访按照党和国家的有关规定报批；</w:t>
            </w:r>
            <w:r>
              <w:rPr>
                <w:sz w:val="18"/>
              </w:rPr>
              <w:br/>
              <w:t>2.各部门、二级学院处级领导干部出访，由学院外事工作领导小组商议，由院长办公会和党委会审议；</w:t>
            </w:r>
            <w:r>
              <w:rPr>
                <w:sz w:val="18"/>
              </w:rPr>
              <w:br/>
              <w:t>3.各部门、二级学院其他人员出国（境）进行短期公务交流活动、短期学术交流、参加国际会议以及长期访学等活动，由院长办公会和党委会审议。</w:t>
            </w:r>
          </w:p>
        </w:tc>
        <w:tc>
          <w:tcPr>
            <w:tcW w:type="dxa" w:w="5102"/>
            <w:shd w:val="clear" w:color="auto" w:fill="F2F7FF"/>
            <w:vAlign w:val="top"/>
          </w:tcPr>
          <w:p>
            <w:pPr>
              <w:jc w:val="left"/>
            </w:pPr>
            <w:r>
              <w:rPr>
                <w:sz w:val="18"/>
              </w:rPr>
              <w:t>所有因公出国（境）活动须按规定的程序分级、分类审批</w:t>
            </w:r>
            <w:r>
              <w:rPr>
                <w:i/>
                <w:color w:val="808080"/>
                <w:sz w:val="18"/>
              </w:rPr>
              <w:br/>
              <w:t>（注：删去三项具体审批层级子条款，仅保留总括表述）</w:t>
            </w:r>
          </w:p>
        </w:tc>
      </w:tr>
      <w:tr>
        <w:tc>
          <w:tcPr>
            <w:tcW w:type="dxa" w:w="1247"/>
            <w:shd w:val="clear" w:color="auto" w:fill="FFFFFF"/>
            <w:vAlign w:val="top"/>
          </w:tcPr>
          <w:p>
            <w:pPr>
              <w:jc w:val="left"/>
            </w:pPr>
            <w:r>
              <w:rPr>
                <w:sz w:val="18"/>
              </w:rPr>
              <w:t>第三章 因公出国（境）管理</w:t>
            </w:r>
          </w:p>
        </w:tc>
        <w:tc>
          <w:tcPr>
            <w:tcW w:type="dxa" w:w="907"/>
            <w:shd w:val="clear" w:color="auto" w:fill="FFFFFF"/>
            <w:vAlign w:val="top"/>
          </w:tcPr>
          <w:p>
            <w:pPr>
              <w:jc w:val="left"/>
            </w:pPr>
            <w:r>
              <w:rPr>
                <w:sz w:val="18"/>
              </w:rPr>
              <w:t>第十一条</w:t>
            </w:r>
            <w:r>
              <w:rPr>
                <w:sz w:val="18"/>
              </w:rPr>
              <w:br/>
              <w:t>（禁止情形）</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因公出国（境）申报与批准应符合国家相关文件要求，有下列情形之一的出访项目和人员，一律不得申报和批准：</w:t>
            </w:r>
            <w:r>
              <w:rPr>
                <w:sz w:val="18"/>
              </w:rPr>
              <w:br/>
              <w:t>1.目的不明确，项目无实质性内容的；</w:t>
            </w:r>
            <w:r>
              <w:rPr>
                <w:sz w:val="18"/>
              </w:rPr>
              <w:br/>
              <w:t>2.出访国家、地区和机构与出访任务无直接关系的；</w:t>
            </w:r>
            <w:r>
              <w:rPr>
                <w:sz w:val="18"/>
              </w:rPr>
              <w:br/>
              <w:t>3.出访人员所从事工作与出访任务不相符的；</w:t>
            </w:r>
            <w:r>
              <w:rPr>
                <w:sz w:val="18"/>
              </w:rPr>
              <w:br/>
              <w:t>4.已办理离退休手续的；</w:t>
            </w:r>
            <w:r>
              <w:rPr>
                <w:sz w:val="18"/>
              </w:rPr>
              <w:br/>
              <w:t>5.由与学院无直接关系的各类机构组织的跨部门跨地区团组的境外考察、参展及其他活动；</w:t>
            </w:r>
            <w:r>
              <w:rPr>
                <w:sz w:val="18"/>
              </w:rPr>
              <w:br/>
              <w:t>6.费用来源、具体收费项目、用汇额度不明确，费用开支严重超过财政部规定标准，以及巧立名目收取其他项目费用的出访活动。</w:t>
            </w:r>
          </w:p>
        </w:tc>
        <w:tc>
          <w:tcPr>
            <w:tcW w:type="dxa" w:w="5102"/>
            <w:shd w:val="clear" w:color="auto" w:fill="FFFFFF"/>
            <w:vAlign w:val="top"/>
          </w:tcPr>
          <w:p>
            <w:pPr>
              <w:jc w:val="left"/>
            </w:pPr>
            <w:r>
              <w:rPr>
                <w:sz w:val="18"/>
              </w:rPr>
              <w:t>因公出国（境）申报与批准应符合国家相关文件要求，有下列情形之一的出访项目和人员，一律不得申报和批准：</w:t>
            </w:r>
            <w:r>
              <w:rPr>
                <w:sz w:val="18"/>
              </w:rPr>
              <w:br/>
              <w:t>目的不明确，项目无实质性内容的；</w:t>
            </w:r>
            <w:r>
              <w:rPr>
                <w:sz w:val="18"/>
              </w:rPr>
              <w:br/>
              <w:t>出访国家、地区和机构与出访任务无直接关系的；</w:t>
            </w:r>
            <w:r>
              <w:rPr>
                <w:sz w:val="18"/>
              </w:rPr>
              <w:br/>
              <w:t>出访人员所从事工作与出访任务不相符的；</w:t>
            </w:r>
            <w:r>
              <w:rPr>
                <w:sz w:val="18"/>
              </w:rPr>
              <w:br/>
              <w:t>已办理离退休手续的；</w:t>
            </w:r>
            <w:r>
              <w:rPr>
                <w:sz w:val="18"/>
              </w:rPr>
              <w:br/>
              <w:t>由与学院无直接关系的各类机构组织的跨部门跨地区团组的境外考察、参展及其他活动；</w:t>
            </w:r>
            <w:r>
              <w:rPr>
                <w:sz w:val="18"/>
              </w:rPr>
              <w:br/>
              <w:t>费用来源、具体收费项目、用汇额度不明确，费用开支严重超过财政部规定标准，以及巧立名目收取其他项目费用的出访活动。</w:t>
            </w:r>
            <w:r>
              <w:rPr>
                <w:i/>
                <w:color w:val="808080"/>
                <w:sz w:val="18"/>
              </w:rPr>
              <w:br/>
              <w:t>（注：删去各项前的序号"1.2.3..."）</w:t>
            </w:r>
          </w:p>
        </w:tc>
      </w:tr>
      <w:tr>
        <w:tc>
          <w:tcPr>
            <w:tcW w:type="dxa" w:w="1247"/>
            <w:shd w:val="clear" w:color="auto" w:fill="F2F7FF"/>
            <w:vAlign w:val="top"/>
          </w:tcPr>
          <w:p>
            <w:pPr>
              <w:jc w:val="left"/>
            </w:pPr>
            <w:r>
              <w:rPr>
                <w:sz w:val="18"/>
              </w:rPr>
              <w:t>第三章 因公出国（境）管理</w:t>
            </w:r>
          </w:p>
        </w:tc>
        <w:tc>
          <w:tcPr>
            <w:tcW w:type="dxa" w:w="907"/>
            <w:shd w:val="clear" w:color="auto" w:fill="F2F7FF"/>
            <w:vAlign w:val="top"/>
          </w:tcPr>
          <w:p>
            <w:pPr>
              <w:jc w:val="left"/>
            </w:pPr>
            <w:r>
              <w:rPr>
                <w:sz w:val="18"/>
              </w:rPr>
              <w:t>第十四条</w:t>
            </w:r>
          </w:p>
        </w:tc>
        <w:tc>
          <w:tcPr>
            <w:tcW w:type="dxa" w:w="1361"/>
            <w:shd w:val="clear" w:color="auto" w:fill="F2F7FF"/>
            <w:vAlign w:val="top"/>
          </w:tcPr>
          <w:p>
            <w:pPr>
              <w:jc w:val="center"/>
            </w:pPr>
            <w:r>
              <w:rPr>
                <w:b/>
                <w:color w:val="1F497D"/>
                <w:sz w:val="18"/>
              </w:rPr>
              <w:t>修改</w:t>
            </w:r>
          </w:p>
        </w:tc>
        <w:tc>
          <w:tcPr>
            <w:tcW w:type="dxa" w:w="5102"/>
            <w:shd w:val="clear" w:color="auto" w:fill="F2F7FF"/>
            <w:vAlign w:val="top"/>
          </w:tcPr>
          <w:p>
            <w:pPr>
              <w:jc w:val="left"/>
            </w:pPr>
            <w:r>
              <w:rPr>
                <w:sz w:val="18"/>
              </w:rPr>
              <w:t>所有因公出国（境）活动均须开展行前教育，出访人员须签订安全协议书和保密责任书。</w:t>
            </w:r>
          </w:p>
        </w:tc>
        <w:tc>
          <w:tcPr>
            <w:tcW w:type="dxa" w:w="5102"/>
            <w:shd w:val="clear" w:color="auto" w:fill="F2F7FF"/>
            <w:vAlign w:val="top"/>
          </w:tcPr>
          <w:p>
            <w:pPr>
              <w:jc w:val="left"/>
            </w:pPr>
            <w:r>
              <w:rPr>
                <w:sz w:val="18"/>
              </w:rPr>
              <w:t>所有因公出国（境）活动均须开展行前教育出访人员须签订安全协议书和保密责任书。</w:t>
            </w:r>
            <w:r>
              <w:rPr>
                <w:i/>
                <w:color w:val="808080"/>
                <w:sz w:val="18"/>
              </w:rPr>
              <w:br/>
              <w:t>（注：遗漏逗号"，"）</w:t>
            </w:r>
          </w:p>
        </w:tc>
      </w:tr>
      <w:tr>
        <w:tc>
          <w:tcPr>
            <w:tcW w:type="dxa" w:w="1247"/>
            <w:shd w:val="clear" w:color="auto" w:fill="FFFFFF"/>
            <w:vAlign w:val="top"/>
          </w:tcPr>
          <w:p>
            <w:pPr>
              <w:jc w:val="left"/>
            </w:pPr>
            <w:r>
              <w:rPr>
                <w:sz w:val="18"/>
              </w:rPr>
              <w:t>第三章 因公出国（境）管理</w:t>
            </w:r>
          </w:p>
        </w:tc>
        <w:tc>
          <w:tcPr>
            <w:tcW w:type="dxa" w:w="907"/>
            <w:shd w:val="clear" w:color="auto" w:fill="FFFFFF"/>
            <w:vAlign w:val="top"/>
          </w:tcPr>
          <w:p>
            <w:pPr>
              <w:jc w:val="left"/>
            </w:pPr>
            <w:r>
              <w:rPr>
                <w:sz w:val="18"/>
              </w:rPr>
              <w:t>第十六条</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经组织部（人事处）、对外交流合作处审批，以下人员或情况可持因私证件出访：</w:t>
            </w:r>
            <w:r>
              <w:rPr>
                <w:sz w:val="18"/>
              </w:rPr>
              <w:br/>
              <w:t>1.外籍人士；</w:t>
            </w:r>
            <w:r>
              <w:rPr>
                <w:sz w:val="18"/>
              </w:rPr>
              <w:br/>
              <w:t>2.上级单位有明确规定须持因私护照的，如留学基金委留学项目；上级部门明文要求持因私护照的个别特殊项目。持因私证件赴国（境）外执行公务的在职人员出国（境）手续需自行办理，签证所需的单位证明由院内相关部门出具。</w:t>
            </w:r>
          </w:p>
        </w:tc>
        <w:tc>
          <w:tcPr>
            <w:tcW w:type="dxa" w:w="5102"/>
            <w:shd w:val="clear" w:color="auto" w:fill="FFFFFF"/>
            <w:vAlign w:val="top"/>
          </w:tcPr>
          <w:p>
            <w:pPr>
              <w:jc w:val="left"/>
            </w:pPr>
            <w:r>
              <w:rPr>
                <w:sz w:val="18"/>
              </w:rPr>
              <w:t>经组织部（人事处）对外交流合作处审批以下人员或情况可持因私证件出访</w:t>
            </w:r>
            <w:r>
              <w:rPr>
                <w:sz w:val="18"/>
              </w:rPr>
              <w:br/>
              <w:t>1 外籍人士</w:t>
            </w:r>
            <w:r>
              <w:rPr>
                <w:sz w:val="18"/>
              </w:rPr>
              <w:br/>
              <w:t>2上级单位有明确规定须持因私护照的，如留学基金委留学项目；上级部门明文要求持因私护照的个别特殊项目持因私证件赴国（境）外执行公务的在职人员出国（境）手续需自行办理，签证所需的单位证明由院内相关部门出具</w:t>
            </w:r>
            <w:r>
              <w:rPr>
                <w:i/>
                <w:color w:val="808080"/>
                <w:sz w:val="18"/>
              </w:rPr>
              <w:br/>
              <w:t>（注：删去多处标点符号）</w:t>
            </w:r>
          </w:p>
        </w:tc>
      </w:tr>
      <w:tr>
        <w:tc>
          <w:tcPr>
            <w:tcW w:type="dxa" w:w="1247"/>
            <w:shd w:val="clear" w:color="auto" w:fill="F2F7FF"/>
            <w:vAlign w:val="top"/>
          </w:tcPr>
          <w:p>
            <w:pPr>
              <w:jc w:val="left"/>
            </w:pPr>
            <w:r>
              <w:rPr>
                <w:sz w:val="18"/>
              </w:rPr>
              <w:t>第三章 因公出国（境）管理</w:t>
            </w:r>
          </w:p>
        </w:tc>
        <w:tc>
          <w:tcPr>
            <w:tcW w:type="dxa" w:w="907"/>
            <w:shd w:val="clear" w:color="auto" w:fill="F2F7FF"/>
            <w:vAlign w:val="top"/>
          </w:tcPr>
          <w:p>
            <w:pPr>
              <w:jc w:val="left"/>
            </w:pPr>
            <w:r>
              <w:rPr>
                <w:sz w:val="18"/>
              </w:rPr>
              <w:t>第十七条</w:t>
            </w:r>
          </w:p>
        </w:tc>
        <w:tc>
          <w:tcPr>
            <w:tcW w:type="dxa" w:w="1361"/>
            <w:shd w:val="clear" w:color="auto" w:fill="F2F7FF"/>
            <w:vAlign w:val="top"/>
          </w:tcPr>
          <w:p>
            <w:pPr>
              <w:jc w:val="center"/>
            </w:pPr>
            <w:r>
              <w:rPr>
                <w:b/>
                <w:color w:val="1F497D"/>
                <w:sz w:val="18"/>
              </w:rPr>
              <w:t>修改</w:t>
            </w:r>
          </w:p>
        </w:tc>
        <w:tc>
          <w:tcPr>
            <w:tcW w:type="dxa" w:w="5102"/>
            <w:shd w:val="clear" w:color="auto" w:fill="F2F7FF"/>
            <w:vAlign w:val="top"/>
          </w:tcPr>
          <w:p>
            <w:pPr>
              <w:jc w:val="left"/>
            </w:pPr>
            <w:r>
              <w:rPr>
                <w:sz w:val="18"/>
              </w:rPr>
              <w:t>因公出国（境）人员回国后，须在3日内将因公护照交回组织部（人事处），7日内形成书面出访总结，报送对外交流合作处存档。学院出国团回国后，须在30日内由出访团团长或由团长指派人员向党委会汇报访问成果。</w:t>
            </w:r>
          </w:p>
        </w:tc>
        <w:tc>
          <w:tcPr>
            <w:tcW w:type="dxa" w:w="5102"/>
            <w:shd w:val="clear" w:color="auto" w:fill="F2F7FF"/>
            <w:vAlign w:val="top"/>
          </w:tcPr>
          <w:p>
            <w:pPr>
              <w:jc w:val="left"/>
            </w:pPr>
            <w:r>
              <w:rPr>
                <w:sz w:val="18"/>
              </w:rPr>
              <w:t>因公出国（境）人员回国后，须在3日内将因公护照交回组织部（人事处），7日内形成书面出访总结，报送对外交流合作处存档。学院出国团回国后，须在30日内由出访团团长或由团长指派人员向党委会汇报访问成果</w:t>
            </w:r>
            <w:r>
              <w:rPr>
                <w:i/>
                <w:color w:val="808080"/>
                <w:sz w:val="18"/>
              </w:rPr>
              <w:br/>
              <w:t>（注：删去句末句号）</w:t>
            </w:r>
          </w:p>
        </w:tc>
      </w:tr>
      <w:tr>
        <w:tc>
          <w:tcPr>
            <w:tcW w:type="dxa" w:w="1247"/>
            <w:shd w:val="clear" w:color="auto" w:fill="FFFFFF"/>
            <w:vAlign w:val="top"/>
          </w:tcPr>
          <w:p>
            <w:pPr>
              <w:jc w:val="left"/>
            </w:pPr>
            <w:r>
              <w:rPr>
                <w:sz w:val="18"/>
              </w:rPr>
              <w:t>第四章 学生出国（境）交流管理</w:t>
            </w:r>
          </w:p>
        </w:tc>
        <w:tc>
          <w:tcPr>
            <w:tcW w:type="dxa" w:w="907"/>
            <w:shd w:val="clear" w:color="auto" w:fill="FFFFFF"/>
            <w:vAlign w:val="top"/>
          </w:tcPr>
          <w:p>
            <w:pPr>
              <w:jc w:val="left"/>
            </w:pPr>
            <w:r>
              <w:rPr>
                <w:sz w:val="18"/>
              </w:rPr>
              <w:t>第十九条</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学生出国（境）学习交流是指学院在读学生，通过学院与境外高校、教育机构、企业等合作项目出国（境）进行留学、游学、实习、社会实践等活动。</w:t>
            </w:r>
          </w:p>
        </w:tc>
        <w:tc>
          <w:tcPr>
            <w:tcW w:type="dxa" w:w="5102"/>
            <w:shd w:val="clear" w:color="auto" w:fill="FFFFFF"/>
            <w:vAlign w:val="top"/>
          </w:tcPr>
          <w:p>
            <w:pPr>
              <w:jc w:val="left"/>
            </w:pPr>
            <w:r>
              <w:rPr>
                <w:sz w:val="18"/>
              </w:rPr>
              <w:t>学生出国（境）学习交流是指学院在读学生，通过学院与境外高校、教育机构、企业等合作项目出国（境进行留学、游学、实习、社会实践等活动。</w:t>
            </w:r>
            <w:r>
              <w:rPr>
                <w:i/>
                <w:color w:val="808080"/>
                <w:sz w:val="18"/>
              </w:rPr>
              <w:br/>
              <w:t>（注：遗漏右括号"）"）</w:t>
            </w:r>
          </w:p>
        </w:tc>
      </w:tr>
      <w:tr>
        <w:tc>
          <w:tcPr>
            <w:tcW w:type="dxa" w:w="1247"/>
            <w:shd w:val="clear" w:color="auto" w:fill="F2F7FF"/>
            <w:vAlign w:val="top"/>
          </w:tcPr>
          <w:p>
            <w:pPr>
              <w:jc w:val="left"/>
            </w:pPr>
            <w:r>
              <w:rPr>
                <w:sz w:val="18"/>
              </w:rPr>
              <w:t>第五章 学院外事活动管理</w:t>
            </w:r>
          </w:p>
        </w:tc>
        <w:tc>
          <w:tcPr>
            <w:tcW w:type="dxa" w:w="907"/>
            <w:shd w:val="clear" w:color="auto" w:fill="F2F7FF"/>
            <w:vAlign w:val="top"/>
          </w:tcPr>
          <w:p>
            <w:pPr>
              <w:jc w:val="left"/>
            </w:pPr>
            <w:r>
              <w:rPr>
                <w:sz w:val="18"/>
              </w:rPr>
              <w:t>第二十六条</w:t>
            </w:r>
          </w:p>
        </w:tc>
        <w:tc>
          <w:tcPr>
            <w:tcW w:type="dxa" w:w="1361"/>
            <w:shd w:val="clear" w:color="auto" w:fill="F2F7FF"/>
            <w:vAlign w:val="top"/>
          </w:tcPr>
          <w:p>
            <w:pPr>
              <w:jc w:val="center"/>
            </w:pPr>
            <w:r>
              <w:rPr>
                <w:b/>
                <w:color w:val="1F497D"/>
                <w:sz w:val="18"/>
              </w:rPr>
              <w:t>修改</w:t>
            </w:r>
          </w:p>
        </w:tc>
        <w:tc>
          <w:tcPr>
            <w:tcW w:type="dxa" w:w="5102"/>
            <w:shd w:val="clear" w:color="auto" w:fill="F2F7FF"/>
            <w:vAlign w:val="top"/>
          </w:tcPr>
          <w:p>
            <w:pPr>
              <w:jc w:val="left"/>
            </w:pPr>
            <w:r>
              <w:rPr>
                <w:sz w:val="18"/>
              </w:rPr>
              <w:t>学院外事活动涉及国（境）外政府、国（境）外组织官员（含驻华官员）以及外国驻华大使馆人员参加的，须至少提前1个月报对外交流合作处……</w:t>
            </w:r>
          </w:p>
        </w:tc>
        <w:tc>
          <w:tcPr>
            <w:tcW w:type="dxa" w:w="5102"/>
            <w:shd w:val="clear" w:color="auto" w:fill="F2F7FF"/>
            <w:vAlign w:val="top"/>
          </w:tcPr>
          <w:p>
            <w:pPr>
              <w:jc w:val="left"/>
            </w:pPr>
            <w:r>
              <w:rPr>
                <w:sz w:val="18"/>
              </w:rPr>
              <w:t>学院外事活动涉及国（境）外政府、国外组织官员（含驻华官员）以及外国驻华大使馆人员参加的须至少提前1个月报对外交流合作处……</w:t>
            </w:r>
            <w:r>
              <w:rPr>
                <w:i/>
                <w:color w:val="808080"/>
                <w:sz w:val="18"/>
              </w:rPr>
              <w:br/>
              <w:t>（注："国（境）外组织"改为"国外组织"；删去逗号）</w:t>
            </w:r>
          </w:p>
        </w:tc>
      </w:tr>
      <w:tr>
        <w:tc>
          <w:tcPr>
            <w:tcW w:type="dxa" w:w="1247"/>
            <w:shd w:val="clear" w:color="auto" w:fill="FFFFFF"/>
            <w:vAlign w:val="top"/>
          </w:tcPr>
          <w:p>
            <w:pPr>
              <w:jc w:val="left"/>
            </w:pPr>
            <w:r>
              <w:rPr>
                <w:sz w:val="18"/>
              </w:rPr>
              <w:t>第六章 签订国际合作协议管理</w:t>
            </w:r>
          </w:p>
        </w:tc>
        <w:tc>
          <w:tcPr>
            <w:tcW w:type="dxa" w:w="907"/>
            <w:shd w:val="clear" w:color="auto" w:fill="FFFFFF"/>
            <w:vAlign w:val="top"/>
          </w:tcPr>
          <w:p>
            <w:pPr>
              <w:jc w:val="left"/>
            </w:pPr>
            <w:r>
              <w:rPr>
                <w:sz w:val="18"/>
              </w:rPr>
              <w:t>第二十八条</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经学院外事工作领导小组商议，院长办公会和党委会审议通过后，方可签订。</w:t>
            </w:r>
          </w:p>
        </w:tc>
        <w:tc>
          <w:tcPr>
            <w:tcW w:type="dxa" w:w="5102"/>
            <w:shd w:val="clear" w:color="auto" w:fill="FFFFFF"/>
            <w:vAlign w:val="top"/>
          </w:tcPr>
          <w:p>
            <w:pPr>
              <w:jc w:val="left"/>
            </w:pPr>
            <w:r>
              <w:rPr>
                <w:sz w:val="18"/>
              </w:rPr>
              <w:t>经学院外事工作领导小组议，院长办公会和党委会审通过后，方可签订。</w:t>
            </w:r>
            <w:r>
              <w:rPr>
                <w:i/>
                <w:color w:val="808080"/>
                <w:sz w:val="18"/>
              </w:rPr>
              <w:br/>
              <w:t>（注："商议"缩为"议"，"审议"缩为"审"，疑似文字丢失）</w:t>
            </w:r>
          </w:p>
        </w:tc>
      </w:tr>
      <w:tr>
        <w:tc>
          <w:tcPr>
            <w:tcW w:type="dxa" w:w="1247"/>
            <w:shd w:val="clear" w:color="auto" w:fill="F2F7FF"/>
            <w:vAlign w:val="top"/>
          </w:tcPr>
          <w:p>
            <w:pPr>
              <w:jc w:val="left"/>
            </w:pPr>
            <w:r>
              <w:rPr>
                <w:sz w:val="18"/>
              </w:rPr>
              <w:t>第六章 签订国际合作协议管理</w:t>
            </w:r>
          </w:p>
        </w:tc>
        <w:tc>
          <w:tcPr>
            <w:tcW w:type="dxa" w:w="907"/>
            <w:shd w:val="clear" w:color="auto" w:fill="F2F7FF"/>
            <w:vAlign w:val="top"/>
          </w:tcPr>
          <w:p>
            <w:pPr>
              <w:jc w:val="left"/>
            </w:pPr>
            <w:r>
              <w:rPr>
                <w:sz w:val="18"/>
              </w:rPr>
              <w:t>第二十九条</w:t>
            </w:r>
          </w:p>
        </w:tc>
        <w:tc>
          <w:tcPr>
            <w:tcW w:type="dxa" w:w="1361"/>
            <w:shd w:val="clear" w:color="auto" w:fill="F2F7FF"/>
            <w:vAlign w:val="top"/>
          </w:tcPr>
          <w:p>
            <w:pPr>
              <w:jc w:val="center"/>
            </w:pPr>
            <w:r>
              <w:rPr>
                <w:b/>
                <w:color w:val="1F497D"/>
                <w:sz w:val="18"/>
              </w:rPr>
              <w:t>修改</w:t>
            </w:r>
          </w:p>
        </w:tc>
        <w:tc>
          <w:tcPr>
            <w:tcW w:type="dxa" w:w="5102"/>
            <w:shd w:val="clear" w:color="auto" w:fill="F2F7FF"/>
            <w:vAlign w:val="top"/>
          </w:tcPr>
          <w:p>
            <w:pPr>
              <w:jc w:val="left"/>
            </w:pPr>
            <w:r>
              <w:rPr>
                <w:sz w:val="18"/>
              </w:rPr>
              <w:t>对外交流合作处牵头加强与国外友好合作关系单位的联系与信息沟通，增进了解和友谊，更好地为学校发展服务。</w:t>
            </w:r>
          </w:p>
        </w:tc>
        <w:tc>
          <w:tcPr>
            <w:tcW w:type="dxa" w:w="5102"/>
            <w:shd w:val="clear" w:color="auto" w:fill="F2F7FF"/>
            <w:vAlign w:val="top"/>
          </w:tcPr>
          <w:p>
            <w:pPr>
              <w:jc w:val="left"/>
            </w:pPr>
            <w:r>
              <w:rPr>
                <w:sz w:val="18"/>
              </w:rPr>
              <w:t>对外交流合作处牵头加强与国外友好合作关系单位的联系与信息沟通，增进了解和友谊，更好地为发展服务。</w:t>
            </w:r>
            <w:r>
              <w:rPr>
                <w:i/>
                <w:color w:val="808080"/>
                <w:sz w:val="18"/>
              </w:rPr>
              <w:br/>
              <w:t>（注：删去"学校"二字）</w:t>
            </w:r>
          </w:p>
        </w:tc>
      </w:tr>
      <w:tr>
        <w:tc>
          <w:tcPr>
            <w:tcW w:type="dxa" w:w="1247"/>
            <w:shd w:val="clear" w:color="auto" w:fill="FFFFFF"/>
            <w:vAlign w:val="top"/>
          </w:tcPr>
          <w:p>
            <w:pPr>
              <w:jc w:val="left"/>
            </w:pPr>
            <w:r>
              <w:rPr>
                <w:sz w:val="18"/>
              </w:rPr>
              <w:t>第七章 中外合作办学项目管理</w:t>
            </w:r>
          </w:p>
        </w:tc>
        <w:tc>
          <w:tcPr>
            <w:tcW w:type="dxa" w:w="907"/>
            <w:shd w:val="clear" w:color="auto" w:fill="FFFFFF"/>
            <w:vAlign w:val="top"/>
          </w:tcPr>
          <w:p>
            <w:pPr>
              <w:jc w:val="left"/>
            </w:pPr>
            <w:r>
              <w:rPr>
                <w:sz w:val="18"/>
              </w:rPr>
              <w:t>第三十一条</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经学院外事工作领导小组商议，院长办公会和党委会审议通过后，由对外交流合作处牵头推进。</w:t>
            </w:r>
          </w:p>
        </w:tc>
        <w:tc>
          <w:tcPr>
            <w:tcW w:type="dxa" w:w="5102"/>
            <w:shd w:val="clear" w:color="auto" w:fill="FFFFFF"/>
            <w:vAlign w:val="top"/>
          </w:tcPr>
          <w:p>
            <w:pPr>
              <w:jc w:val="left"/>
            </w:pPr>
            <w:r>
              <w:rPr>
                <w:sz w:val="18"/>
              </w:rPr>
              <w:t>经学院外事工作领导小组商议院长办公会和党委会审议通过后，由对外交流合作处牵头推进</w:t>
            </w:r>
            <w:r>
              <w:rPr>
                <w:i/>
                <w:color w:val="808080"/>
                <w:sz w:val="18"/>
              </w:rPr>
              <w:br/>
              <w:t>（注：删去逗号；删去句末句号）</w:t>
            </w:r>
          </w:p>
        </w:tc>
      </w:tr>
      <w:tr>
        <w:tc>
          <w:tcPr>
            <w:tcW w:type="dxa" w:w="1247"/>
            <w:shd w:val="clear" w:color="auto" w:fill="F2F7FF"/>
            <w:vAlign w:val="top"/>
          </w:tcPr>
          <w:p>
            <w:pPr>
              <w:jc w:val="left"/>
            </w:pPr>
            <w:r>
              <w:rPr>
                <w:sz w:val="18"/>
              </w:rPr>
              <w:t>第七章 中外合作办学项目管理</w:t>
            </w:r>
          </w:p>
        </w:tc>
        <w:tc>
          <w:tcPr>
            <w:tcW w:type="dxa" w:w="907"/>
            <w:shd w:val="clear" w:color="auto" w:fill="F2F7FF"/>
            <w:vAlign w:val="top"/>
          </w:tcPr>
          <w:p>
            <w:pPr>
              <w:jc w:val="left"/>
            </w:pPr>
            <w:r>
              <w:rPr>
                <w:sz w:val="18"/>
              </w:rPr>
              <w:t>第三十四条</w:t>
            </w:r>
          </w:p>
        </w:tc>
        <w:tc>
          <w:tcPr>
            <w:tcW w:type="dxa" w:w="1361"/>
            <w:shd w:val="clear" w:color="auto" w:fill="F2F7FF"/>
            <w:vAlign w:val="top"/>
          </w:tcPr>
          <w:p>
            <w:pPr>
              <w:jc w:val="center"/>
            </w:pPr>
            <w:r>
              <w:rPr>
                <w:b/>
                <w:color w:val="1F497D"/>
                <w:sz w:val="18"/>
              </w:rPr>
              <w:t>修改</w:t>
            </w:r>
          </w:p>
        </w:tc>
        <w:tc>
          <w:tcPr>
            <w:tcW w:type="dxa" w:w="5102"/>
            <w:shd w:val="clear" w:color="auto" w:fill="F2F7FF"/>
            <w:vAlign w:val="top"/>
          </w:tcPr>
          <w:p>
            <w:pPr>
              <w:jc w:val="left"/>
            </w:pPr>
            <w:r>
              <w:rPr>
                <w:sz w:val="18"/>
              </w:rPr>
              <w:t>因教学要求提升，参与中外合作办学项目的语言类和专业类教师课时津贴可按正常课时津贴1.1倍计算。</w:t>
            </w:r>
          </w:p>
        </w:tc>
        <w:tc>
          <w:tcPr>
            <w:tcW w:type="dxa" w:w="5102"/>
            <w:shd w:val="clear" w:color="auto" w:fill="F2F7FF"/>
            <w:vAlign w:val="top"/>
          </w:tcPr>
          <w:p>
            <w:pPr>
              <w:jc w:val="left"/>
            </w:pPr>
            <w:r>
              <w:rPr>
                <w:sz w:val="18"/>
              </w:rPr>
              <w:t>因教学要求提升，参与中外合作办学项目的语言类和专业类教师课时津贴可按正常课时津贴1. 倍计算。</w:t>
            </w:r>
            <w:r>
              <w:rPr>
                <w:i/>
                <w:color w:val="808080"/>
                <w:sz w:val="18"/>
              </w:rPr>
              <w:br/>
              <w:t>（注："1.1"变为"1. "，数字丢失）</w:t>
            </w:r>
          </w:p>
        </w:tc>
      </w:tr>
      <w:tr>
        <w:tc>
          <w:tcPr>
            <w:tcW w:type="dxa" w:w="1247"/>
            <w:shd w:val="clear" w:color="auto" w:fill="FFFFFF"/>
            <w:vAlign w:val="top"/>
          </w:tcPr>
          <w:p>
            <w:pPr>
              <w:jc w:val="left"/>
            </w:pPr>
            <w:r>
              <w:rPr>
                <w:sz w:val="18"/>
              </w:rPr>
              <w:t>第八章 国际科技、学术合作交流管理</w:t>
            </w:r>
          </w:p>
        </w:tc>
        <w:tc>
          <w:tcPr>
            <w:tcW w:type="dxa" w:w="907"/>
            <w:shd w:val="clear" w:color="auto" w:fill="FFFFFF"/>
            <w:vAlign w:val="top"/>
          </w:tcPr>
          <w:p>
            <w:pPr>
              <w:jc w:val="left"/>
            </w:pPr>
            <w:r>
              <w:rPr>
                <w:sz w:val="18"/>
              </w:rPr>
              <w:t>第三十七条</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经外事工作领导小组商议，院长办公会和党委会审议通过，并按要求向上级主管部门履行报批程序后，方可立项或向外推荐。</w:t>
            </w:r>
          </w:p>
        </w:tc>
        <w:tc>
          <w:tcPr>
            <w:tcW w:type="dxa" w:w="5102"/>
            <w:shd w:val="clear" w:color="auto" w:fill="FFFFFF"/>
            <w:vAlign w:val="top"/>
          </w:tcPr>
          <w:p>
            <w:pPr>
              <w:jc w:val="left"/>
            </w:pPr>
            <w:r>
              <w:rPr>
                <w:sz w:val="18"/>
              </w:rPr>
              <w:t>经外事工作领导小组议，院长办公会和党委会审通过，并按要求向上级主管部门履行报批程序后，方可立项或向外推荐。</w:t>
            </w:r>
            <w:r>
              <w:rPr>
                <w:i/>
                <w:color w:val="808080"/>
                <w:sz w:val="18"/>
              </w:rPr>
              <w:br/>
              <w:t>（注："商议"缩为"议"，"审议"缩为"审"）</w:t>
            </w:r>
          </w:p>
        </w:tc>
      </w:tr>
      <w:tr>
        <w:tc>
          <w:tcPr>
            <w:tcW w:type="dxa" w:w="1247"/>
            <w:shd w:val="clear" w:color="auto" w:fill="F2F7FF"/>
            <w:vAlign w:val="top"/>
          </w:tcPr>
          <w:p>
            <w:pPr>
              <w:jc w:val="left"/>
            </w:pPr>
            <w:r>
              <w:rPr>
                <w:sz w:val="18"/>
              </w:rPr>
              <w:t>第九章 教师国际培训管理</w:t>
            </w:r>
          </w:p>
        </w:tc>
        <w:tc>
          <w:tcPr>
            <w:tcW w:type="dxa" w:w="907"/>
            <w:shd w:val="clear" w:color="auto" w:fill="F2F7FF"/>
            <w:vAlign w:val="top"/>
          </w:tcPr>
          <w:p>
            <w:pPr>
              <w:jc w:val="left"/>
            </w:pPr>
            <w:r>
              <w:rPr>
                <w:sz w:val="18"/>
              </w:rPr>
              <w:t>第四十一条</w:t>
            </w:r>
          </w:p>
        </w:tc>
        <w:tc>
          <w:tcPr>
            <w:tcW w:type="dxa" w:w="1361"/>
            <w:shd w:val="clear" w:color="auto" w:fill="F2F7FF"/>
            <w:vAlign w:val="top"/>
          </w:tcPr>
          <w:p>
            <w:pPr>
              <w:jc w:val="center"/>
            </w:pPr>
            <w:r>
              <w:rPr>
                <w:b/>
                <w:color w:val="1F497D"/>
                <w:sz w:val="18"/>
              </w:rPr>
              <w:t>修改</w:t>
            </w:r>
          </w:p>
        </w:tc>
        <w:tc>
          <w:tcPr>
            <w:tcW w:type="dxa" w:w="5102"/>
            <w:shd w:val="clear" w:color="auto" w:fill="F2F7FF"/>
            <w:vAlign w:val="top"/>
          </w:tcPr>
          <w:p>
            <w:pPr>
              <w:jc w:val="left"/>
            </w:pPr>
            <w:r>
              <w:rPr>
                <w:sz w:val="18"/>
              </w:rPr>
              <w:t>经外事工作领导小组商议，院长办公会和党委会审议通过，并按要求向上级主管部门履行报批程序后，方可实施。</w:t>
            </w:r>
          </w:p>
        </w:tc>
        <w:tc>
          <w:tcPr>
            <w:tcW w:type="dxa" w:w="5102"/>
            <w:shd w:val="clear" w:color="auto" w:fill="F2F7FF"/>
            <w:vAlign w:val="top"/>
          </w:tcPr>
          <w:p>
            <w:pPr>
              <w:jc w:val="left"/>
            </w:pPr>
            <w:r>
              <w:rPr>
                <w:sz w:val="18"/>
              </w:rPr>
              <w:t>经外事工作领导小组议，院长办公会和党委会通过，并按要求向上级主管部门履行报批程序后，方可实施。</w:t>
            </w:r>
            <w:r>
              <w:rPr>
                <w:i/>
                <w:color w:val="808080"/>
                <w:sz w:val="18"/>
              </w:rPr>
              <w:br/>
              <w:t>（注："商议"缩为"议"；"审议通过"缩为"通过"）</w:t>
            </w:r>
          </w:p>
        </w:tc>
      </w:tr>
      <w:tr>
        <w:tc>
          <w:tcPr>
            <w:tcW w:type="dxa" w:w="1247"/>
            <w:shd w:val="clear" w:color="auto" w:fill="FFFFFF"/>
            <w:vAlign w:val="top"/>
          </w:tcPr>
          <w:p>
            <w:pPr>
              <w:jc w:val="left"/>
            </w:pPr>
            <w:r>
              <w:rPr>
                <w:sz w:val="18"/>
              </w:rPr>
              <w:t>第十章 外籍人员聘请（用）管理</w:t>
            </w:r>
          </w:p>
        </w:tc>
        <w:tc>
          <w:tcPr>
            <w:tcW w:type="dxa" w:w="907"/>
            <w:shd w:val="clear" w:color="auto" w:fill="FFFFFF"/>
            <w:vAlign w:val="top"/>
          </w:tcPr>
          <w:p>
            <w:pPr>
              <w:jc w:val="left"/>
            </w:pPr>
            <w:r>
              <w:rPr>
                <w:sz w:val="18"/>
              </w:rPr>
              <w:t>第四十三条</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组织部（人事处）是外籍聘请（用）人员的牵头部门，负责外籍聘请（用）人员的渠道建立、聘请（用）等工作；……二级学院或相关部门按照"谁使用、谁负责"的原则，负责外籍聘请（用）人员的教学、科研和日常管理，及其使用效益评估。</w:t>
            </w:r>
          </w:p>
        </w:tc>
        <w:tc>
          <w:tcPr>
            <w:tcW w:type="dxa" w:w="5102"/>
            <w:shd w:val="clear" w:color="auto" w:fill="FFFFFF"/>
            <w:vAlign w:val="top"/>
          </w:tcPr>
          <w:p>
            <w:pPr>
              <w:jc w:val="left"/>
            </w:pPr>
            <w:r>
              <w:rPr>
                <w:sz w:val="18"/>
              </w:rPr>
              <w:t>组织部（人事处）是外籍聘请（用）人员的牵头部门，负责外籍聘请（用）人员的渠道建立、聘请（用等工作；……二级学院或相关部门按照"谁使用、谁负责 "的原则，负责外籍聘请（用）人员的教学、科研和日常管理，及其使用效益评估。</w:t>
            </w:r>
            <w:r>
              <w:rPr>
                <w:i/>
                <w:color w:val="808080"/>
                <w:sz w:val="18"/>
              </w:rPr>
              <w:br/>
              <w:t>（注：遗漏"）"；"谁负责"后多余空格）</w:t>
            </w:r>
          </w:p>
        </w:tc>
      </w:tr>
      <w:tr>
        <w:tc>
          <w:tcPr>
            <w:tcW w:type="dxa" w:w="1247"/>
            <w:shd w:val="clear" w:color="auto" w:fill="F2F7FF"/>
            <w:vAlign w:val="top"/>
          </w:tcPr>
          <w:p>
            <w:pPr>
              <w:jc w:val="left"/>
            </w:pPr>
            <w:r>
              <w:rPr>
                <w:sz w:val="18"/>
              </w:rPr>
              <w:t>第十章 外籍人员聘请（用）管理</w:t>
            </w:r>
          </w:p>
        </w:tc>
        <w:tc>
          <w:tcPr>
            <w:tcW w:type="dxa" w:w="907"/>
            <w:shd w:val="clear" w:color="auto" w:fill="F2F7FF"/>
            <w:vAlign w:val="top"/>
          </w:tcPr>
          <w:p>
            <w:pPr>
              <w:jc w:val="left"/>
            </w:pPr>
            <w:r>
              <w:rPr>
                <w:sz w:val="18"/>
              </w:rPr>
              <w:t>第四十四条</w:t>
            </w:r>
            <w:r>
              <w:rPr>
                <w:sz w:val="18"/>
              </w:rPr>
              <w:br/>
              <w:t>第3项</w:t>
            </w:r>
          </w:p>
        </w:tc>
        <w:tc>
          <w:tcPr>
            <w:tcW w:type="dxa" w:w="1361"/>
            <w:shd w:val="clear" w:color="auto" w:fill="F2F7FF"/>
            <w:vAlign w:val="top"/>
          </w:tcPr>
          <w:p>
            <w:pPr>
              <w:jc w:val="center"/>
            </w:pPr>
            <w:r>
              <w:rPr>
                <w:b/>
                <w:color w:val="1F497D"/>
                <w:sz w:val="18"/>
              </w:rPr>
              <w:t>修改</w:t>
            </w:r>
          </w:p>
        </w:tc>
        <w:tc>
          <w:tcPr>
            <w:tcW w:type="dxa" w:w="5102"/>
            <w:shd w:val="clear" w:color="auto" w:fill="F2F7FF"/>
            <w:vAlign w:val="top"/>
          </w:tcPr>
          <w:p>
            <w:pPr>
              <w:jc w:val="left"/>
            </w:pPr>
            <w:r>
              <w:rPr>
                <w:sz w:val="18"/>
              </w:rPr>
              <w:t>3.组织部（人事处）会同相关部门组织招聘，并将拟招聘外籍人员名单报外事工作领导小组商议后，由院长办公会、党委会审议。</w:t>
            </w:r>
          </w:p>
        </w:tc>
        <w:tc>
          <w:tcPr>
            <w:tcW w:type="dxa" w:w="5102"/>
            <w:shd w:val="clear" w:color="auto" w:fill="F2F7FF"/>
            <w:vAlign w:val="top"/>
          </w:tcPr>
          <w:p>
            <w:pPr>
              <w:jc w:val="left"/>
            </w:pPr>
            <w:r>
              <w:rPr>
                <w:sz w:val="18"/>
              </w:rPr>
              <w:t>3.组织部（人事处）会同相关部门组织招聘，并将拟招聘外籍人员名单报外事工作领导小组商议后，由院长办公会党委会审议。</w:t>
            </w:r>
            <w:r>
              <w:rPr>
                <w:i/>
                <w:color w:val="808080"/>
                <w:sz w:val="18"/>
              </w:rPr>
              <w:br/>
              <w:t>（注：删去顿号"、"）</w:t>
            </w:r>
          </w:p>
        </w:tc>
      </w:tr>
      <w:tr>
        <w:tc>
          <w:tcPr>
            <w:tcW w:type="dxa" w:w="1247"/>
            <w:shd w:val="clear" w:color="auto" w:fill="FFFFFF"/>
            <w:vAlign w:val="top"/>
          </w:tcPr>
          <w:p>
            <w:pPr>
              <w:jc w:val="left"/>
            </w:pPr>
            <w:r>
              <w:rPr>
                <w:sz w:val="18"/>
              </w:rPr>
              <w:t>第十一章 国（境）外援助项目管理</w:t>
            </w:r>
          </w:p>
        </w:tc>
        <w:tc>
          <w:tcPr>
            <w:tcW w:type="dxa" w:w="907"/>
            <w:shd w:val="clear" w:color="auto" w:fill="FFFFFF"/>
            <w:vAlign w:val="top"/>
          </w:tcPr>
          <w:p>
            <w:pPr>
              <w:jc w:val="left"/>
            </w:pPr>
            <w:r>
              <w:rPr>
                <w:sz w:val="18"/>
              </w:rPr>
              <w:t>第四十五条</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国（境）外援助项目指为改善学院教学、科研等办学条件，学院接受国（境）外友好捐赠或援助的资金、设备设施以及建设性项目。</w:t>
            </w:r>
          </w:p>
        </w:tc>
        <w:tc>
          <w:tcPr>
            <w:tcW w:type="dxa" w:w="5102"/>
            <w:shd w:val="clear" w:color="auto" w:fill="FFFFFF"/>
            <w:vAlign w:val="top"/>
          </w:tcPr>
          <w:p>
            <w:pPr>
              <w:jc w:val="left"/>
            </w:pPr>
            <w:r>
              <w:rPr>
                <w:sz w:val="18"/>
              </w:rPr>
              <w:t>国（境）外援助项目指为改善学院教学、科研等办学条件，学院接受国（境）外友好捐赠或援助的资金设备设施以及建设性项目。</w:t>
            </w:r>
            <w:r>
              <w:rPr>
                <w:i/>
                <w:color w:val="808080"/>
                <w:sz w:val="18"/>
              </w:rPr>
              <w:br/>
              <w:t>（注：遗漏顿号"、"）</w:t>
            </w:r>
          </w:p>
        </w:tc>
      </w:tr>
      <w:tr>
        <w:tc>
          <w:tcPr>
            <w:tcW w:type="dxa" w:w="1247"/>
            <w:shd w:val="clear" w:color="auto" w:fill="F2F7FF"/>
            <w:vAlign w:val="top"/>
          </w:tcPr>
          <w:p>
            <w:pPr>
              <w:jc w:val="left"/>
            </w:pPr>
            <w:r>
              <w:rPr>
                <w:sz w:val="18"/>
              </w:rPr>
              <w:t>第十二章 国际学生管理</w:t>
            </w:r>
          </w:p>
        </w:tc>
        <w:tc>
          <w:tcPr>
            <w:tcW w:type="dxa" w:w="907"/>
            <w:shd w:val="clear" w:color="auto" w:fill="F2F7FF"/>
            <w:vAlign w:val="top"/>
          </w:tcPr>
          <w:p>
            <w:pPr>
              <w:jc w:val="left"/>
            </w:pPr>
            <w:r>
              <w:rPr>
                <w:sz w:val="18"/>
              </w:rPr>
              <w:t>章标题</w:t>
            </w:r>
          </w:p>
        </w:tc>
        <w:tc>
          <w:tcPr>
            <w:tcW w:type="dxa" w:w="1361"/>
            <w:shd w:val="clear" w:color="auto" w:fill="F2F7FF"/>
            <w:vAlign w:val="top"/>
          </w:tcPr>
          <w:p>
            <w:pPr>
              <w:jc w:val="center"/>
            </w:pPr>
            <w:r>
              <w:rPr>
                <w:b/>
                <w:color w:val="C00000"/>
                <w:sz w:val="18"/>
              </w:rPr>
              <w:t>删除</w:t>
            </w:r>
          </w:p>
        </w:tc>
        <w:tc>
          <w:tcPr>
            <w:tcW w:type="dxa" w:w="5102"/>
            <w:shd w:val="clear" w:color="auto" w:fill="F2F7FF"/>
            <w:vAlign w:val="top"/>
          </w:tcPr>
          <w:p>
            <w:pPr>
              <w:jc w:val="left"/>
            </w:pPr>
            <w:r>
              <w:rPr>
                <w:sz w:val="18"/>
              </w:rPr>
              <w:t>第十二章 国际学生管理</w:t>
            </w:r>
          </w:p>
        </w:tc>
        <w:tc>
          <w:tcPr>
            <w:tcW w:type="dxa" w:w="5102"/>
            <w:shd w:val="clear" w:color="auto" w:fill="F2F7FF"/>
            <w:vAlign w:val="top"/>
          </w:tcPr>
          <w:p>
            <w:pPr>
              <w:jc w:val="left"/>
            </w:pPr>
            <w:r>
              <w:rPr>
                <w:color w:val="C00000"/>
                <w:sz w:val="18"/>
              </w:rPr>
              <w:t>无</w:t>
            </w:r>
            <w:r>
              <w:rPr>
                <w:i/>
                <w:color w:val="808080"/>
                <w:sz w:val="18"/>
              </w:rPr>
              <w:br/>
              <w:t>（注：修改版缺少"第十二章"章标题，直接列出第四十九条）</w:t>
            </w:r>
          </w:p>
        </w:tc>
      </w:tr>
      <w:tr>
        <w:tc>
          <w:tcPr>
            <w:tcW w:type="dxa" w:w="1247"/>
            <w:shd w:val="clear" w:color="auto" w:fill="FFFFFF"/>
            <w:vAlign w:val="top"/>
          </w:tcPr>
          <w:p>
            <w:pPr>
              <w:jc w:val="left"/>
            </w:pPr>
            <w:r>
              <w:rPr>
                <w:sz w:val="18"/>
              </w:rPr>
              <w:t>第十二章 国际学生管理</w:t>
            </w:r>
          </w:p>
        </w:tc>
        <w:tc>
          <w:tcPr>
            <w:tcW w:type="dxa" w:w="907"/>
            <w:shd w:val="clear" w:color="auto" w:fill="FFFFFF"/>
            <w:vAlign w:val="top"/>
          </w:tcPr>
          <w:p>
            <w:pPr>
              <w:jc w:val="left"/>
            </w:pPr>
            <w:r>
              <w:rPr>
                <w:sz w:val="18"/>
              </w:rPr>
              <w:t>第四十九条</w:t>
            </w:r>
          </w:p>
        </w:tc>
        <w:tc>
          <w:tcPr>
            <w:tcW w:type="dxa" w:w="1361"/>
            <w:shd w:val="clear" w:color="auto" w:fill="FFFFFF"/>
            <w:vAlign w:val="top"/>
          </w:tcPr>
          <w:p>
            <w:pPr>
              <w:jc w:val="center"/>
            </w:pPr>
            <w:r>
              <w:rPr>
                <w:b/>
                <w:color w:val="1F497D"/>
                <w:sz w:val="18"/>
              </w:rPr>
              <w:t>修改</w:t>
            </w:r>
          </w:p>
        </w:tc>
        <w:tc>
          <w:tcPr>
            <w:tcW w:type="dxa" w:w="5102"/>
            <w:shd w:val="clear" w:color="auto" w:fill="FFFFFF"/>
            <w:vAlign w:val="top"/>
          </w:tcPr>
          <w:p>
            <w:pPr>
              <w:jc w:val="left"/>
            </w:pPr>
            <w:r>
              <w:rPr>
                <w:sz w:val="18"/>
              </w:rPr>
              <w:t>国际学生主要指以长（短）期进修、访学、实习等形式来学院接受学历教育或非学历教育的各类国（境）外人员。</w:t>
            </w:r>
          </w:p>
        </w:tc>
        <w:tc>
          <w:tcPr>
            <w:tcW w:type="dxa" w:w="5102"/>
            <w:shd w:val="clear" w:color="auto" w:fill="FFFFFF"/>
            <w:vAlign w:val="top"/>
          </w:tcPr>
          <w:p>
            <w:pPr>
              <w:jc w:val="left"/>
            </w:pPr>
            <w:r>
              <w:rPr>
                <w:sz w:val="18"/>
              </w:rPr>
              <w:t>国际学生主要指以长（短）期进修、访学实习等形式来学院接受学历教育或非学历教育的各类国（境外人员。</w:t>
            </w:r>
            <w:r>
              <w:rPr>
                <w:i/>
                <w:color w:val="808080"/>
                <w:sz w:val="18"/>
              </w:rPr>
              <w:br/>
              <w:t>（注：遗漏逗号"，"；遗漏右括号"）"）</w:t>
            </w:r>
          </w:p>
        </w:tc>
      </w:tr>
      <w:tr>
        <w:tc>
          <w:tcPr>
            <w:tcW w:type="dxa" w:w="1247"/>
            <w:shd w:val="clear" w:color="auto" w:fill="F2F7FF"/>
            <w:vAlign w:val="top"/>
          </w:tcPr>
          <w:p>
            <w:pPr>
              <w:jc w:val="left"/>
            </w:pPr>
            <w:r>
              <w:rPr>
                <w:sz w:val="18"/>
              </w:rPr>
              <w:t>第十四章 附则</w:t>
            </w:r>
          </w:p>
        </w:tc>
        <w:tc>
          <w:tcPr>
            <w:tcW w:type="dxa" w:w="907"/>
            <w:shd w:val="clear" w:color="auto" w:fill="F2F7FF"/>
            <w:vAlign w:val="top"/>
          </w:tcPr>
          <w:p>
            <w:pPr>
              <w:jc w:val="left"/>
            </w:pPr>
            <w:r>
              <w:rPr>
                <w:sz w:val="18"/>
              </w:rPr>
              <w:t>第五十四条</w:t>
            </w:r>
          </w:p>
        </w:tc>
        <w:tc>
          <w:tcPr>
            <w:tcW w:type="dxa" w:w="1361"/>
            <w:shd w:val="clear" w:color="auto" w:fill="F2F7FF"/>
            <w:vAlign w:val="top"/>
          </w:tcPr>
          <w:p>
            <w:pPr>
              <w:jc w:val="center"/>
            </w:pPr>
            <w:r>
              <w:rPr>
                <w:b/>
                <w:color w:val="1F497D"/>
                <w:sz w:val="18"/>
              </w:rPr>
              <w:t>修改</w:t>
            </w:r>
          </w:p>
        </w:tc>
        <w:tc>
          <w:tcPr>
            <w:tcW w:type="dxa" w:w="5102"/>
            <w:shd w:val="clear" w:color="auto" w:fill="F2F7FF"/>
            <w:vAlign w:val="top"/>
          </w:tcPr>
          <w:p>
            <w:pPr>
              <w:jc w:val="left"/>
            </w:pPr>
            <w:r>
              <w:rPr>
                <w:sz w:val="18"/>
              </w:rPr>
              <w:t>学院港澳台事务管理工作参照本办法执行。</w:t>
            </w:r>
          </w:p>
        </w:tc>
        <w:tc>
          <w:tcPr>
            <w:tcW w:type="dxa" w:w="5102"/>
            <w:shd w:val="clear" w:color="auto" w:fill="F2F7FF"/>
            <w:vAlign w:val="top"/>
          </w:tcPr>
          <w:p>
            <w:pPr>
              <w:jc w:val="left"/>
            </w:pPr>
            <w:r>
              <w:rPr>
                <w:sz w:val="18"/>
              </w:rPr>
              <w:t>学院港澳台事务管理工作参照本办法执行</w:t>
            </w:r>
            <w:r>
              <w:rPr>
                <w:i/>
                <w:color w:val="808080"/>
                <w:sz w:val="18"/>
              </w:rPr>
              <w:br/>
              <w:t>（注：删去句末句号）</w:t>
            </w:r>
          </w:p>
        </w:tc>
      </w:tr>
    </w:tbl>
    <w:p/>
    <w:p>
      <w:pPr>
        <w:jc w:val="right"/>
      </w:pPr>
      <w:r>
        <w:rPr>
          <w:color w:val="808080"/>
          <w:sz w:val="16"/>
        </w:rPr>
        <w:t>生成时间：2026年03月25日 10:42  共 25 条差异</w:t>
      </w:r>
    </w:p>
    <w:sectPr w:rsidR="00FC693F" w:rsidRPr="0006063C" w:rsidSect="00034616">
      <w:pgSz w:w="16834" w:h="11909"/>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