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32"/>
        </w:rPr>
        <w:t>《成都工业职业技术学院外事工作管理办法》</w:t>
      </w:r>
    </w:p>
    <w:p>
      <w:pPr>
        <w:jc w:val="center"/>
      </w:pPr>
      <w:r>
        <w:rPr>
          <w:b/>
          <w:color w:val="C00000"/>
          <w:sz w:val="28"/>
        </w:rPr>
        <w:t>修订前后对照表</w:t>
      </w:r>
    </w:p>
    <w:p>
      <w:pPr>
        <w:jc w:val="left"/>
      </w:pPr>
      <w:r>
        <w:rPr>
          <w:color w:val="646464"/>
          <w:sz w:val="20"/>
        </w:rPr>
        <w:t>说明：本表对比原制度（PDF）与修改后制度（Word）的内容差异，标注修改类型及备注。</w:t>
      </w:r>
    </w:p>
    <w:p/>
    <w:tbl>
      <w:tblPr>
        <w:tblStyle w:val="TableGrid"/>
        <w:tblW w:type="auto" w:w="0"/>
        <w:tblLook w:firstColumn="1" w:firstRow="1" w:lastColumn="0" w:lastRow="0" w:noHBand="0" w:noVBand="1" w:val="04A0"/>
      </w:tblPr>
      <w:tblGrid>
        <w:gridCol w:w="2422"/>
        <w:gridCol w:w="2422"/>
        <w:gridCol w:w="2422"/>
        <w:gridCol w:w="2422"/>
        <w:gridCol w:w="2422"/>
        <w:gridCol w:w="2422"/>
      </w:tblGrid>
      <w:tr>
        <w:tc>
          <w:tcPr>
            <w:tcW w:type="dxa" w:w="1417"/>
            <w:vAlign w:val="center"/>
            <w:shd w:fill="D9E2F3"/>
          </w:tcPr>
          <w:p>
            <w:pPr>
              <w:jc w:val="center"/>
            </w:pPr>
            <w:r>
              <w:rPr>
                <w:b/>
                <w:sz w:val="20"/>
              </w:rPr>
              <w:t>章节</w:t>
            </w:r>
          </w:p>
        </w:tc>
        <w:tc>
          <w:tcPr>
            <w:tcW w:type="dxa" w:w="1020"/>
            <w:vAlign w:val="center"/>
            <w:shd w:fill="D9E2F3"/>
          </w:tcPr>
          <w:p>
            <w:pPr>
              <w:jc w:val="center"/>
            </w:pPr>
            <w:r>
              <w:rPr>
                <w:b/>
                <w:sz w:val="20"/>
              </w:rPr>
              <w:t>条款</w:t>
            </w:r>
          </w:p>
        </w:tc>
        <w:tc>
          <w:tcPr>
            <w:tcW w:type="dxa" w:w="1247"/>
            <w:vAlign w:val="center"/>
            <w:shd w:fill="D9E2F3"/>
          </w:tcPr>
          <w:p>
            <w:pPr>
              <w:jc w:val="center"/>
            </w:pPr>
            <w:r>
              <w:rPr>
                <w:b/>
                <w:sz w:val="20"/>
              </w:rPr>
              <w:t>修改类型</w:t>
            </w:r>
          </w:p>
        </w:tc>
        <w:tc>
          <w:tcPr>
            <w:tcW w:type="dxa" w:w="3685"/>
            <w:vAlign w:val="center"/>
            <w:shd w:fill="D9E2F3"/>
          </w:tcPr>
          <w:p>
            <w:pPr>
              <w:jc w:val="center"/>
            </w:pPr>
            <w:r>
              <w:rPr>
                <w:b/>
                <w:sz w:val="20"/>
              </w:rPr>
              <w:t>原制度内容</w:t>
            </w:r>
          </w:p>
        </w:tc>
        <w:tc>
          <w:tcPr>
            <w:tcW w:type="dxa" w:w="3685"/>
            <w:vAlign w:val="center"/>
            <w:shd w:fill="D9E2F3"/>
          </w:tcPr>
          <w:p>
            <w:pPr>
              <w:jc w:val="center"/>
            </w:pPr>
            <w:r>
              <w:rPr>
                <w:b/>
                <w:sz w:val="20"/>
              </w:rPr>
              <w:t>修改后内容</w:t>
            </w:r>
          </w:p>
        </w:tc>
        <w:tc>
          <w:tcPr>
            <w:tcW w:type="dxa" w:w="2551"/>
            <w:vAlign w:val="center"/>
            <w:shd w:fill="D9E2F3"/>
          </w:tcPr>
          <w:p>
            <w:pPr>
              <w:jc w:val="center"/>
            </w:pPr>
            <w:r>
              <w:rPr>
                <w:b/>
                <w:sz w:val="20"/>
              </w:rPr>
              <w:t>备注</w:t>
            </w:r>
          </w:p>
        </w:tc>
      </w:tr>
      <w:tr>
        <w:tc>
          <w:tcPr>
            <w:tcW w:type="dxa" w:w="1417"/>
            <w:vAlign w:val="top"/>
            <w:shd w:fill="F2F2F2"/>
          </w:tcPr>
          <w:p>
            <w:pPr>
              <w:jc w:val="left"/>
            </w:pPr>
            <w:r>
              <w:rPr>
                <w:sz w:val="18"/>
              </w:rPr>
              <w:t>总则</w:t>
            </w:r>
          </w:p>
        </w:tc>
        <w:tc>
          <w:tcPr>
            <w:tcW w:type="dxa" w:w="1020"/>
            <w:vAlign w:val="top"/>
            <w:shd w:fill="F2F2F2"/>
          </w:tcPr>
          <w:p>
            <w:pPr>
              <w:jc w:val="left"/>
            </w:pPr>
            <w:r>
              <w:rPr>
                <w:sz w:val="18"/>
              </w:rPr>
              <w:t>第三条</w:t>
            </w:r>
          </w:p>
        </w:tc>
        <w:tc>
          <w:tcPr>
            <w:tcW w:type="dxa" w:w="1247"/>
            <w:vAlign w:val="top"/>
            <w:shd w:fill="F2F2F2"/>
          </w:tcPr>
          <w:p>
            <w:pPr>
              <w:jc w:val="center"/>
            </w:pPr>
            <w:r>
              <w:rPr>
                <w:b/>
                <w:color w:val="000080"/>
                <w:sz w:val="18"/>
              </w:rPr>
              <w:t>文字调整</w:t>
            </w:r>
          </w:p>
        </w:tc>
        <w:tc>
          <w:tcPr>
            <w:tcW w:type="dxa" w:w="3685"/>
            <w:vAlign w:val="top"/>
            <w:shd w:fill="F2F2F2"/>
          </w:tcPr>
          <w:p>
            <w:pPr>
              <w:jc w:val="left"/>
            </w:pPr>
            <w:r>
              <w:rPr>
                <w:sz w:val="18"/>
              </w:rPr>
              <w:t>外籍人员聘请（用）管理、国（境）外援助项目管理</w:t>
            </w:r>
          </w:p>
        </w:tc>
        <w:tc>
          <w:tcPr>
            <w:tcW w:type="dxa" w:w="3685"/>
            <w:vAlign w:val="top"/>
            <w:shd w:fill="F2F2F2"/>
          </w:tcPr>
          <w:p>
            <w:pPr>
              <w:jc w:val="left"/>
            </w:pPr>
            <w:r>
              <w:rPr>
                <w:sz w:val="18"/>
              </w:rPr>
              <w:t>外籍人员聘用（请）及学院教师国际培训等工作；学生处负责国际学生辅导员的统筹调配、国际学生的思想教育和日常管理工作</w:t>
            </w:r>
          </w:p>
        </w:tc>
        <w:tc>
          <w:tcPr>
            <w:tcW w:type="dxa" w:w="2551"/>
            <w:vAlign w:val="top"/>
            <w:shd w:fill="F2F2F2"/>
          </w:tcPr>
          <w:p>
            <w:pPr>
              <w:jc w:val="left"/>
            </w:pPr>
            <w:r>
              <w:rPr>
                <w:sz w:val="18"/>
              </w:rPr>
              <w:t>原条款中的"外籍人员聘请（用）管理"和"国（境）外援助项目管理"在修改版中拆分到各职能部门职责中表述</w:t>
            </w:r>
          </w:p>
        </w:tc>
      </w:tr>
      <w:tr>
        <w:tc>
          <w:tcPr>
            <w:tcW w:type="dxa" w:w="1417"/>
            <w:vAlign w:val="top"/>
            <w:shd w:fill="FFFFFF"/>
          </w:tcPr>
          <w:p>
            <w:pPr>
              <w:jc w:val="left"/>
            </w:pPr>
            <w:r>
              <w:rPr>
                <w:sz w:val="18"/>
              </w:rPr>
              <w:t>总则</w:t>
            </w:r>
          </w:p>
        </w:tc>
        <w:tc>
          <w:tcPr>
            <w:tcW w:type="dxa" w:w="1020"/>
            <w:vAlign w:val="top"/>
            <w:shd w:fill="FFFFFF"/>
          </w:tcPr>
          <w:p>
            <w:pPr>
              <w:jc w:val="left"/>
            </w:pPr>
            <w:r>
              <w:rPr>
                <w:sz w:val="18"/>
              </w:rPr>
              <w:t>第四条</w:t>
            </w:r>
          </w:p>
        </w:tc>
        <w:tc>
          <w:tcPr>
            <w:tcW w:type="dxa" w:w="1247"/>
            <w:vAlign w:val="top"/>
            <w:shd w:fill="FFFFFF"/>
          </w:tcPr>
          <w:p>
            <w:pPr>
              <w:jc w:val="center"/>
            </w:pPr>
            <w:r>
              <w:rPr>
                <w:b/>
                <w:color w:val="008000"/>
                <w:sz w:val="18"/>
              </w:rPr>
              <w:t>新增引用</w:t>
            </w:r>
          </w:p>
        </w:tc>
        <w:tc>
          <w:tcPr>
            <w:tcW w:type="dxa" w:w="3685"/>
            <w:vAlign w:val="top"/>
            <w:shd w:fill="FFFFFF"/>
          </w:tcPr>
          <w:p>
            <w:pPr>
              <w:jc w:val="left"/>
            </w:pPr>
            <w:r>
              <w:rPr>
                <w:sz w:val="18"/>
              </w:rPr>
              <w:t>《成都市市级单位因公短期出国培训费用管理办法》</w:t>
            </w:r>
          </w:p>
        </w:tc>
        <w:tc>
          <w:tcPr>
            <w:tcW w:type="dxa" w:w="3685"/>
            <w:vAlign w:val="top"/>
            <w:shd w:fill="FFFFFF"/>
          </w:tcPr>
          <w:p>
            <w:pPr>
              <w:jc w:val="left"/>
            </w:pPr>
            <w:r>
              <w:rPr>
                <w:sz w:val="18"/>
              </w:rPr>
              <w:t>《四川省因公临时出国经费管理办法》《成都市市级单位因公短期出国培训费用管理办法》</w:t>
            </w:r>
          </w:p>
        </w:tc>
        <w:tc>
          <w:tcPr>
            <w:tcW w:type="dxa" w:w="2551"/>
            <w:vAlign w:val="top"/>
            <w:shd w:fill="FFFFFF"/>
          </w:tcPr>
          <w:p>
            <w:pPr>
              <w:jc w:val="left"/>
            </w:pPr>
            <w:r>
              <w:rPr>
                <w:sz w:val="18"/>
              </w:rPr>
              <w:t>修改版新增了《四川省因公临时出国经费管理办法》作为经费管理依据</w:t>
            </w:r>
          </w:p>
        </w:tc>
      </w:tr>
      <w:tr>
        <w:tc>
          <w:tcPr>
            <w:tcW w:type="dxa" w:w="1417"/>
            <w:vAlign w:val="top"/>
            <w:shd w:fill="F2F2F2"/>
          </w:tcPr>
          <w:p>
            <w:pPr>
              <w:jc w:val="left"/>
            </w:pPr>
            <w:r>
              <w:rPr>
                <w:sz w:val="18"/>
              </w:rPr>
              <w:t>机构与职责</w:t>
            </w:r>
          </w:p>
        </w:tc>
        <w:tc>
          <w:tcPr>
            <w:tcW w:type="dxa" w:w="1020"/>
            <w:vAlign w:val="top"/>
            <w:shd w:fill="F2F2F2"/>
          </w:tcPr>
          <w:p>
            <w:pPr>
              <w:jc w:val="left"/>
            </w:pPr>
            <w:r>
              <w:rPr>
                <w:sz w:val="18"/>
              </w:rPr>
              <w:t>第五条</w:t>
            </w:r>
          </w:p>
        </w:tc>
        <w:tc>
          <w:tcPr>
            <w:tcW w:type="dxa" w:w="1247"/>
            <w:vAlign w:val="top"/>
            <w:shd w:fill="F2F2F2"/>
          </w:tcPr>
          <w:p>
            <w:pPr>
              <w:jc w:val="center"/>
            </w:pPr>
            <w:r>
              <w:rPr>
                <w:b/>
                <w:color w:val="000080"/>
                <w:sz w:val="18"/>
              </w:rPr>
              <w:t>机构名称调整</w:t>
            </w:r>
          </w:p>
        </w:tc>
        <w:tc>
          <w:tcPr>
            <w:tcW w:type="dxa" w:w="3685"/>
            <w:vAlign w:val="top"/>
            <w:shd w:fill="F2F2F2"/>
          </w:tcPr>
          <w:p>
            <w:pPr>
              <w:jc w:val="left"/>
            </w:pPr>
            <w:r>
              <w:rPr>
                <w:sz w:val="18"/>
              </w:rPr>
              <w:t>领导小组办公室设在学院对外交流处</w:t>
            </w:r>
          </w:p>
        </w:tc>
        <w:tc>
          <w:tcPr>
            <w:tcW w:type="dxa" w:w="3685"/>
            <w:vAlign w:val="top"/>
            <w:shd w:fill="F2F2F2"/>
          </w:tcPr>
          <w:p>
            <w:pPr>
              <w:jc w:val="left"/>
            </w:pPr>
            <w:r>
              <w:rPr>
                <w:sz w:val="18"/>
              </w:rPr>
              <w:t>领导小组办公室设在学院对外交流合作处</w:t>
            </w:r>
          </w:p>
        </w:tc>
        <w:tc>
          <w:tcPr>
            <w:tcW w:type="dxa" w:w="2551"/>
            <w:vAlign w:val="top"/>
            <w:shd w:fill="F2F2F2"/>
          </w:tcPr>
          <w:p>
            <w:pPr>
              <w:jc w:val="left"/>
            </w:pPr>
            <w:r>
              <w:rPr>
                <w:sz w:val="18"/>
              </w:rPr>
              <w:t>原版称"对外交流处"，修改版统一称为"对外交流合作处"（多处统一调整）</w:t>
            </w:r>
          </w:p>
        </w:tc>
      </w:tr>
      <w:tr>
        <w:tc>
          <w:tcPr>
            <w:tcW w:type="dxa" w:w="1417"/>
            <w:vAlign w:val="top"/>
            <w:shd w:fill="FFFFFF"/>
          </w:tcPr>
          <w:p>
            <w:pPr>
              <w:jc w:val="left"/>
            </w:pPr>
            <w:r>
              <w:rPr>
                <w:sz w:val="18"/>
              </w:rPr>
              <w:t>因公出国（境）管理</w:t>
            </w:r>
          </w:p>
        </w:tc>
        <w:tc>
          <w:tcPr>
            <w:tcW w:type="dxa" w:w="1020"/>
            <w:vAlign w:val="top"/>
            <w:shd w:fill="FFFFFF"/>
          </w:tcPr>
          <w:p>
            <w:pPr>
              <w:jc w:val="left"/>
            </w:pPr>
            <w:r>
              <w:rPr>
                <w:sz w:val="18"/>
              </w:rPr>
              <w:t>第十条</w:t>
            </w:r>
          </w:p>
        </w:tc>
        <w:tc>
          <w:tcPr>
            <w:tcW w:type="dxa" w:w="1247"/>
            <w:vAlign w:val="top"/>
            <w:shd w:fill="FFFFFF"/>
          </w:tcPr>
          <w:p>
            <w:pPr>
              <w:jc w:val="center"/>
            </w:pPr>
            <w:r>
              <w:rPr>
                <w:b/>
                <w:color w:val="000080"/>
                <w:sz w:val="18"/>
              </w:rPr>
              <w:t>结构调整</w:t>
            </w:r>
          </w:p>
        </w:tc>
        <w:tc>
          <w:tcPr>
            <w:tcW w:type="dxa" w:w="3685"/>
            <w:vAlign w:val="top"/>
            <w:shd w:fill="FFFFFF"/>
          </w:tcPr>
          <w:p>
            <w:pPr>
              <w:jc w:val="left"/>
            </w:pPr>
            <w:r>
              <w:rPr>
                <w:sz w:val="18"/>
              </w:rPr>
              <w:t>1.院级领导出访按照党和国家的有关规定报批；</w:t>
              <w:br/>
              <w:t>2.各部门、二级学院处级领导干部出访，由学院外事工作领导小组商议，由院长办公会和党委会审议；</w:t>
              <w:br/>
              <w:t>3.各部门、二级学院其他人员出国（境）进行短期公务交流活动、短期学术交流、参加国际会议以及长期访学等活动，由院长办公会和党委会审议。</w:t>
            </w:r>
          </w:p>
        </w:tc>
        <w:tc>
          <w:tcPr>
            <w:tcW w:type="dxa" w:w="3685"/>
            <w:vAlign w:val="top"/>
            <w:shd w:fill="FFFFFF"/>
          </w:tcPr>
          <w:p>
            <w:pPr>
              <w:jc w:val="left"/>
            </w:pPr>
            <w:r>
              <w:rPr>
                <w:sz w:val="18"/>
              </w:rPr>
              <w:t>所有因公出国（境）活动须按规定的程序分级、分类审批</w:t>
            </w:r>
          </w:p>
        </w:tc>
        <w:tc>
          <w:tcPr>
            <w:tcW w:type="dxa" w:w="2551"/>
            <w:vAlign w:val="top"/>
            <w:shd w:fill="FFFFFF"/>
          </w:tcPr>
          <w:p>
            <w:pPr>
              <w:jc w:val="left"/>
            </w:pPr>
            <w:r>
              <w:rPr>
                <w:sz w:val="18"/>
              </w:rPr>
              <w:t>修改版将审批层级条款编号直接写入正文，不再单独列出3个子项</w:t>
            </w:r>
          </w:p>
        </w:tc>
      </w:tr>
      <w:tr>
        <w:tc>
          <w:tcPr>
            <w:tcW w:type="dxa" w:w="1417"/>
            <w:vAlign w:val="top"/>
            <w:shd w:fill="F2F2F2"/>
          </w:tcPr>
          <w:p>
            <w:pPr>
              <w:jc w:val="left"/>
            </w:pPr>
            <w:r>
              <w:rPr>
                <w:sz w:val="18"/>
              </w:rPr>
              <w:t>因公出国（境）管理</w:t>
            </w:r>
          </w:p>
        </w:tc>
        <w:tc>
          <w:tcPr>
            <w:tcW w:type="dxa" w:w="1020"/>
            <w:vAlign w:val="top"/>
            <w:shd w:fill="F2F2F2"/>
          </w:tcPr>
          <w:p>
            <w:pPr>
              <w:jc w:val="left"/>
            </w:pPr>
            <w:r>
              <w:rPr>
                <w:sz w:val="18"/>
              </w:rPr>
              <w:t>第十一条</w:t>
            </w:r>
          </w:p>
        </w:tc>
        <w:tc>
          <w:tcPr>
            <w:tcW w:type="dxa" w:w="1247"/>
            <w:vAlign w:val="top"/>
            <w:shd w:fill="F2F2F2"/>
          </w:tcPr>
          <w:p>
            <w:pPr>
              <w:jc w:val="center"/>
            </w:pPr>
            <w:r>
              <w:rPr>
                <w:b/>
                <w:color w:val="000080"/>
                <w:sz w:val="18"/>
              </w:rPr>
              <w:t>结构调整</w:t>
            </w:r>
          </w:p>
        </w:tc>
        <w:tc>
          <w:tcPr>
            <w:tcW w:type="dxa" w:w="3685"/>
            <w:vAlign w:val="top"/>
            <w:shd w:fill="F2F2F2"/>
          </w:tcPr>
          <w:p>
            <w:pPr>
              <w:jc w:val="left"/>
            </w:pPr>
            <w:r>
              <w:rPr>
                <w:sz w:val="18"/>
              </w:rPr>
              <w:t>有下列情形之一的出访项目和人员，一律不得申报和批准：</w:t>
              <w:br/>
              <w:t>1.目的不明确，项目无实质性内容的；</w:t>
              <w:br/>
              <w:t>2.出访国家、地区和机构与出访任务无直接关系的；</w:t>
              <w:br/>
              <w:t>……（共6项）</w:t>
            </w:r>
          </w:p>
        </w:tc>
        <w:tc>
          <w:tcPr>
            <w:tcW w:type="dxa" w:w="3685"/>
            <w:vAlign w:val="top"/>
            <w:shd w:fill="F2F2F2"/>
          </w:tcPr>
          <w:p>
            <w:pPr>
              <w:jc w:val="left"/>
            </w:pPr>
            <w:r>
              <w:rPr>
                <w:sz w:val="18"/>
              </w:rPr>
              <w:t>有下列情形之一的出访项目和人员，一律不得申报和批准：[条款格式变化]</w:t>
            </w:r>
          </w:p>
        </w:tc>
        <w:tc>
          <w:tcPr>
            <w:tcW w:type="dxa" w:w="2551"/>
            <w:vAlign w:val="top"/>
            <w:shd w:fill="F2F2F2"/>
          </w:tcPr>
          <w:p>
            <w:pPr>
              <w:jc w:val="left"/>
            </w:pPr>
            <w:r>
              <w:rPr>
                <w:sz w:val="18"/>
              </w:rPr>
              <w:t>原版为明确列出的6项禁止情形，修改版中条款编号方式有所调整</w:t>
            </w:r>
          </w:p>
        </w:tc>
      </w:tr>
      <w:tr>
        <w:tc>
          <w:tcPr>
            <w:tcW w:type="dxa" w:w="1417"/>
            <w:vAlign w:val="top"/>
            <w:shd w:fill="FFFFFF"/>
          </w:tcPr>
          <w:p>
            <w:pPr>
              <w:jc w:val="left"/>
            </w:pPr>
            <w:r>
              <w:rPr>
                <w:sz w:val="18"/>
              </w:rPr>
              <w:t>因公出国（境）管理</w:t>
            </w:r>
          </w:p>
        </w:tc>
        <w:tc>
          <w:tcPr>
            <w:tcW w:type="dxa" w:w="1020"/>
            <w:vAlign w:val="top"/>
            <w:shd w:fill="FFFFFF"/>
          </w:tcPr>
          <w:p>
            <w:pPr>
              <w:jc w:val="left"/>
            </w:pPr>
            <w:r>
              <w:rPr>
                <w:sz w:val="18"/>
              </w:rPr>
              <w:t>第十四条</w:t>
            </w:r>
          </w:p>
        </w:tc>
        <w:tc>
          <w:tcPr>
            <w:tcW w:type="dxa" w:w="1247"/>
            <w:vAlign w:val="top"/>
            <w:shd w:fill="FFFFFF"/>
          </w:tcPr>
          <w:p>
            <w:pPr>
              <w:jc w:val="center"/>
            </w:pPr>
            <w:r>
              <w:rPr>
                <w:b/>
                <w:color w:val="C00000"/>
                <w:sz w:val="18"/>
              </w:rPr>
              <w:t>标点遗漏</w:t>
            </w:r>
          </w:p>
        </w:tc>
        <w:tc>
          <w:tcPr>
            <w:tcW w:type="dxa" w:w="3685"/>
            <w:vAlign w:val="top"/>
            <w:shd w:fill="FFFFFF"/>
          </w:tcPr>
          <w:p>
            <w:pPr>
              <w:jc w:val="left"/>
            </w:pPr>
            <w:r>
              <w:rPr>
                <w:sz w:val="18"/>
              </w:rPr>
              <w:t>所有因公出国（境）活动均须开展行前教育，出访人员须签订安全协议书和保密责任书。</w:t>
            </w:r>
          </w:p>
        </w:tc>
        <w:tc>
          <w:tcPr>
            <w:tcW w:type="dxa" w:w="3685"/>
            <w:vAlign w:val="top"/>
            <w:shd w:fill="FFFFFF"/>
          </w:tcPr>
          <w:p>
            <w:pPr>
              <w:jc w:val="left"/>
            </w:pPr>
            <w:r>
              <w:rPr>
                <w:sz w:val="18"/>
              </w:rPr>
              <w:t>所有因公出国（境）活动均须开展行前教育出访人员须签订安全协议书和保密责任书。</w:t>
            </w:r>
          </w:p>
        </w:tc>
        <w:tc>
          <w:tcPr>
            <w:tcW w:type="dxa" w:w="2551"/>
            <w:vAlign w:val="top"/>
            <w:shd w:fill="FFFFFF"/>
          </w:tcPr>
          <w:p>
            <w:pPr>
              <w:jc w:val="left"/>
            </w:pPr>
            <w:r>
              <w:rPr>
                <w:sz w:val="18"/>
              </w:rPr>
              <w:t>修改版疑似遗漏了"，"（逗号），语句连接略显生硬</w:t>
            </w:r>
          </w:p>
        </w:tc>
      </w:tr>
      <w:tr>
        <w:tc>
          <w:tcPr>
            <w:tcW w:type="dxa" w:w="1417"/>
            <w:vAlign w:val="top"/>
            <w:shd w:fill="F2F2F2"/>
          </w:tcPr>
          <w:p>
            <w:pPr>
              <w:jc w:val="left"/>
            </w:pPr>
            <w:r>
              <w:rPr>
                <w:sz w:val="18"/>
              </w:rPr>
              <w:t>因公出国（境）管理</w:t>
            </w:r>
          </w:p>
        </w:tc>
        <w:tc>
          <w:tcPr>
            <w:tcW w:type="dxa" w:w="1020"/>
            <w:vAlign w:val="top"/>
            <w:shd w:fill="F2F2F2"/>
          </w:tcPr>
          <w:p>
            <w:pPr>
              <w:jc w:val="left"/>
            </w:pPr>
            <w:r>
              <w:rPr>
                <w:sz w:val="18"/>
              </w:rPr>
              <w:t>第十六条</w:t>
            </w:r>
          </w:p>
        </w:tc>
        <w:tc>
          <w:tcPr>
            <w:tcW w:type="dxa" w:w="1247"/>
            <w:vAlign w:val="top"/>
            <w:shd w:fill="F2F2F2"/>
          </w:tcPr>
          <w:p>
            <w:pPr>
              <w:jc w:val="center"/>
            </w:pPr>
            <w:r>
              <w:rPr>
                <w:b/>
                <w:color w:val="000080"/>
                <w:sz w:val="18"/>
              </w:rPr>
              <w:t>标点符号</w:t>
            </w:r>
          </w:p>
        </w:tc>
        <w:tc>
          <w:tcPr>
            <w:tcW w:type="dxa" w:w="3685"/>
            <w:vAlign w:val="top"/>
            <w:shd w:fill="F2F2F2"/>
          </w:tcPr>
          <w:p>
            <w:pPr>
              <w:jc w:val="left"/>
            </w:pPr>
            <w:r>
              <w:rPr>
                <w:sz w:val="18"/>
              </w:rPr>
              <w:t>经组织部（人事处）、对外交流合作处审批，以下人员或情况可持因私证件出访：</w:t>
            </w:r>
          </w:p>
        </w:tc>
        <w:tc>
          <w:tcPr>
            <w:tcW w:type="dxa" w:w="3685"/>
            <w:vAlign w:val="top"/>
            <w:shd w:fill="F2F2F2"/>
          </w:tcPr>
          <w:p>
            <w:pPr>
              <w:jc w:val="left"/>
            </w:pPr>
            <w:r>
              <w:rPr>
                <w:sz w:val="18"/>
              </w:rPr>
              <w:t>经组织部（人事处）对外交流合作处审批以下人员或情况可持因私证件出访</w:t>
            </w:r>
          </w:p>
        </w:tc>
        <w:tc>
          <w:tcPr>
            <w:tcW w:type="dxa" w:w="2551"/>
            <w:vAlign w:val="top"/>
            <w:shd w:fill="F2F2F2"/>
          </w:tcPr>
          <w:p>
            <w:pPr>
              <w:jc w:val="left"/>
            </w:pPr>
            <w:r>
              <w:rPr>
                <w:sz w:val="18"/>
              </w:rPr>
              <w:t>修改版缺少顿号"、"分隔，语句略显不通顺</w:t>
            </w:r>
          </w:p>
        </w:tc>
      </w:tr>
      <w:tr>
        <w:tc>
          <w:tcPr>
            <w:tcW w:type="dxa" w:w="1417"/>
            <w:vAlign w:val="top"/>
            <w:shd w:fill="FFFFFF"/>
          </w:tcPr>
          <w:p>
            <w:pPr>
              <w:jc w:val="left"/>
            </w:pPr>
            <w:r>
              <w:rPr>
                <w:sz w:val="18"/>
              </w:rPr>
              <w:t>学生出国（境）交流管理</w:t>
            </w:r>
          </w:p>
        </w:tc>
        <w:tc>
          <w:tcPr>
            <w:tcW w:type="dxa" w:w="1020"/>
            <w:vAlign w:val="top"/>
            <w:shd w:fill="FFFFFF"/>
          </w:tcPr>
          <w:p>
            <w:pPr>
              <w:jc w:val="left"/>
            </w:pPr>
            <w:r>
              <w:rPr>
                <w:sz w:val="18"/>
              </w:rPr>
              <w:t>第十九条</w:t>
            </w:r>
          </w:p>
        </w:tc>
        <w:tc>
          <w:tcPr>
            <w:tcW w:type="dxa" w:w="1247"/>
            <w:vAlign w:val="top"/>
            <w:shd w:fill="FFFFFF"/>
          </w:tcPr>
          <w:p>
            <w:pPr>
              <w:jc w:val="center"/>
            </w:pPr>
            <w:r>
              <w:rPr>
                <w:b/>
                <w:color w:val="C00000"/>
                <w:sz w:val="18"/>
              </w:rPr>
              <w:t>文字错误</w:t>
            </w:r>
          </w:p>
        </w:tc>
        <w:tc>
          <w:tcPr>
            <w:tcW w:type="dxa" w:w="3685"/>
            <w:vAlign w:val="top"/>
            <w:shd w:fill="FFFFFF"/>
          </w:tcPr>
          <w:p>
            <w:pPr>
              <w:jc w:val="left"/>
            </w:pPr>
            <w:r>
              <w:rPr>
                <w:sz w:val="18"/>
              </w:rPr>
              <w:t>学生出国（境）学习交流是指学院在读学生，通过学院与境外高校、教育机构、企业等合作项目出国（境）进行留学、游学、实习、社会实践等活动。</w:t>
            </w:r>
          </w:p>
        </w:tc>
        <w:tc>
          <w:tcPr>
            <w:tcW w:type="dxa" w:w="3685"/>
            <w:vAlign w:val="top"/>
            <w:shd w:fill="FFFFFF"/>
          </w:tcPr>
          <w:p>
            <w:pPr>
              <w:jc w:val="left"/>
            </w:pPr>
            <w:r>
              <w:rPr>
                <w:sz w:val="18"/>
              </w:rPr>
              <w:t>学生出国（境）学习交流是指学院在读学生，通过学院与境外高校、教育机构、企业等合作项目出国（境进行留学、游学、实习、社会实践等活动。</w:t>
            </w:r>
          </w:p>
        </w:tc>
        <w:tc>
          <w:tcPr>
            <w:tcW w:type="dxa" w:w="2551"/>
            <w:vAlign w:val="top"/>
            <w:shd w:fill="FFFFFF"/>
          </w:tcPr>
          <w:p>
            <w:pPr>
              <w:jc w:val="left"/>
            </w:pPr>
            <w:r>
              <w:rPr>
                <w:sz w:val="18"/>
              </w:rPr>
              <w:t>修改版遗漏了")"，导致括号不匹配</w:t>
            </w:r>
          </w:p>
        </w:tc>
      </w:tr>
      <w:tr>
        <w:tc>
          <w:tcPr>
            <w:tcW w:type="dxa" w:w="1417"/>
            <w:vAlign w:val="top"/>
            <w:shd w:fill="F2F2F2"/>
          </w:tcPr>
          <w:p>
            <w:pPr>
              <w:jc w:val="left"/>
            </w:pPr>
            <w:r>
              <w:rPr>
                <w:sz w:val="18"/>
              </w:rPr>
              <w:t>签订国际合作协议管理</w:t>
            </w:r>
          </w:p>
        </w:tc>
        <w:tc>
          <w:tcPr>
            <w:tcW w:type="dxa" w:w="1020"/>
            <w:vAlign w:val="top"/>
            <w:shd w:fill="F2F2F2"/>
          </w:tcPr>
          <w:p>
            <w:pPr>
              <w:jc w:val="left"/>
            </w:pPr>
            <w:r>
              <w:rPr>
                <w:sz w:val="18"/>
              </w:rPr>
              <w:t>第二十八条</w:t>
            </w:r>
          </w:p>
        </w:tc>
        <w:tc>
          <w:tcPr>
            <w:tcW w:type="dxa" w:w="1247"/>
            <w:vAlign w:val="top"/>
            <w:shd w:fill="F2F2F2"/>
          </w:tcPr>
          <w:p>
            <w:pPr>
              <w:jc w:val="center"/>
            </w:pPr>
            <w:r>
              <w:rPr>
                <w:b/>
                <w:color w:val="C00000"/>
                <w:sz w:val="18"/>
              </w:rPr>
              <w:t>文字删减</w:t>
            </w:r>
          </w:p>
        </w:tc>
        <w:tc>
          <w:tcPr>
            <w:tcW w:type="dxa" w:w="3685"/>
            <w:vAlign w:val="top"/>
            <w:shd w:fill="F2F2F2"/>
          </w:tcPr>
          <w:p>
            <w:pPr>
              <w:jc w:val="left"/>
            </w:pPr>
            <w:r>
              <w:rPr>
                <w:sz w:val="18"/>
              </w:rPr>
              <w:t>经学院外事工作领导小组商议，院长办公会和党委会审议通过后，方可签订。</w:t>
            </w:r>
          </w:p>
        </w:tc>
        <w:tc>
          <w:tcPr>
            <w:tcW w:type="dxa" w:w="3685"/>
            <w:vAlign w:val="top"/>
            <w:shd w:fill="F2F2F2"/>
          </w:tcPr>
          <w:p>
            <w:pPr>
              <w:jc w:val="left"/>
            </w:pPr>
            <w:r>
              <w:rPr>
                <w:sz w:val="18"/>
              </w:rPr>
              <w:t>经学院外事工作领导小组议，院长办公会和党委会审通过后，方可签订。</w:t>
            </w:r>
          </w:p>
        </w:tc>
        <w:tc>
          <w:tcPr>
            <w:tcW w:type="dxa" w:w="2551"/>
            <w:vAlign w:val="top"/>
            <w:shd w:fill="F2F2F2"/>
          </w:tcPr>
          <w:p>
            <w:pPr>
              <w:jc w:val="left"/>
            </w:pPr>
            <w:r>
              <w:rPr>
                <w:sz w:val="18"/>
              </w:rPr>
              <w:t>修改版疑似在排版过程中将"商议"缩略为"议"，"审议"缩略为"审"，疑似文字压缩/丢失</w:t>
            </w:r>
          </w:p>
        </w:tc>
      </w:tr>
      <w:tr>
        <w:tc>
          <w:tcPr>
            <w:tcW w:type="dxa" w:w="1417"/>
            <w:vAlign w:val="top"/>
            <w:shd w:fill="FFFFFF"/>
          </w:tcPr>
          <w:p>
            <w:pPr>
              <w:jc w:val="left"/>
            </w:pPr>
            <w:r>
              <w:rPr>
                <w:sz w:val="18"/>
              </w:rPr>
              <w:t>中外合作办学项目管理</w:t>
            </w:r>
          </w:p>
        </w:tc>
        <w:tc>
          <w:tcPr>
            <w:tcW w:type="dxa" w:w="1020"/>
            <w:vAlign w:val="top"/>
            <w:shd w:fill="FFFFFF"/>
          </w:tcPr>
          <w:p>
            <w:pPr>
              <w:jc w:val="left"/>
            </w:pPr>
            <w:r>
              <w:rPr>
                <w:sz w:val="18"/>
              </w:rPr>
              <w:t>第三十四条</w:t>
            </w:r>
          </w:p>
        </w:tc>
        <w:tc>
          <w:tcPr>
            <w:tcW w:type="dxa" w:w="1247"/>
            <w:vAlign w:val="top"/>
            <w:shd w:fill="FFFFFF"/>
          </w:tcPr>
          <w:p>
            <w:pPr>
              <w:jc w:val="center"/>
            </w:pPr>
            <w:r>
              <w:rPr>
                <w:b/>
                <w:color w:val="C00000"/>
                <w:sz w:val="18"/>
              </w:rPr>
              <w:t>数字错误</w:t>
            </w:r>
          </w:p>
        </w:tc>
        <w:tc>
          <w:tcPr>
            <w:tcW w:type="dxa" w:w="3685"/>
            <w:vAlign w:val="top"/>
            <w:shd w:fill="FFFFFF"/>
          </w:tcPr>
          <w:p>
            <w:pPr>
              <w:jc w:val="left"/>
            </w:pPr>
            <w:r>
              <w:rPr>
                <w:sz w:val="18"/>
              </w:rPr>
              <w:t>因教学要求提升，参与中外合作办学项目的语言类和专业类教师课时津贴可按正常课时津贴1.1倍计算。</w:t>
            </w:r>
          </w:p>
        </w:tc>
        <w:tc>
          <w:tcPr>
            <w:tcW w:type="dxa" w:w="3685"/>
            <w:vAlign w:val="top"/>
            <w:shd w:fill="FFFFFF"/>
          </w:tcPr>
          <w:p>
            <w:pPr>
              <w:jc w:val="left"/>
            </w:pPr>
            <w:r>
              <w:rPr>
                <w:sz w:val="18"/>
              </w:rPr>
              <w:t>因教学要求提升，参与中外合作办学项目的语言类和专业类教师课时津贴可按正常课时津贴1. 倍计算。</w:t>
            </w:r>
          </w:p>
        </w:tc>
        <w:tc>
          <w:tcPr>
            <w:tcW w:type="dxa" w:w="2551"/>
            <w:vAlign w:val="top"/>
            <w:shd w:fill="FFFFFF"/>
          </w:tcPr>
          <w:p>
            <w:pPr>
              <w:jc w:val="left"/>
            </w:pPr>
            <w:r>
              <w:rPr>
                <w:sz w:val="18"/>
              </w:rPr>
              <w:t>修改版"1.1"变成了"1. "，小数点后数字丢失</w:t>
            </w:r>
          </w:p>
        </w:tc>
      </w:tr>
      <w:tr>
        <w:tc>
          <w:tcPr>
            <w:tcW w:type="dxa" w:w="1417"/>
            <w:vAlign w:val="top"/>
            <w:shd w:fill="F2F2F2"/>
          </w:tcPr>
          <w:p>
            <w:pPr>
              <w:jc w:val="left"/>
            </w:pPr>
            <w:r>
              <w:rPr>
                <w:sz w:val="18"/>
              </w:rPr>
              <w:t>国（境）外援助项目管理</w:t>
            </w:r>
          </w:p>
        </w:tc>
        <w:tc>
          <w:tcPr>
            <w:tcW w:type="dxa" w:w="1020"/>
            <w:vAlign w:val="top"/>
            <w:shd w:fill="F2F2F2"/>
          </w:tcPr>
          <w:p>
            <w:pPr>
              <w:jc w:val="left"/>
            </w:pPr>
            <w:r>
              <w:rPr>
                <w:sz w:val="18"/>
              </w:rPr>
              <w:t>第四十五条</w:t>
            </w:r>
          </w:p>
        </w:tc>
        <w:tc>
          <w:tcPr>
            <w:tcW w:type="dxa" w:w="1247"/>
            <w:vAlign w:val="top"/>
            <w:shd w:fill="F2F2F2"/>
          </w:tcPr>
          <w:p>
            <w:pPr>
              <w:jc w:val="center"/>
            </w:pPr>
            <w:r>
              <w:rPr>
                <w:b/>
                <w:color w:val="C00000"/>
                <w:sz w:val="18"/>
              </w:rPr>
              <w:t>文字遗漏</w:t>
            </w:r>
          </w:p>
        </w:tc>
        <w:tc>
          <w:tcPr>
            <w:tcW w:type="dxa" w:w="3685"/>
            <w:vAlign w:val="top"/>
            <w:shd w:fill="F2F2F2"/>
          </w:tcPr>
          <w:p>
            <w:pPr>
              <w:jc w:val="left"/>
            </w:pPr>
            <w:r>
              <w:rPr>
                <w:sz w:val="18"/>
              </w:rPr>
              <w:t>国（境）外援助项目指为改善学院教学、科研等办学条件，学院接受国（境）外友好捐赠或援助的资金、设备设施以及建设性项目。</w:t>
            </w:r>
          </w:p>
        </w:tc>
        <w:tc>
          <w:tcPr>
            <w:tcW w:type="dxa" w:w="3685"/>
            <w:vAlign w:val="top"/>
            <w:shd w:fill="F2F2F2"/>
          </w:tcPr>
          <w:p>
            <w:pPr>
              <w:jc w:val="left"/>
            </w:pPr>
            <w:r>
              <w:rPr>
                <w:sz w:val="18"/>
              </w:rPr>
              <w:t>国（境）外援助项目指为改善学院教学、科研等办学条件，学院接受国（境）外友好捐赠或援助的资金设备设施以及建设性项目。</w:t>
            </w:r>
          </w:p>
        </w:tc>
        <w:tc>
          <w:tcPr>
            <w:tcW w:type="dxa" w:w="2551"/>
            <w:vAlign w:val="top"/>
            <w:shd w:fill="F2F2F2"/>
          </w:tcPr>
          <w:p>
            <w:pPr>
              <w:jc w:val="left"/>
            </w:pPr>
            <w:r>
              <w:rPr>
                <w:sz w:val="18"/>
              </w:rPr>
              <w:t>修改版遗漏了"、"（顿号），"资金、设备设施"变成"资金设备设施"</w:t>
            </w:r>
          </w:p>
        </w:tc>
      </w:tr>
      <w:tr>
        <w:tc>
          <w:tcPr>
            <w:tcW w:type="dxa" w:w="1417"/>
            <w:vAlign w:val="top"/>
            <w:shd w:fill="FFFFFF"/>
          </w:tcPr>
          <w:p>
            <w:pPr>
              <w:jc w:val="left"/>
            </w:pPr>
            <w:r>
              <w:rPr>
                <w:sz w:val="18"/>
              </w:rPr>
              <w:t>外籍人员聘请（用）管理</w:t>
            </w:r>
          </w:p>
        </w:tc>
        <w:tc>
          <w:tcPr>
            <w:tcW w:type="dxa" w:w="1020"/>
            <w:vAlign w:val="top"/>
            <w:shd w:fill="FFFFFF"/>
          </w:tcPr>
          <w:p>
            <w:pPr>
              <w:jc w:val="left"/>
            </w:pPr>
            <w:r>
              <w:rPr>
                <w:sz w:val="18"/>
              </w:rPr>
              <w:t>第四十三条</w:t>
            </w:r>
          </w:p>
        </w:tc>
        <w:tc>
          <w:tcPr>
            <w:tcW w:type="dxa" w:w="1247"/>
            <w:vAlign w:val="top"/>
            <w:shd w:fill="FFFFFF"/>
          </w:tcPr>
          <w:p>
            <w:pPr>
              <w:jc w:val="center"/>
            </w:pPr>
            <w:r>
              <w:rPr>
                <w:b/>
                <w:color w:val="000080"/>
                <w:sz w:val="18"/>
              </w:rPr>
              <w:t>标点/文字问题</w:t>
            </w:r>
          </w:p>
        </w:tc>
        <w:tc>
          <w:tcPr>
            <w:tcW w:type="dxa" w:w="3685"/>
            <w:vAlign w:val="top"/>
            <w:shd w:fill="FFFFFF"/>
          </w:tcPr>
          <w:p>
            <w:pPr>
              <w:jc w:val="left"/>
            </w:pPr>
            <w:r>
              <w:rPr>
                <w:sz w:val="18"/>
              </w:rPr>
              <w:t>组织部（人事处）是外籍聘请（用）人员的牵头部门，负责外籍聘请（用）人员的渠道建立、聘请（用）等工作……</w:t>
            </w:r>
          </w:p>
        </w:tc>
        <w:tc>
          <w:tcPr>
            <w:tcW w:type="dxa" w:w="3685"/>
            <w:vAlign w:val="top"/>
            <w:shd w:fill="FFFFFF"/>
          </w:tcPr>
          <w:p>
            <w:pPr>
              <w:jc w:val="left"/>
            </w:pPr>
            <w:r>
              <w:rPr>
                <w:sz w:val="18"/>
              </w:rPr>
              <w:t>组织部（人事处）是外籍聘请（用）人员的牵头部门，负责外籍聘请（用）人员的渠道建立、聘请（用等工作……</w:t>
            </w:r>
          </w:p>
        </w:tc>
        <w:tc>
          <w:tcPr>
            <w:tcW w:type="dxa" w:w="2551"/>
            <w:vAlign w:val="top"/>
            <w:shd w:fill="FFFFFF"/>
          </w:tcPr>
          <w:p>
            <w:pPr>
              <w:jc w:val="left"/>
            </w:pPr>
            <w:r>
              <w:rPr>
                <w:sz w:val="18"/>
              </w:rPr>
              <w:t>修改版"聘请（用）等工作"少了"等"字后的停顿；"谁使用、谁负责"后多了空格</w:t>
            </w:r>
          </w:p>
        </w:tc>
      </w:tr>
      <w:tr>
        <w:tc>
          <w:tcPr>
            <w:tcW w:type="dxa" w:w="1417"/>
            <w:vAlign w:val="top"/>
            <w:shd w:fill="F2F2F2"/>
          </w:tcPr>
          <w:p>
            <w:pPr>
              <w:jc w:val="left"/>
            </w:pPr>
            <w:r>
              <w:rPr>
                <w:sz w:val="18"/>
              </w:rPr>
              <w:t>国际学生管理</w:t>
            </w:r>
          </w:p>
        </w:tc>
        <w:tc>
          <w:tcPr>
            <w:tcW w:type="dxa" w:w="1020"/>
            <w:vAlign w:val="top"/>
            <w:shd w:fill="F2F2F2"/>
          </w:tcPr>
          <w:p>
            <w:pPr>
              <w:jc w:val="left"/>
            </w:pPr>
            <w:r>
              <w:rPr>
                <w:sz w:val="18"/>
              </w:rPr>
              <w:t>第四十九条</w:t>
            </w:r>
          </w:p>
        </w:tc>
        <w:tc>
          <w:tcPr>
            <w:tcW w:type="dxa" w:w="1247"/>
            <w:vAlign w:val="top"/>
            <w:shd w:fill="F2F2F2"/>
          </w:tcPr>
          <w:p>
            <w:pPr>
              <w:jc w:val="center"/>
            </w:pPr>
            <w:r>
              <w:rPr>
                <w:b/>
                <w:color w:val="C00000"/>
                <w:sz w:val="18"/>
              </w:rPr>
              <w:t>文字错误</w:t>
            </w:r>
          </w:p>
        </w:tc>
        <w:tc>
          <w:tcPr>
            <w:tcW w:type="dxa" w:w="3685"/>
            <w:vAlign w:val="top"/>
            <w:shd w:fill="F2F2F2"/>
          </w:tcPr>
          <w:p>
            <w:pPr>
              <w:jc w:val="left"/>
            </w:pPr>
            <w:r>
              <w:rPr>
                <w:sz w:val="18"/>
              </w:rPr>
              <w:t>国际学生主要指以长（短）期进修、访学、实习等形式来学院接受学历教育或非学历教育的各类国（境）外人员。</w:t>
            </w:r>
          </w:p>
        </w:tc>
        <w:tc>
          <w:tcPr>
            <w:tcW w:type="dxa" w:w="3685"/>
            <w:vAlign w:val="top"/>
            <w:shd w:fill="F2F2F2"/>
          </w:tcPr>
          <w:p>
            <w:pPr>
              <w:jc w:val="left"/>
            </w:pPr>
            <w:r>
              <w:rPr>
                <w:sz w:val="18"/>
              </w:rPr>
              <w:t>国际学生主要指以长（短）期进修、访学实习等形式来学院接受学历教育或非学历教育的各类国（境外人员。</w:t>
            </w:r>
          </w:p>
        </w:tc>
        <w:tc>
          <w:tcPr>
            <w:tcW w:type="dxa" w:w="2551"/>
            <w:vAlign w:val="top"/>
            <w:shd w:fill="F2F2F2"/>
          </w:tcPr>
          <w:p>
            <w:pPr>
              <w:jc w:val="left"/>
            </w:pPr>
            <w:r>
              <w:rPr>
                <w:sz w:val="18"/>
              </w:rPr>
              <w:t>1. 修改版遗漏了"，"（逗号）；2. "国（境）外"少了")"括号不匹配</w:t>
            </w:r>
          </w:p>
        </w:tc>
      </w:tr>
      <w:tr>
        <w:tc>
          <w:tcPr>
            <w:tcW w:type="dxa" w:w="1417"/>
            <w:vAlign w:val="top"/>
            <w:shd w:fill="FFFFFF"/>
          </w:tcPr>
          <w:p>
            <w:pPr>
              <w:jc w:val="left"/>
            </w:pPr>
            <w:r>
              <w:rPr>
                <w:sz w:val="18"/>
              </w:rPr>
              <w:t>整体结构</w:t>
            </w:r>
          </w:p>
        </w:tc>
        <w:tc>
          <w:tcPr>
            <w:tcW w:type="dxa" w:w="1020"/>
            <w:vAlign w:val="top"/>
            <w:shd w:fill="FFFFFF"/>
          </w:tcPr>
          <w:p>
            <w:pPr>
              <w:jc w:val="left"/>
            </w:pPr>
            <w:r>
              <w:rPr>
                <w:sz w:val="18"/>
              </w:rPr>
              <w:t>多处</w:t>
            </w:r>
          </w:p>
        </w:tc>
        <w:tc>
          <w:tcPr>
            <w:tcW w:type="dxa" w:w="1247"/>
            <w:vAlign w:val="top"/>
            <w:shd w:fill="FFFFFF"/>
          </w:tcPr>
          <w:p>
            <w:pPr>
              <w:jc w:val="center"/>
            </w:pPr>
            <w:r>
              <w:rPr>
                <w:b/>
                <w:color w:val="000080"/>
                <w:sz w:val="18"/>
              </w:rPr>
              <w:t>格式调整</w:t>
            </w:r>
          </w:p>
        </w:tc>
        <w:tc>
          <w:tcPr>
            <w:tcW w:type="dxa" w:w="3685"/>
            <w:vAlign w:val="top"/>
            <w:shd w:fill="FFFFFF"/>
          </w:tcPr>
          <w:p>
            <w:pPr>
              <w:jc w:val="left"/>
            </w:pPr>
            <w:r>
              <w:rPr>
                <w:sz w:val="18"/>
              </w:rPr>
              <w:t>各条款以"第X条"格式编号，层级分明</w:t>
            </w:r>
          </w:p>
        </w:tc>
        <w:tc>
          <w:tcPr>
            <w:tcW w:type="dxa" w:w="3685"/>
            <w:vAlign w:val="top"/>
            <w:shd w:fill="FFFFFF"/>
          </w:tcPr>
          <w:p>
            <w:pPr>
              <w:jc w:val="left"/>
            </w:pPr>
            <w:r>
              <w:rPr>
                <w:sz w:val="18"/>
              </w:rPr>
              <w:t>部分条款编号方式改变，有些直接嵌入正文</w:t>
            </w:r>
          </w:p>
        </w:tc>
        <w:tc>
          <w:tcPr>
            <w:tcW w:type="dxa" w:w="2551"/>
            <w:vAlign w:val="top"/>
            <w:shd w:fill="FFFFFF"/>
          </w:tcPr>
          <w:p>
            <w:pPr>
              <w:jc w:val="left"/>
            </w:pPr>
            <w:r>
              <w:rPr>
                <w:sz w:val="18"/>
              </w:rPr>
              <w:t>修改版在部分条款的呈现方式上有所调整，部分编号直接标注在正文中</w:t>
            </w:r>
          </w:p>
        </w:tc>
      </w:tr>
    </w:tbl>
    <w:p/>
    <w:p>
      <w:pPr>
        <w:jc w:val="left"/>
      </w:pPr>
      <w:r>
        <w:rPr>
          <w:color w:val="808080"/>
          <w:sz w:val="18"/>
        </w:rPr>
        <w:t>生成时间：2026年03月25日 10:39  |  共发现 14 处差异</w:t>
      </w:r>
    </w:p>
    <w:sectPr w:rsidR="00FC693F" w:rsidRPr="0006063C" w:rsidSect="00034616">
      <w:pgSz w:w="16834" w:h="11909"/>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