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宋体" w:hAnsi="宋体" w:eastAsia="宋体"/>
          <w:b/>
          <w:sz w:val="32"/>
        </w:rPr>
        <w:t>摘  要</w:t>
      </w:r>
    </w:p>
    <w:p/>
    <w:p>
      <w:pPr>
        <w:spacing w:before="0" w:after="0"/>
        <w:ind w:firstLine="480" w:firstLineChars="200"/>
        <w:jc w:val="both"/>
      </w:pPr>
      <w:r>
        <w:rPr>
          <w:rFonts w:ascii="Times New Roman" w:hAnsi="Times New Roman" w:eastAsia="宋体"/>
          <w:b w:val="0"/>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spacing w:before="0" w:after="0"/>
        <w:ind w:firstLine="480" w:firstLineChars="200"/>
        <w:jc w:val="both"/>
      </w:pPr>
      <w:r>
        <w:rPr>
          <w:rFonts w:ascii="Times New Roman" w:hAnsi="Times New Roman" w:eastAsia="宋体"/>
          <w:b w:val="0"/>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Times New Roman" w:hAnsi="Times New Roman" w:eastAsia="宋体"/>
          <w:b w:val="0"/>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pPr>
        <w:sectPr>
          <w:footerReference w:type="default" r:id="rId9"/>
          <w:pgSz w:w="11906" w:h="16838"/>
          <w:pgMar w:top="1134" w:right="1134" w:bottom="1134" w:left="1417" w:header="794" w:footer="737" w:gutter="283"/>
          <w:cols w:space="720"/>
          <w:docGrid w:linePitch="360"/>
          <w:pgNumType w:start="1" w:fmt="lowerRoman"/>
        </w:sectPr>
      </w:pPr>
    </w:p>
    <w:p>
      <w:pPr>
        <w:spacing w:before="240" w:after="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pPr>
        <w:tabs>
          <w:tab w:val="right" w:leader="dot" w:pos="9072"/>
        </w:tabs>
      </w:pPr>
      <w:hyperlink w:anchor="_Section_References" w:history="1">
        <w:r>
          <w:rPr>
            <w:rStyle w:val="Hyperlink"/>
            <w:rFonts w:ascii="Times New Roman" w:eastAsia="宋体" w:hAnsi="Times New Roman"/>
            <w:sz w:val="21"/>
            <w:color w:val="000000"/>
          </w:rPr>
          <w:t>参考文献</w:t>
        </w:r>
      </w:hyperlink>
      <w:r>
        <w:tab/>
      </w:r>
      <w:r>
        <w:rPr>
          <w:rFonts w:ascii="Times New Roman" w:hAnsi="Times New Roman"/>
          <w:sz w:val="21"/>
        </w:rPr>
        <w:fldChar w:fldCharType="begin"/>
        <w:instrText xml:space="preserve">PAGEREF _Section_References \h</w:instrText>
        <w:fldChar w:fldCharType="end"/>
      </w:r>
    </w:p>
    <w:p>
      <w:pPr>
        <w:tabs>
          <w:tab w:val="right" w:leader="dot" w:pos="9072"/>
        </w:tabs>
      </w:pPr>
      <w:hyperlink w:anchor="_Section_Acknowledgements" w:history="1">
        <w:r>
          <w:rPr>
            <w:rStyle w:val="Hyperlink"/>
            <w:rFonts w:ascii="Times New Roman" w:eastAsia="宋体" w:hAnsi="Times New Roman"/>
            <w:sz w:val="21"/>
            <w:color w:val="000000"/>
          </w:rPr>
          <w:t>致  谢</w:t>
        </w:r>
      </w:hyperlink>
      <w:r>
        <w:tab/>
      </w:r>
      <w:r>
        <w:rPr>
          <w:rFonts w:ascii="Times New Roman" w:hAnsi="Times New Roman"/>
          <w:sz w:val="21"/>
        </w:rPr>
        <w:fldChar w:fldCharType="begin"/>
        <w:instrText xml:space="preserve">PAGEREF _Section_Acknowledgements \h</w:instrText>
        <w:fldChar w:fldCharType="end"/>
      </w:r>
    </w:p>
    <w:p>
      <w:pPr>
        <w:tabs>
          <w:tab w:val="right" w:leader="dot" w:pos="9072"/>
        </w:tabs>
      </w:pPr>
      <w:hyperlink w:anchor="_Section_Appendix" w:history="1">
        <w:r>
          <w:rPr>
            <w:rStyle w:val="Hyperlink"/>
            <w:rFonts w:ascii="Times New Roman" w:eastAsia="宋体" w:hAnsi="Times New Roman"/>
            <w:sz w:val="21"/>
            <w:color w:val="000000"/>
          </w:rPr>
          <w:t>附  录</w:t>
        </w:r>
      </w:hyperlink>
      <w:r>
        <w:tab/>
      </w:r>
      <w:r>
        <w:rPr>
          <w:rFonts w:ascii="Times New Roman" w:hAnsi="Times New Roman"/>
          <w:sz w:val="21"/>
        </w:rPr>
        <w:fldChar w:fldCharType="begin"/>
        <w:instrText xml:space="preserve">PAGEREF _Section_Appendix \h</w:instrText>
        <w:fldChar w:fldCharType="end"/>
      </w:r>
    </w:p>
    <w:p>
      <w:pPr>
        <w:sectPr>
          <w:footerReference w:type="default" r:id="rId10"/>
          <w:pgSz w:w="11906" w:h="16838"/>
          <w:pgMar w:top="1134" w:right="1134" w:bottom="1134" w:left="1417" w:header="794" w:footer="737" w:gutter="283"/>
          <w:cols w:space="720"/>
          <w:docGrid w:linePitch="360"/>
          <w:pgNumType w:start="1" w:fmt="lowerRoman"/>
        </w:sectPr>
      </w:pP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before="0" w:after="0" w:line="360" w:lineRule="auto"/>
        <w:ind w:firstLine="480" w:firstLineChars="20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 根据《经济日报》的报道，智能制造正让越来越多的工厂拥有“大脑”，在生产组织和供应链协同中形成可复制的AI范式</w:t>
      </w:r>
      <w:bookmarkStart w:id="2" w:name="_Citation_1"/>
      <w:hyperlink w:anchor="_Reference_1" w:history="1">
        <w:r>
          <w:rPr>
            <w:rFonts w:ascii="Times New Roman" w:hAnsi="Times New Roman" w:eastAsia="宋体"/>
            <w:sz w:val="24"/>
            <w:color w:val="000000"/>
          </w:rPr>
          <w:t>[1]</w:t>
        </w:r>
      </w:hyperlink>
      <w:bookmarkEnd w:id="2"/>
      <w:r>
        <w:rPr>
          <w:rFonts w:ascii="Times New Roman" w:hAnsi="Times New Roman" w:eastAsia="宋体"/>
          <w:b w:val="0"/>
          <w:sz w:val="24"/>
        </w:rPr>
        <w:t>。“六小龙乌镇对话”中企业家围绕人工智能治理展开的探讨亦表明，产业界正积极探索AI与实体经济的协同路径</w:t>
      </w:r>
      <w:bookmarkStart w:id="3" w:name="_Citation_2"/>
      <w:hyperlink w:anchor="_Reference_2" w:history="1">
        <w:r>
          <w:rPr>
            <w:rFonts w:ascii="Times New Roman" w:hAnsi="Times New Roman" w:eastAsia="宋体"/>
            <w:sz w:val="24"/>
            <w:color w:val="000000"/>
          </w:rPr>
          <w:t>[2]</w:t>
        </w:r>
      </w:hyperlink>
      <w:bookmarkEnd w:id="3"/>
      <w:r>
        <w:rPr>
          <w:rFonts w:ascii="Times New Roman" w:hAnsi="Times New Roman" w:eastAsia="宋体"/>
          <w:b w:val="0"/>
          <w:sz w:val="24"/>
        </w:rPr>
        <w:t>。</w:t>
      </w:r>
    </w:p>
    <w:p>
      <w:bookmarkStart w:id="4" w:name="_Heading_1_1"/>
      <w:pPr>
        <w:jc w:val="left"/>
      </w:pPr>
      <w:r>
        <w:rPr>
          <w:rFonts w:ascii="Times New Roman" w:hAnsi="Times New Roman"/>
          <w:b/>
          <w:sz w:val="28"/>
        </w:rPr>
        <w:t xml:space="preserve">1.1 </w:t>
      </w:r>
      <w:r>
        <w:rPr>
          <w:rFonts w:ascii="宋体" w:hAnsi="宋体" w:eastAsia="宋体"/>
          <w:b/>
          <w:sz w:val="28"/>
        </w:rPr>
        <w:t>研究背景与意义</w:t>
      </w:r>
      <w:bookmarkEnd w:id="4"/>
    </w:p>
    <w:p>
      <w:pPr>
        <w:spacing w:before="0" w:after="0" w:line="360" w:lineRule="auto"/>
        <w:ind w:firstLine="480" w:firstLineChars="20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5" w:name="_Heading_1_1_1"/>
      <w:pPr>
        <w:jc w:val="left"/>
      </w:pPr>
      <w:r>
        <w:rPr>
          <w:rFonts w:ascii="Times New Roman" w:hAnsi="Times New Roman"/>
          <w:b/>
          <w:sz w:val="24"/>
        </w:rPr>
        <w:t xml:space="preserve">1.1.1 </w:t>
      </w:r>
      <w:r>
        <w:rPr>
          <w:rFonts w:ascii="宋体" w:hAnsi="宋体" w:eastAsia="宋体"/>
          <w:b/>
          <w:sz w:val="24"/>
        </w:rPr>
        <w:t>理论意义</w:t>
      </w:r>
      <w:bookmarkEnd w:id="5"/>
    </w:p>
    <w:p>
      <w:pPr>
        <w:spacing w:before="0" w:after="0" w:line="360" w:lineRule="auto"/>
        <w:ind w:firstLine="480" w:firstLineChars="20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6" w:name="_Heading_1_1_2"/>
      <w:pPr>
        <w:jc w:val="left"/>
      </w:pPr>
      <w:r>
        <w:rPr>
          <w:rFonts w:ascii="Times New Roman" w:hAnsi="Times New Roman"/>
          <w:b/>
          <w:sz w:val="24"/>
        </w:rPr>
        <w:t xml:space="preserve">1.1.2 </w:t>
      </w:r>
      <w:r>
        <w:rPr>
          <w:rFonts w:ascii="宋体" w:hAnsi="宋体" w:eastAsia="宋体"/>
          <w:b/>
          <w:sz w:val="24"/>
        </w:rPr>
        <w:t>应用价值</w:t>
      </w:r>
      <w:bookmarkEnd w:id="6"/>
    </w:p>
    <w:p>
      <w:pPr>
        <w:spacing w:before="0" w:after="0" w:line="360" w:lineRule="auto"/>
        <w:ind w:firstLine="480" w:firstLineChars="20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 上海证券报指出，在数字经济、AI等六大领域打造示范应用场景已成为政策重点，这进一步印证了图像识别技术的产业价值</w:t>
      </w:r>
      <w:bookmarkStart w:id="7" w:name="_Citation_3"/>
      <w:hyperlink w:anchor="_Reference_3" w:history="1">
        <w:r>
          <w:rPr>
            <w:rFonts w:ascii="Times New Roman" w:hAnsi="Times New Roman" w:eastAsia="宋体"/>
            <w:sz w:val="24"/>
            <w:color w:val="000000"/>
          </w:rPr>
          <w:t>[3]</w:t>
        </w:r>
      </w:hyperlink>
      <w:bookmarkEnd w:id="7"/>
      <w:r>
        <w:rPr>
          <w:rFonts w:ascii="Times New Roman" w:hAnsi="Times New Roman" w:eastAsia="宋体"/>
          <w:b w:val="0"/>
          <w:sz w:val="24"/>
        </w:rPr>
        <w:t>。</w:t>
      </w:r>
    </w:p>
    <w:p>
      <w:bookmarkStart w:id="8" w:name="_Heading_1_2"/>
      <w:pPr>
        <w:jc w:val="left"/>
      </w:pPr>
      <w:r>
        <w:rPr>
          <w:rFonts w:ascii="Times New Roman" w:hAnsi="Times New Roman"/>
          <w:b/>
          <w:sz w:val="28"/>
        </w:rPr>
        <w:t xml:space="preserve">1.2 </w:t>
      </w:r>
      <w:r>
        <w:rPr>
          <w:rFonts w:ascii="宋体" w:hAnsi="宋体" w:eastAsia="宋体"/>
          <w:b/>
          <w:sz w:val="28"/>
        </w:rPr>
        <w:t>国内外研究现状</w:t>
      </w:r>
      <w:bookmarkEnd w:id="8"/>
    </w:p>
    <w:p>
      <w:pPr>
        <w:spacing w:before="0" w:after="0" w:line="360" w:lineRule="auto"/>
        <w:ind w:firstLine="480" w:firstLineChars="20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w:t>
      </w:r>
      <w:r>
        <w:rPr>
          <w:rFonts w:ascii="宋体" w:hAnsi="宋体" w:eastAsia="宋体"/>
          <w:sz w:val="21"/>
        </w:rPr>
        <w:t>1</w:t>
      </w:r>
      <w:r>
        <w:rPr>
          <w:rFonts w:ascii="宋体" w:hAnsi="宋体" w:eastAsia="宋体"/>
          <w:sz w:val="21"/>
        </w:rPr>
        <w:t>-</w:t>
      </w:r>
      <w:r>
        <w:rPr>
          <w:rFonts w:ascii="宋体" w:hAnsi="宋体" w:eastAsia="宋体"/>
          <w:sz w:val="21"/>
        </w:rPr>
        <w:fldChar w:fldCharType="begin"/>
        <w:instrText xml:space="preserve"> SEQ Table_1 \* ARABIC </w:instrText>
        <w:fldChar w:fldCharType="end"/>
      </w:r>
      <w:r>
        <w:rPr>
          <w:rFonts w:ascii="宋体" w:hAnsi="宋体" w:eastAsia="宋体"/>
          <w:sz w:val="21"/>
        </w:rPr>
        <w:t xml:space="preserve"> 主要深度学习图像识别网络对比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提出年份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Top-1准确率(%)</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主要创新点</w:t>
            </w:r>
          </w:p>
        </w:tc>
      </w:tr>
      <w:tr>
        <w:trPr>
          <w:cantSplit w:val="0"/>
        </w:trPr>
        <w:tc>
          <w:tcPr>
            <w:tcW w:type="dxa" w:w="1559"/>
            <w:tcBorders>
              <w:left w:val="nil"/>
              <w:right w:val="nil"/>
              <w:top w:val="nil"/>
              <w:bottom w:val="nil"/>
            </w:tcBorders>
          </w:tcPr>
          <w:p>
            <w:pPr>
              <w:jc w:val="center"/>
            </w:pPr>
            <w:r>
              <w:rPr>
                <w:rFonts w:ascii="宋体" w:hAnsi="宋体" w:eastAsia="宋体"/>
                <w:sz w:val="21"/>
              </w:rPr>
              <w:t>AlexNet</w:t>
            </w:r>
          </w:p>
        </w:tc>
        <w:tc>
          <w:tcPr>
            <w:tcW w:type="dxa" w:w="1559"/>
            <w:tcBorders>
              <w:left w:val="nil"/>
              <w:right w:val="nil"/>
              <w:top w:val="nil"/>
              <w:bottom w:val="nil"/>
            </w:tcBorders>
          </w:tcPr>
          <w:p>
            <w:pPr>
              <w:jc w:val="center"/>
            </w:pPr>
            <w:r>
              <w:rPr>
                <w:rFonts w:ascii="宋体" w:hAnsi="宋体" w:eastAsia="宋体"/>
                <w:sz w:val="21"/>
              </w:rPr>
              <w:t>2012</w:t>
            </w:r>
          </w:p>
        </w:tc>
        <w:tc>
          <w:tcPr>
            <w:tcW w:type="dxa" w:w="1559"/>
            <w:tcBorders>
              <w:left w:val="nil"/>
              <w:right w:val="nil"/>
              <w:top w:val="nil"/>
              <w:bottom w:val="nil"/>
            </w:tcBorders>
          </w:tcPr>
          <w:p>
            <w:pPr>
              <w:jc w:val="center"/>
            </w:pPr>
            <w:r>
              <w:rPr>
                <w:rFonts w:ascii="宋体" w:hAnsi="宋体" w:eastAsia="宋体"/>
                <w:sz w:val="21"/>
              </w:rPr>
              <w:t>8</w:t>
            </w:r>
          </w:p>
        </w:tc>
        <w:tc>
          <w:tcPr>
            <w:tcW w:type="dxa" w:w="1559"/>
            <w:tcBorders>
              <w:left w:val="nil"/>
              <w:right w:val="nil"/>
              <w:top w:val="nil"/>
              <w:bottom w:val="nil"/>
            </w:tcBorders>
          </w:tcPr>
          <w:p>
            <w:pPr>
              <w:jc w:val="center"/>
            </w:pPr>
            <w:r>
              <w:rPr>
                <w:rFonts w:ascii="宋体" w:hAnsi="宋体" w:eastAsia="宋体"/>
                <w:sz w:val="21"/>
              </w:rPr>
              <w:t>60</w:t>
            </w:r>
          </w:p>
        </w:tc>
        <w:tc>
          <w:tcPr>
            <w:tcW w:type="dxa" w:w="1559"/>
            <w:tcBorders>
              <w:left w:val="nil"/>
              <w:right w:val="nil"/>
              <w:top w:val="nil"/>
              <w:bottom w:val="nil"/>
            </w:tcBorders>
          </w:tcPr>
          <w:p>
            <w:pPr>
              <w:jc w:val="center"/>
            </w:pPr>
            <w:r>
              <w:rPr>
                <w:rFonts w:ascii="宋体" w:hAnsi="宋体" w:eastAsia="宋体"/>
                <w:sz w:val="21"/>
              </w:rPr>
              <w:t>63.3</w:t>
            </w:r>
          </w:p>
        </w:tc>
        <w:tc>
          <w:tcPr>
            <w:tcW w:type="dxa" w:w="1559"/>
            <w:tcBorders>
              <w:left w:val="nil"/>
              <w:right w:val="nil"/>
              <w:top w:val="nil"/>
              <w:bottom w:val="nil"/>
            </w:tcBorders>
          </w:tcPr>
          <w:p>
            <w:pPr>
              <w:jc w:val="center"/>
            </w:pPr>
            <w:r>
              <w:rPr>
                <w:rFonts w:ascii="宋体" w:hAnsi="宋体" w:eastAsia="宋体"/>
                <w:sz w:val="21"/>
              </w:rPr>
              <w:t>首个深度CNN成功应用</w:t>
            </w:r>
          </w:p>
        </w:tc>
      </w:tr>
      <w:tr>
        <w:trPr>
          <w:cantSplit w:val="0"/>
        </w:trPr>
        <w:tc>
          <w:tcPr>
            <w:tcW w:type="dxa" w:w="1559"/>
            <w:tcBorders>
              <w:left w:val="nil"/>
              <w:right w:val="nil"/>
              <w:top w:val="nil"/>
              <w:bottom w:val="nil"/>
            </w:tcBorders>
          </w:tcPr>
          <w:p>
            <w:pPr>
              <w:jc w:val="center"/>
            </w:pPr>
            <w:r>
              <w:rPr>
                <w:rFonts w:ascii="宋体" w:hAnsi="宋体" w:eastAsia="宋体"/>
                <w:sz w:val="21"/>
              </w:rPr>
              <w:t>VGG-16</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16</w:t>
            </w:r>
          </w:p>
        </w:tc>
        <w:tc>
          <w:tcPr>
            <w:tcW w:type="dxa" w:w="1559"/>
            <w:tcBorders>
              <w:left w:val="nil"/>
              <w:right w:val="nil"/>
              <w:top w:val="nil"/>
              <w:bottom w:val="nil"/>
            </w:tcBorders>
          </w:tcPr>
          <w:p>
            <w:pPr>
              <w:jc w:val="center"/>
            </w:pPr>
            <w:r>
              <w:rPr>
                <w:rFonts w:ascii="宋体" w:hAnsi="宋体" w:eastAsia="宋体"/>
                <w:sz w:val="21"/>
              </w:rPr>
              <w:t>138</w:t>
            </w:r>
          </w:p>
        </w:tc>
        <w:tc>
          <w:tcPr>
            <w:tcW w:type="dxa" w:w="1559"/>
            <w:tcBorders>
              <w:left w:val="nil"/>
              <w:right w:val="nil"/>
              <w:top w:val="nil"/>
              <w:bottom w:val="nil"/>
            </w:tcBorders>
          </w:tcPr>
          <w:p>
            <w:pPr>
              <w:jc w:val="center"/>
            </w:pPr>
            <w:r>
              <w:rPr>
                <w:rFonts w:ascii="宋体" w:hAnsi="宋体" w:eastAsia="宋体"/>
                <w:sz w:val="21"/>
              </w:rPr>
              <w:t>71.5</w:t>
            </w:r>
          </w:p>
        </w:tc>
        <w:tc>
          <w:tcPr>
            <w:tcW w:type="dxa" w:w="1559"/>
            <w:tcBorders>
              <w:left w:val="nil"/>
              <w:right w:val="nil"/>
              <w:top w:val="nil"/>
              <w:bottom w:val="nil"/>
            </w:tcBorders>
          </w:tcPr>
          <w:p>
            <w:pPr>
              <w:jc w:val="center"/>
            </w:pPr>
            <w:r>
              <w:rPr>
                <w:rFonts w:ascii="宋体" w:hAnsi="宋体" w:eastAsia="宋体"/>
                <w:sz w:val="21"/>
              </w:rPr>
              <w:t>小卷积核堆叠</w:t>
            </w:r>
          </w:p>
        </w:tc>
      </w:tr>
      <w:tr>
        <w:trPr>
          <w:cantSplit w:val="0"/>
        </w:trPr>
        <w:tc>
          <w:tcPr>
            <w:tcW w:type="dxa" w:w="1559"/>
            <w:tcBorders>
              <w:left w:val="nil"/>
              <w:right w:val="nil"/>
              <w:top w:val="nil"/>
              <w:bottom w:val="nil"/>
            </w:tcBorders>
          </w:tcPr>
          <w:p>
            <w:pPr>
              <w:jc w:val="center"/>
            </w:pPr>
            <w:r>
              <w:rPr>
                <w:rFonts w:ascii="宋体" w:hAnsi="宋体" w:eastAsia="宋体"/>
                <w:sz w:val="21"/>
              </w:rPr>
              <w:t>GoogLeNet</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22</w:t>
            </w:r>
          </w:p>
        </w:tc>
        <w:tc>
          <w:tcPr>
            <w:tcW w:type="dxa" w:w="1559"/>
            <w:tcBorders>
              <w:left w:val="nil"/>
              <w:right w:val="nil"/>
              <w:top w:val="nil"/>
              <w:bottom w:val="nil"/>
            </w:tcBorders>
          </w:tcPr>
          <w:p>
            <w:pPr>
              <w:jc w:val="center"/>
            </w:pPr>
            <w:r>
              <w:rPr>
                <w:rFonts w:ascii="宋体" w:hAnsi="宋体" w:eastAsia="宋体"/>
                <w:sz w:val="21"/>
              </w:rPr>
              <w:t>6.8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Inception模块</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2015</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残差连接</w:t>
            </w:r>
          </w:p>
        </w:tc>
      </w:tr>
      <w:tr>
        <w:trPr>
          <w:cantSplit w:val="0"/>
        </w:trPr>
        <w:tc>
          <w:tcPr>
            <w:tcW w:type="dxa" w:w="1559"/>
            <w:tcBorders>
              <w:left w:val="nil"/>
              <w:right w:val="nil"/>
              <w:top w:val="nil"/>
              <w:bottom w:val="nil"/>
            </w:tcBorders>
          </w:tcPr>
          <w:p>
            <w:pPr>
              <w:jc w:val="center"/>
            </w:pPr>
            <w:r>
              <w:rPr>
                <w:rFonts w:ascii="宋体" w:hAnsi="宋体" w:eastAsia="宋体"/>
                <w:sz w:val="21"/>
              </w:rPr>
              <w:t>DenseNet-121</w:t>
            </w:r>
          </w:p>
        </w:tc>
        <w:tc>
          <w:tcPr>
            <w:tcW w:type="dxa" w:w="1559"/>
            <w:tcBorders>
              <w:left w:val="nil"/>
              <w:right w:val="nil"/>
              <w:top w:val="nil"/>
              <w:bottom w:val="nil"/>
            </w:tcBorders>
          </w:tcPr>
          <w:p>
            <w:pPr>
              <w:jc w:val="center"/>
            </w:pPr>
            <w:r>
              <w:rPr>
                <w:rFonts w:ascii="宋体" w:hAnsi="宋体" w:eastAsia="宋体"/>
                <w:sz w:val="21"/>
              </w:rPr>
              <w:t>2017</w:t>
            </w:r>
          </w:p>
        </w:tc>
        <w:tc>
          <w:tcPr>
            <w:tcW w:type="dxa" w:w="1559"/>
            <w:tcBorders>
              <w:left w:val="nil"/>
              <w:right w:val="nil"/>
              <w:top w:val="nil"/>
              <w:bottom w:val="nil"/>
            </w:tcBorders>
          </w:tcPr>
          <w:p>
            <w:pPr>
              <w:jc w:val="center"/>
            </w:pPr>
            <w:r>
              <w:rPr>
                <w:rFonts w:ascii="宋体" w:hAnsi="宋体" w:eastAsia="宋体"/>
                <w:sz w:val="21"/>
              </w:rPr>
              <w:t>121</w:t>
            </w:r>
          </w:p>
        </w:tc>
        <w:tc>
          <w:tcPr>
            <w:tcW w:type="dxa" w:w="1559"/>
            <w:tcBorders>
              <w:left w:val="nil"/>
              <w:right w:val="nil"/>
              <w:top w:val="nil"/>
              <w:bottom w:val="nil"/>
            </w:tcBorders>
          </w:tcPr>
          <w:p>
            <w:pPr>
              <w:jc w:val="center"/>
            </w:pPr>
            <w:r>
              <w:rPr>
                <w:rFonts w:ascii="宋体" w:hAnsi="宋体" w:eastAsia="宋体"/>
                <w:sz w:val="21"/>
              </w:rPr>
              <w:t>8.0</w:t>
            </w:r>
          </w:p>
        </w:tc>
        <w:tc>
          <w:tcPr>
            <w:tcW w:type="dxa" w:w="1559"/>
            <w:tcBorders>
              <w:left w:val="nil"/>
              <w:right w:val="nil"/>
              <w:top w:val="nil"/>
              <w:bottom w:val="nil"/>
            </w:tcBorders>
          </w:tcPr>
          <w:p>
            <w:pPr>
              <w:jc w:val="center"/>
            </w:pPr>
            <w:r>
              <w:rPr>
                <w:rFonts w:ascii="宋体" w:hAnsi="宋体" w:eastAsia="宋体"/>
                <w:sz w:val="21"/>
              </w:rPr>
              <w:t>74.9</w:t>
            </w:r>
          </w:p>
        </w:tc>
        <w:tc>
          <w:tcPr>
            <w:tcW w:type="dxa" w:w="1559"/>
            <w:tcBorders>
              <w:left w:val="nil"/>
              <w:right w:val="nil"/>
              <w:top w:val="nil"/>
              <w:bottom w:val="nil"/>
            </w:tcBorders>
          </w:tcPr>
          <w:p>
            <w:pPr>
              <w:jc w:val="center"/>
            </w:pPr>
            <w:r>
              <w:rPr>
                <w:rFonts w:ascii="宋体" w:hAnsi="宋体" w:eastAsia="宋体"/>
                <w:sz w:val="21"/>
              </w:rPr>
              <w:t>密集连接</w:t>
            </w:r>
          </w:p>
        </w:tc>
      </w:tr>
      <w:tr>
        <w:trPr>
          <w:cantSplit w:val="0"/>
        </w:trPr>
        <w:tc>
          <w:tcPr>
            <w:tcW w:type="dxa" w:w="1559"/>
            <w:tcBorders>
              <w:left w:val="nil"/>
              <w:right w:val="nil"/>
              <w:top w:val="nil"/>
              <w:bottom w:val="nil"/>
            </w:tcBorders>
          </w:tcPr>
          <w:p>
            <w:pPr>
              <w:jc w:val="center"/>
            </w:pPr>
            <w:r>
              <w:rPr>
                <w:rFonts w:ascii="宋体" w:hAnsi="宋体" w:eastAsia="宋体"/>
                <w:sz w:val="21"/>
              </w:rPr>
              <w:t>EfficientNet-B0</w:t>
            </w:r>
          </w:p>
        </w:tc>
        <w:tc>
          <w:tcPr>
            <w:tcW w:type="dxa" w:w="1559"/>
            <w:tcBorders>
              <w:left w:val="nil"/>
              <w:right w:val="nil"/>
              <w:top w:val="nil"/>
              <w:bottom w:val="nil"/>
            </w:tcBorders>
          </w:tcPr>
          <w:p>
            <w:pPr>
              <w:jc w:val="center"/>
            </w:pPr>
            <w:r>
              <w:rPr>
                <w:rFonts w:ascii="宋体" w:hAnsi="宋体" w:eastAsia="宋体"/>
                <w:sz w:val="21"/>
              </w:rPr>
              <w:t>2019</w:t>
            </w:r>
          </w:p>
        </w:tc>
        <w:tc>
          <w:tcPr>
            <w:tcW w:type="dxa" w:w="1559"/>
            <w:tcBorders>
              <w:left w:val="nil"/>
              <w:right w:val="nil"/>
              <w:top w:val="nil"/>
              <w:bottom w:val="nil"/>
            </w:tcBorders>
          </w:tcPr>
          <w:p>
            <w:pPr>
              <w:jc w:val="center"/>
            </w:pPr>
            <w:r>
              <w:rPr>
                <w:rFonts w:ascii="宋体" w:hAnsi="宋体" w:eastAsia="宋体"/>
                <w:sz w:val="21"/>
              </w:rPr>
              <w:t>N/A</w:t>
            </w:r>
          </w:p>
        </w:tc>
        <w:tc>
          <w:tcPr>
            <w:tcW w:type="dxa" w:w="1559"/>
            <w:tcBorders>
              <w:left w:val="nil"/>
              <w:right w:val="nil"/>
              <w:top w:val="nil"/>
              <w:bottom w:val="nil"/>
            </w:tcBorders>
          </w:tcPr>
          <w:p>
            <w:pPr>
              <w:jc w:val="center"/>
            </w:pPr>
            <w:r>
              <w:rPr>
                <w:rFonts w:ascii="宋体" w:hAnsi="宋体" w:eastAsia="宋体"/>
                <w:sz w:val="21"/>
              </w:rPr>
              <w:t>5.3</w:t>
            </w:r>
          </w:p>
        </w:tc>
        <w:tc>
          <w:tcPr>
            <w:tcW w:type="dxa" w:w="1559"/>
            <w:tcBorders>
              <w:left w:val="nil"/>
              <w:right w:val="nil"/>
              <w:top w:val="nil"/>
              <w:bottom w:val="nil"/>
            </w:tcBorders>
          </w:tcPr>
          <w:p>
            <w:pPr>
              <w:jc w:val="center"/>
            </w:pPr>
            <w:r>
              <w:rPr>
                <w:rFonts w:ascii="宋体" w:hAnsi="宋体" w:eastAsia="宋体"/>
                <w:sz w:val="21"/>
              </w:rPr>
              <w:t>77.1</w:t>
            </w:r>
          </w:p>
        </w:tc>
        <w:tc>
          <w:tcPr>
            <w:tcW w:type="dxa" w:w="1559"/>
            <w:tcBorders>
              <w:left w:val="nil"/>
              <w:right w:val="nil"/>
              <w:top w:val="nil"/>
              <w:bottom w:val="nil"/>
            </w:tcBorders>
          </w:tcPr>
          <w:p>
            <w:pPr>
              <w:jc w:val="center"/>
            </w:pPr>
            <w:r>
              <w:rPr>
                <w:rFonts w:ascii="宋体" w:hAnsi="宋体" w:eastAsia="宋体"/>
                <w:sz w:val="21"/>
              </w:rPr>
              <w:t>复合缩放</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Vision Transformer</w:t>
            </w:r>
          </w:p>
        </w:tc>
        <w:tc>
          <w:tcPr>
            <w:tcW w:type="dxa" w:w="1559"/>
            <w:tcBorders>
              <w:left w:val="nil"/>
              <w:right w:val="nil"/>
              <w:top w:val="nil"/>
              <w:bottom w:val="single" w:sz="12" w:color="000000" w:space="0"/>
            </w:tcBorders>
          </w:tcPr>
          <w:p>
            <w:pPr>
              <w:jc w:val="center"/>
            </w:pPr>
            <w:r>
              <w:rPr>
                <w:rFonts w:ascii="宋体" w:hAnsi="宋体" w:eastAsia="宋体"/>
                <w:sz w:val="21"/>
              </w:rPr>
              <w:t>2020</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c>
          <w:tcPr>
            <w:tcW w:type="dxa" w:w="1559"/>
            <w:tcBorders>
              <w:left w:val="nil"/>
              <w:right w:val="nil"/>
              <w:top w:val="nil"/>
              <w:bottom w:val="single" w:sz="12" w:color="000000" w:space="0"/>
            </w:tcBorders>
          </w:tcPr>
          <w:p>
            <w:pPr>
              <w:jc w:val="center"/>
            </w:pPr>
            <w:r>
              <w:rPr>
                <w:rFonts w:ascii="宋体" w:hAnsi="宋体" w:eastAsia="宋体"/>
                <w:sz w:val="21"/>
              </w:rPr>
              <w:t>86</w:t>
            </w:r>
          </w:p>
        </w:tc>
        <w:tc>
          <w:tcPr>
            <w:tcW w:type="dxa" w:w="1559"/>
            <w:tcBorders>
              <w:left w:val="nil"/>
              <w:right w:val="nil"/>
              <w:top w:val="nil"/>
              <w:bottom w:val="single" w:sz="12" w:color="000000" w:space="0"/>
            </w:tcBorders>
          </w:tcPr>
          <w:p>
            <w:pPr>
              <w:jc w:val="center"/>
            </w:pPr>
            <w:r>
              <w:rPr>
                <w:rFonts w:ascii="宋体" w:hAnsi="宋体" w:eastAsia="宋体"/>
                <w:sz w:val="21"/>
              </w:rPr>
              <w:t>77.9</w:t>
            </w:r>
          </w:p>
        </w:tc>
        <w:tc>
          <w:tcPr>
            <w:tcW w:type="dxa" w:w="1559"/>
            <w:tcBorders>
              <w:left w:val="nil"/>
              <w:right w:val="nil"/>
              <w:top w:val="nil"/>
              <w:bottom w:val="single" w:sz="12" w:color="000000" w:space="0"/>
            </w:tcBorders>
          </w:tcPr>
          <w:p>
            <w:pPr>
              <w:jc w:val="center"/>
            </w:pPr>
            <w:r>
              <w:rPr>
                <w:rFonts w:ascii="宋体" w:hAnsi="宋体" w:eastAsia="宋体"/>
                <w:sz w:val="21"/>
              </w:rPr>
              <w:t>纯Transformer架构</w:t>
            </w:r>
          </w:p>
        </w:tc>
      </w:tr>
    </w:tbl>
    <w:p>
      <w:r>
        <w:rPr>
          <w:rFonts w:ascii="宋体" w:hAnsi="宋体" w:eastAsia="宋体"/>
          <w:sz w:val="18"/>
        </w:rPr>
        <w:t>来源：2014-2023</w:t>
      </w:r>
    </w:p>
    <w:p/>
    <w:p>
      <w:pPr>
        <w:spacing w:before="0" w:after="0" w:line="360" w:lineRule="auto"/>
        <w:ind w:firstLine="480" w:firstLineChars="20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 广西日报关于“AI时代未来新闻人如何培养”的讨论强调，跨学科的AI素养建设正成为教育与媒体行业的共同课题，这也为本研究的多场景调研提供了启示</w:t>
      </w:r>
      <w:bookmarkStart w:id="9" w:name="_Citation_4"/>
      <w:hyperlink w:anchor="_Reference_4" w:history="1">
        <w:r>
          <w:rPr>
            <w:rFonts w:ascii="Times New Roman" w:hAnsi="Times New Roman" w:eastAsia="宋体"/>
            <w:sz w:val="24"/>
            <w:color w:val="000000"/>
          </w:rPr>
          <w:t>[4]</w:t>
        </w:r>
      </w:hyperlink>
      <w:bookmarkEnd w:id="9"/>
      <w:r>
        <w:rPr>
          <w:rFonts w:ascii="Times New Roman" w:hAnsi="Times New Roman" w:eastAsia="宋体"/>
          <w:b w:val="0"/>
          <w:sz w:val="24"/>
        </w:rPr>
        <w:t>。</w:t>
      </w:r>
    </w:p>
    <w:p>
      <w:bookmarkStart w:id="10" w:name="_Heading_1_3"/>
      <w:pPr>
        <w:jc w:val="left"/>
      </w:pPr>
      <w:r>
        <w:rPr>
          <w:rFonts w:ascii="Times New Roman" w:hAnsi="Times New Roman"/>
          <w:b/>
          <w:sz w:val="28"/>
        </w:rPr>
        <w:t xml:space="preserve">1.3 </w:t>
      </w:r>
      <w:r>
        <w:rPr>
          <w:rFonts w:ascii="宋体" w:hAnsi="宋体" w:eastAsia="宋体"/>
          <w:b/>
          <w:sz w:val="28"/>
        </w:rPr>
        <w:t>研究内容与方法</w:t>
      </w:r>
      <w:bookmarkEnd w:id="10"/>
    </w:p>
    <w:p>
      <w:pPr>
        <w:spacing w:before="0" w:after="0" w:line="360" w:lineRule="auto"/>
        <w:ind w:firstLine="480" w:firstLineChars="20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w:t>
      </w:r>
      <w:r>
        <w:rPr>
          <w:rFonts w:ascii="宋体" w:hAnsi="宋体" w:eastAsia="宋体"/>
          <w:sz w:val="21"/>
        </w:rPr>
        <w:t>1</w:t>
      </w:r>
      <w:r>
        <w:rPr>
          <w:rFonts w:ascii="宋体" w:hAnsi="宋体" w:eastAsia="宋体"/>
          <w:sz w:val="21"/>
        </w:rPr>
        <w:t>-</w:t>
      </w:r>
      <w:r>
        <w:rPr>
          <w:rFonts w:ascii="宋体" w:hAnsi="宋体" w:eastAsia="宋体"/>
          <w:sz w:val="21"/>
        </w:rPr>
        <w:fldChar w:fldCharType="begin"/>
        <w:instrText xml:space="preserve"> SEQ Figure_1 \* ARABIC </w:instrText>
        <w:fldChar w:fldCharType="end"/>
      </w:r>
      <w:r>
        <w:rPr>
          <w:rFonts w:ascii="宋体" w:hAnsi="宋体" w:eastAsia="宋体"/>
          <w:sz w:val="21"/>
        </w:rPr>
        <w:t xml:space="preserve"> 本文研究技术路线图</w:t>
      </w:r>
    </w:p>
    <w:p>
      <w:r>
        <w:rPr>
          <w:rFonts w:ascii="宋体" w:hAnsi="宋体" w:eastAsia="宋体"/>
          <w:sz w:val="18"/>
        </w:rPr>
        <w:t>来源：自制</w:t>
      </w:r>
    </w:p>
    <w:p/>
    <w:p>
      <w:bookmarkStart w:id="11" w:name="_Heading_1_4"/>
      <w:pPr>
        <w:jc w:val="left"/>
      </w:pPr>
      <w:r>
        <w:rPr>
          <w:rFonts w:ascii="Times New Roman" w:hAnsi="Times New Roman"/>
          <w:b/>
          <w:sz w:val="28"/>
        </w:rPr>
        <w:t xml:space="preserve">1.4 </w:t>
      </w:r>
      <w:r>
        <w:rPr>
          <w:rFonts w:ascii="宋体" w:hAnsi="宋体" w:eastAsia="宋体"/>
          <w:b/>
          <w:sz w:val="28"/>
        </w:rPr>
        <w:t>论文组织结构</w:t>
      </w:r>
      <w:bookmarkEnd w:id="11"/>
    </w:p>
    <w:p>
      <w:pPr>
        <w:spacing w:before="0" w:after="0" w:line="360" w:lineRule="auto"/>
        <w:ind w:firstLine="480" w:firstLineChars="20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12"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12"/>
    </w:p>
    <w:p>
      <w:pPr>
        <w:spacing w:before="0" w:after="0" w:line="360" w:lineRule="auto"/>
        <w:ind w:firstLine="480" w:firstLineChars="200"/>
        <w:jc w:val="both"/>
      </w:pPr>
      <w:r>
        <w:rPr>
          <w:rFonts w:ascii="Times New Roman" w:hAnsi="Times New Roman" w:eastAsia="宋体"/>
          <w:b w:val="0"/>
          <w:sz w:val="24"/>
        </w:rPr>
        <w:t>本章介绍深度学习的基本概念、神经网络原理以及图像识别的任务定义，为后续研究奠定理论基础。</w:t>
      </w:r>
    </w:p>
    <w:p>
      <w:bookmarkStart w:id="13" w:name="_Heading_2_1"/>
      <w:pPr>
        <w:jc w:val="left"/>
      </w:pPr>
      <w:r>
        <w:rPr>
          <w:rFonts w:ascii="Times New Roman" w:hAnsi="Times New Roman"/>
          <w:b/>
          <w:sz w:val="28"/>
        </w:rPr>
        <w:t xml:space="preserve">2.1 </w:t>
      </w:r>
      <w:r>
        <w:rPr>
          <w:rFonts w:ascii="宋体" w:hAnsi="宋体" w:eastAsia="宋体"/>
          <w:b/>
          <w:sz w:val="28"/>
        </w:rPr>
        <w:t>深度学习基础</w:t>
      </w:r>
      <w:bookmarkEnd w:id="13"/>
    </w:p>
    <w:p>
      <w:pPr>
        <w:spacing w:before="0" w:after="0" w:line="360" w:lineRule="auto"/>
        <w:ind w:firstLine="480" w:firstLineChars="20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4" w:name="_Heading_2_1_1"/>
      <w:pPr>
        <w:jc w:val="left"/>
      </w:pPr>
      <w:r>
        <w:rPr>
          <w:rFonts w:ascii="Times New Roman" w:hAnsi="Times New Roman"/>
          <w:b/>
          <w:sz w:val="24"/>
        </w:rPr>
        <w:t xml:space="preserve">2.1.1 </w:t>
      </w:r>
      <w:r>
        <w:rPr>
          <w:rFonts w:ascii="宋体" w:hAnsi="宋体" w:eastAsia="宋体"/>
          <w:b/>
          <w:sz w:val="24"/>
        </w:rPr>
        <w:t>神经网络基本结构</w:t>
      </w:r>
      <w:bookmarkEnd w:id="14"/>
    </w:p>
    <w:p>
      <w:pPr>
        <w:spacing w:before="0" w:after="0" w:line="360" w:lineRule="auto"/>
        <w:ind w:firstLine="480" w:firstLineChars="20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pPr>
        <w:spacing w:before="0" w:after="0" w:line="360" w:lineRule="auto"/>
        <w:ind w:firstLine="480" w:firstLineChars="200"/>
        <w:jc w:val="both"/>
      </w:pPr>
      <w:r>
        <w:rPr>
          <w:rFonts w:ascii="Times New Roman" w:hAnsi="Times New Roman" w:eastAsia="宋体"/>
          <w:b w:val="0"/>
          <w:sz w:val="24"/>
        </w:rPr>
        <w:t>ReLU激活函数定义为：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1</m:t>
          </m:r>
        </m:oMath>
      </m:oMathPara>
      <w:r>
        <w:tab/>
      </w:r>
      <w:r>
        <w:rPr>
          <w:rFonts w:ascii="Times New Roman" w:hAnsi="Times New Roman"/>
          <w:sz w:val="21"/>
        </w:rPr>
        <w:t>(2-1)</w:t>
      </w:r>
    </w:p>
    <w:p/>
    <w:p>
      <w:pPr>
        <w:spacing w:before="0" w:after="0" w:line="360" w:lineRule="auto"/>
        <w:ind w:firstLine="480" w:firstLineChars="200"/>
        <w:jc w:val="both"/>
      </w:pPr>
      <w:r>
        <w:rPr>
          <w:rFonts w:ascii="Times New Roman" w:hAnsi="Times New Roman" w:eastAsia="宋体"/>
          <w:b w:val="0"/>
          <w:sz w:val="24"/>
        </w:rPr>
        <w:t>这是最简单的线性函数。ReLU函数更复杂，定义为：</w:t>
      </w:r>
    </w:p>
    <w:p>
      <w:pPr>
        <w:keepNext/>
      </w:pPr>
    </w:p>
    <w:p>
      <w:pPr>
        <w:keepLines/>
        <w:tabs>
          <w:tab w:val="center" w:pos="4677"/>
          <w:tab w:val="right" w:pos="9072"/>
        </w:tabs>
      </w:pPr>
      <w:r>
        <w:tab/>
      </w:r>
      <m:oMathPara>
        <m:oMath>
          <m:r>
            <m:rPr>
              <m:sty m:val="i"/>
            </m:rPr>
            <w:rPr>
              <w:rFonts w:ascii="Times New Roman" w:hAnsi="Times New Roman"/>
              <w:sz w:val="21"/>
            </w:rPr>
            <m:t>f</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max</m:t>
          </m:r>
          <m:r>
            <m:rPr/>
            <w:rPr>
              <w:rFonts w:ascii="Times New Roman" w:hAnsi="Times New Roman"/>
              <w:sz w:val="21"/>
            </w:rPr>
            <m:t>(</m:t>
          </m:r>
          <m:r>
            <m:rPr/>
            <w:rPr>
              <w:rFonts w:ascii="Times New Roman" w:hAnsi="Times New Roman"/>
              <w:sz w:val="21"/>
            </w:rPr>
            <m:t>0</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m:t>
          </m:r>
        </m:oMath>
      </m:oMathPara>
      <w:r>
        <w:tab/>
      </w:r>
      <w:r>
        <w:rPr>
          <w:rFonts w:ascii="Times New Roman" w:hAnsi="Times New Roman"/>
          <w:sz w:val="21"/>
        </w:rPr>
        <w:t>(2-2)</w:t>
      </w:r>
    </w:p>
    <w:p/>
    <w:p>
      <w:pPr>
        <w:spacing w:before="0" w:after="0" w:line="360" w:lineRule="auto"/>
        <w:ind w:firstLine="480" w:firstLineChars="200"/>
        <w:jc w:val="both"/>
      </w:pPr>
      <w:r>
        <w:rPr>
          <w:rFonts w:ascii="Times New Roman" w:hAnsi="Times New Roman" w:eastAsia="宋体"/>
          <w:b w:val="0"/>
          <w:sz w:val="24"/>
        </w:rPr>
        <w:t>该函数在正区间保持线性，在负区间输出为零。损失函数可表示为：</w:t>
      </w:r>
    </w:p>
    <w:p>
      <w:pPr>
        <w:keepNext/>
      </w:pPr>
    </w:p>
    <w:p>
      <w:pPr>
        <w:keepLines/>
        <w:tabs>
          <w:tab w:val="center" w:pos="4677"/>
          <w:tab w:val="right" w:pos="9072"/>
        </w:tabs>
      </w:pPr>
      <w:r>
        <w:tab/>
      </w:r>
      <m:oMathPara>
        <m:oMath>
          <m:r>
            <m:rPr>
              <m:sty m:val="i"/>
            </m:rPr>
            <w:rPr>
              <w:rFonts w:ascii="Times New Roman" w:hAnsi="Times New Roman"/>
              <w:sz w:val="21"/>
            </w:rPr>
            <m:t>L</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a</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c</m:t>
          </m:r>
        </m:oMath>
      </m:oMathPara>
      <w:r>
        <w:tab/>
      </w:r>
      <w:r>
        <w:rPr>
          <w:rFonts w:ascii="Times New Roman" w:hAnsi="Times New Roman"/>
          <w:sz w:val="21"/>
        </w:rPr>
        <w:t>(2-3)</w:t>
      </w:r>
    </w:p>
    <w:p/>
    <w:p>
      <w:pPr>
        <w:spacing w:before="0" w:after="0" w:line="360" w:lineRule="auto"/>
        <w:ind w:firstLine="480" w:firstLineChars="200"/>
        <w:jc w:val="both"/>
      </w:pPr>
      <w:r>
        <w:rPr>
          <w:rFonts w:ascii="Times New Roman" w:hAnsi="Times New Roman" w:eastAsia="宋体"/>
          <w:b w:val="0"/>
          <w:sz w:val="24"/>
        </w:rPr>
        <w:t>其中a、b、c分别表示不同的误差项。</w:t>
      </w:r>
    </w:p>
    <w:p>
      <w:bookmarkStart w:id="15" w:name="_Heading_2_1_2"/>
      <w:pPr>
        <w:jc w:val="left"/>
      </w:pPr>
      <w:r>
        <w:rPr>
          <w:rFonts w:ascii="Times New Roman" w:hAnsi="Times New Roman"/>
          <w:b/>
          <w:sz w:val="24"/>
        </w:rPr>
        <w:t xml:space="preserve">2.1.2 </w:t>
      </w:r>
      <w:r>
        <w:rPr>
          <w:rFonts w:ascii="宋体" w:hAnsi="宋体" w:eastAsia="宋体"/>
          <w:b/>
          <w:sz w:val="24"/>
        </w:rPr>
        <w:t>反向传播算法</w:t>
      </w:r>
      <w:bookmarkEnd w:id="15"/>
    </w:p>
    <w:p>
      <w:pPr>
        <w:spacing w:before="0" w:after="0" w:line="360" w:lineRule="auto"/>
        <w:ind w:firstLine="480" w:firstLineChars="200"/>
        <w:jc w:val="both"/>
      </w:pPr>
      <w:r>
        <w:rPr>
          <w:rFonts w:ascii="Times New Roman" w:hAnsi="Times New Roman" w:eastAsia="宋体"/>
          <w:b w:val="0"/>
          <w:sz w:val="24"/>
        </w:rPr>
        <w:t>反向传播是训练神经网络的核心算法。它基于链式法则计算损失函数对各层参数的梯度。简单的梯度计算：</w:t>
      </w:r>
    </w:p>
    <w:p>
      <w:pPr>
        <w:keepNext/>
      </w:pPr>
    </w:p>
    <w:p>
      <w:pPr>
        <w:keepLines/>
        <w:tabs>
          <w:tab w:val="center" w:pos="4677"/>
          <w:tab w:val="right" w:pos="9072"/>
        </w:tabs>
      </w:pPr>
      <w:r>
        <w:tab/>
      </w:r>
      <m:oMathPara>
        <m:oMath>
          <m:r>
            <m:rPr>
              <m:sty m:val="i"/>
            </m:rPr>
            <w:rPr>
              <w:rFonts w:ascii="Times New Roman" w:hAnsi="Times New Roman"/>
              <w:sz w:val="21"/>
            </w:rPr>
            <m:t>g</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2</m:t>
          </m:r>
          <m:r>
            <m:rPr>
              <m:sty m:val="i"/>
            </m:rPr>
            <w:rPr>
              <w:rFonts w:ascii="Times New Roman" w:hAnsi="Times New Roman"/>
              <w:sz w:val="21"/>
            </w:rPr>
            <m:t>x</m:t>
          </m:r>
        </m:oMath>
      </m:oMathPara>
      <w:r>
        <w:tab/>
      </w:r>
      <w:r>
        <w:rPr>
          <w:rFonts w:ascii="Times New Roman" w:hAnsi="Times New Roman"/>
          <w:sz w:val="21"/>
        </w:rPr>
        <w:t>(2-4)</w:t>
      </w:r>
    </w:p>
    <w:p/>
    <w:p>
      <w:pPr>
        <w:spacing w:before="0" w:after="0" w:line="360" w:lineRule="auto"/>
        <w:ind w:firstLine="480" w:firstLineChars="200"/>
        <w:jc w:val="both"/>
      </w:pPr>
      <w:r>
        <w:rPr>
          <w:rFonts w:ascii="Times New Roman" w:hAnsi="Times New Roman" w:eastAsia="宋体"/>
          <w:b w:val="0"/>
          <w:sz w:val="24"/>
        </w:rPr>
        <w:t>参数更新公式为：</w:t>
      </w:r>
    </w:p>
    <w:p>
      <w:pPr>
        <w:keepNext/>
      </w:pPr>
    </w:p>
    <w:p>
      <w:pPr>
        <w:keepLines/>
        <w:tabs>
          <w:tab w:val="center" w:pos="4677"/>
          <w:tab w:val="right" w:pos="9072"/>
        </w:tabs>
      </w:pPr>
      <w:r>
        <w:tab/>
      </w:r>
      <m:oMathPara>
        <m:oMath>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lr</m:t>
          </m:r>
        </m:oMath>
      </m:oMathPara>
      <w:r>
        <w:tab/>
      </w:r>
      <w:r>
        <w:rPr>
          <w:rFonts w:ascii="Times New Roman" w:hAnsi="Times New Roman"/>
          <w:sz w:val="21"/>
        </w:rPr>
        <w:t>(2-5)</w:t>
      </w:r>
    </w:p>
    <w:p/>
    <w:p>
      <w:pPr>
        <w:spacing w:before="0" w:after="0" w:line="360" w:lineRule="auto"/>
        <w:ind w:firstLine="480" w:firstLineChars="200"/>
        <w:jc w:val="both"/>
      </w:pPr>
      <w:r>
        <w:rPr>
          <w:rFonts w:ascii="Times New Roman" w:hAnsi="Times New Roman" w:eastAsia="宋体"/>
          <w:b w:val="0"/>
          <w:sz w:val="24"/>
        </w:rPr>
        <w:t>该算法的时间复杂度为O(n)，其中n为网络参数数量。</w:t>
      </w:r>
    </w:p>
    <w:p>
      <w:bookmarkStart w:id="16" w:name="_Heading_2_2"/>
      <w:pPr>
        <w:jc w:val="left"/>
      </w:pPr>
      <w:r>
        <w:rPr>
          <w:rFonts w:ascii="Times New Roman" w:hAnsi="Times New Roman"/>
          <w:b/>
          <w:sz w:val="28"/>
        </w:rPr>
        <w:t xml:space="preserve">2.2 </w:t>
      </w:r>
      <w:r>
        <w:rPr>
          <w:rFonts w:ascii="宋体" w:hAnsi="宋体" w:eastAsia="宋体"/>
          <w:b/>
          <w:sz w:val="28"/>
        </w:rPr>
        <w:t>卷积神经网络原理</w:t>
      </w:r>
      <w:bookmarkEnd w:id="16"/>
    </w:p>
    <w:p>
      <w:pPr>
        <w:spacing w:before="0" w:after="0" w:line="360" w:lineRule="auto"/>
        <w:ind w:firstLine="480" w:firstLineChars="20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7" w:name="_Heading_2_2_1"/>
      <w:pPr>
        <w:jc w:val="left"/>
      </w:pPr>
      <w:r>
        <w:rPr>
          <w:rFonts w:ascii="Times New Roman" w:hAnsi="Times New Roman"/>
          <w:b/>
          <w:sz w:val="24"/>
        </w:rPr>
        <w:t xml:space="preserve">2.2.1 </w:t>
      </w:r>
      <w:r>
        <w:rPr>
          <w:rFonts w:ascii="宋体" w:hAnsi="宋体" w:eastAsia="宋体"/>
          <w:b/>
          <w:sz w:val="24"/>
        </w:rPr>
        <w:t>卷积层</w:t>
      </w:r>
      <w:bookmarkEnd w:id="17"/>
    </w:p>
    <w:p>
      <w:pPr>
        <w:spacing w:before="0" w:after="0" w:line="360" w:lineRule="auto"/>
        <w:ind w:firstLine="480" w:firstLineChars="200"/>
        <w:jc w:val="both"/>
      </w:pPr>
      <w:r>
        <w:rPr>
          <w:rFonts w:ascii="Times New Roman" w:hAnsi="Times New Roman" w:eastAsia="宋体"/>
          <w:b w:val="0"/>
          <w:sz w:val="24"/>
        </w:rPr>
        <w:t>卷积层是CNN的核心组件。通过在图像上滑动卷积核，提取局部特征。简单的卷积输出：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oMath>
      </m:oMathPara>
      <w:r>
        <w:tab/>
      </w:r>
      <w:r>
        <w:rPr>
          <w:rFonts w:ascii="Times New Roman" w:hAnsi="Times New Roman"/>
          <w:sz w:val="21"/>
        </w:rPr>
        <w:t>(2-6)</w:t>
      </w:r>
    </w:p>
    <w:p/>
    <w:p>
      <w:pPr>
        <w:spacing w:before="0" w:after="0" w:line="360" w:lineRule="auto"/>
        <w:ind w:firstLine="480" w:firstLineChars="200"/>
        <w:jc w:val="both"/>
      </w:pPr>
      <w:r>
        <w:rPr>
          <w:rFonts w:ascii="Times New Roman" w:hAnsi="Times New Roman" w:eastAsia="宋体"/>
          <w:b w:val="0"/>
          <w:sz w:val="24"/>
        </w:rPr>
        <w:t>更完整的输出特征图大小计算：</w:t>
      </w:r>
    </w:p>
    <w:p>
      <w:pPr>
        <w:keepNext/>
      </w:pPr>
    </w:p>
    <w:p>
      <w:pPr>
        <w:keepLines/>
        <w:tabs>
          <w:tab w:val="center" w:pos="4677"/>
          <w:tab w:val="right" w:pos="9072"/>
        </w:tabs>
      </w:pPr>
      <w:r>
        <w:tab/>
      </w:r>
      <m:oMathPara>
        <m:oMath>
          <m:sSub>
            <m:e>
              <m:r>
                <m:rPr>
                  <m:sty m:val="i"/>
                </m:rPr>
                <w:rPr>
                  <w:rFonts w:ascii="Times New Roman" w:hAnsi="Times New Roman"/>
                  <w:sz w:val="21"/>
                </w:rPr>
                <m:t>H</m:t>
              </m:r>
            </m:e>
            <m:sub>
              <m:r>
                <m:rPr>
                  <m:sty m:val="i"/>
                </m:rPr>
                <w:rPr>
                  <w:rFonts w:ascii="Times New Roman" w:hAnsi="Times New Roman"/>
                  <w:sz w:val="21"/>
                </w:rPr>
                <m:t>out</m:t>
              </m:r>
            </m:sub>
          </m:sSub>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floor</m:t>
          </m:r>
          <m:r>
            <m:rPr/>
            <w:rPr>
              <w:rFonts w:ascii="Times New Roman" w:hAnsi="Times New Roman"/>
              <w:sz w:val="21"/>
            </w:rPr>
            <m:t>(</m:t>
          </m:r>
          <m:r>
            <m:rPr/>
            <w:rPr>
              <w:rFonts w:ascii="Times New Roman" w:hAnsi="Times New Roman"/>
              <w:sz w:val="21"/>
            </w:rPr>
            <m:t>(</m:t>
          </m:r>
          <m:r>
            <m:rPr>
              <m:sty m:val="i"/>
            </m:rPr>
            <w:rPr>
              <w:rFonts w:ascii="Times New Roman" w:hAnsi="Times New Roman"/>
              <w:sz w:val="21"/>
            </w:rPr>
            <m:t>H</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2</m:t>
          </m:r>
          <m:r>
            <m:rPr>
              <m:sty m:val="i"/>
            </m:rPr>
            <w:rPr>
              <w:rFonts w:ascii="Times New Roman" w:hAnsi="Times New Roman"/>
              <w:sz w:val="21"/>
            </w:rPr>
            <m:t>p</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k</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s</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1</m:t>
          </m:r>
        </m:oMath>
      </m:oMathPara>
      <w:r>
        <w:tab/>
      </w:r>
      <w:r>
        <w:rPr>
          <w:rFonts w:ascii="Times New Roman" w:hAnsi="Times New Roman"/>
          <w:sz w:val="21"/>
        </w:rPr>
        <w:t>(2-7)</w:t>
      </w:r>
    </w:p>
    <w:p/>
    <w:p>
      <w:bookmarkStart w:id="18" w:name="_Heading_2_2_2"/>
      <w:pPr>
        <w:jc w:val="left"/>
      </w:pPr>
      <w:r>
        <w:rPr>
          <w:rFonts w:ascii="Times New Roman" w:hAnsi="Times New Roman"/>
          <w:b/>
          <w:sz w:val="24"/>
        </w:rPr>
        <w:t xml:space="preserve">2.2.2 </w:t>
      </w:r>
      <w:r>
        <w:rPr>
          <w:rFonts w:ascii="宋体" w:hAnsi="宋体" w:eastAsia="宋体"/>
          <w:b/>
          <w:sz w:val="24"/>
        </w:rPr>
        <w:t>池化层</w:t>
      </w:r>
      <w:bookmarkEnd w:id="18"/>
    </w:p>
    <w:p>
      <w:pPr>
        <w:spacing w:before="0" w:after="0" w:line="360" w:lineRule="auto"/>
        <w:ind w:firstLine="480" w:firstLineChars="200"/>
        <w:jc w:val="both"/>
      </w:pPr>
      <w:r>
        <w:rPr>
          <w:rFonts w:ascii="Times New Roman" w:hAnsi="Times New Roman" w:eastAsia="宋体"/>
          <w:b w:val="0"/>
          <w:sz w:val="24"/>
        </w:rPr>
        <w:t>池化层用于降低特征图的空间维度。简单池化：</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max</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oMath>
      </m:oMathPara>
      <w:r>
        <w:tab/>
      </w:r>
      <w:r>
        <w:rPr>
          <w:rFonts w:ascii="Times New Roman" w:hAnsi="Times New Roman"/>
          <w:sz w:val="21"/>
        </w:rPr>
        <w:t>(2-8)</w:t>
      </w:r>
    </w:p>
    <w:p/>
    <w:p>
      <w:pPr>
        <w:spacing w:before="0" w:after="0" w:line="360" w:lineRule="auto"/>
        <w:ind w:firstLine="480" w:firstLineChars="200"/>
        <w:jc w:val="both"/>
      </w:pPr>
      <w:r>
        <w:rPr>
          <w:rFonts w:ascii="Times New Roman" w:hAnsi="Times New Roman" w:eastAsia="宋体"/>
          <w:b w:val="0"/>
          <w:sz w:val="24"/>
        </w:rPr>
        <w:t>最大池化保留局部区域的最大响应，有助于提取显著特征。</w:t>
      </w:r>
    </w:p>
    <w:p>
      <w:bookmarkStart w:id="19" w:name="_Heading_2_3"/>
      <w:pPr>
        <w:jc w:val="left"/>
      </w:pPr>
      <w:r>
        <w:rPr>
          <w:rFonts w:ascii="Times New Roman" w:hAnsi="Times New Roman"/>
          <w:b/>
          <w:sz w:val="28"/>
        </w:rPr>
        <w:t xml:space="preserve">2.3 </w:t>
      </w:r>
      <w:r>
        <w:rPr>
          <w:rFonts w:ascii="宋体" w:hAnsi="宋体" w:eastAsia="宋体"/>
          <w:b/>
          <w:sz w:val="28"/>
        </w:rPr>
        <w:t>图像识别任务</w:t>
      </w:r>
      <w:bookmarkEnd w:id="19"/>
    </w:p>
    <w:p>
      <w:pPr>
        <w:spacing w:before="0" w:after="0" w:line="360" w:lineRule="auto"/>
        <w:ind w:firstLine="480" w:firstLineChars="20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w:t>
      </w:r>
      <w:r>
        <w:rPr>
          <w:rFonts w:ascii="宋体" w:hAnsi="宋体" w:eastAsia="宋体"/>
          <w:sz w:val="21"/>
        </w:rPr>
        <w:t>2</w:t>
      </w:r>
      <w:r>
        <w:rPr>
          <w:rFonts w:ascii="宋体" w:hAnsi="宋体" w:eastAsia="宋体"/>
          <w:sz w:val="21"/>
        </w:rPr>
        <w:t>-</w:t>
      </w:r>
      <w:r>
        <w:rPr>
          <w:rFonts w:ascii="宋体" w:hAnsi="宋体" w:eastAsia="宋体"/>
          <w:sz w:val="21"/>
        </w:rPr>
        <w:fldChar w:fldCharType="begin"/>
        <w:instrText xml:space="preserve"> SEQ Table_2 \* ARABIC </w:instrText>
        <w:fldChar w:fldCharType="end"/>
      </w:r>
      <w:r>
        <w:rPr>
          <w:rFonts w:ascii="宋体" w:hAnsi="宋体" w:eastAsia="宋体"/>
          <w:sz w:val="21"/>
        </w:rPr>
        <w:t xml:space="preserve"> 常用图像识别数据集对比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数据集名称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图像数量</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类别数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图像尺寸</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发布年份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应用场景</w:t>
            </w:r>
          </w:p>
        </w:tc>
      </w:tr>
      <w:tr>
        <w:trPr>
          <w:cantSplit w:val="0"/>
        </w:trPr>
        <w:tc>
          <w:tcPr>
            <w:tcW w:type="dxa" w:w="1559"/>
            <w:tcBorders>
              <w:left w:val="nil"/>
              <w:right w:val="nil"/>
              <w:top w:val="nil"/>
              <w:bottom w:val="nil"/>
            </w:tcBorders>
          </w:tcPr>
          <w:p>
            <w:pPr>
              <w:jc w:val="center"/>
            </w:pPr>
            <w:r>
              <w:rPr>
                <w:rFonts w:ascii="宋体" w:hAnsi="宋体" w:eastAsia="宋体"/>
                <w:sz w:val="21"/>
              </w:rPr>
              <w:t>MNIST</w:t>
            </w:r>
          </w:p>
        </w:tc>
        <w:tc>
          <w:tcPr>
            <w:tcW w:type="dxa" w:w="1559"/>
            <w:tcBorders>
              <w:left w:val="nil"/>
              <w:right w:val="nil"/>
              <w:top w:val="nil"/>
              <w:bottom w:val="nil"/>
            </w:tcBorders>
          </w:tcPr>
          <w:p>
            <w:pPr>
              <w:jc w:val="center"/>
            </w:pPr>
            <w:r>
              <w:rPr>
                <w:rFonts w:ascii="宋体" w:hAnsi="宋体" w:eastAsia="宋体"/>
                <w:sz w:val="21"/>
              </w:rPr>
              <w:t>70,000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28×28</w:t>
            </w:r>
          </w:p>
        </w:tc>
        <w:tc>
          <w:tcPr>
            <w:tcW w:type="dxa" w:w="1559"/>
            <w:tcBorders>
              <w:left w:val="nil"/>
              <w:right w:val="nil"/>
              <w:top w:val="nil"/>
              <w:bottom w:val="nil"/>
            </w:tcBorders>
          </w:tcPr>
          <w:p>
            <w:pPr>
              <w:jc w:val="center"/>
            </w:pPr>
            <w:r>
              <w:rPr>
                <w:rFonts w:ascii="宋体" w:hAnsi="宋体" w:eastAsia="宋体"/>
                <w:sz w:val="21"/>
              </w:rPr>
              <w:t>1998</w:t>
            </w:r>
          </w:p>
        </w:tc>
        <w:tc>
          <w:tcPr>
            <w:tcW w:type="dxa" w:w="1559"/>
            <w:tcBorders>
              <w:left w:val="nil"/>
              <w:right w:val="nil"/>
              <w:top w:val="nil"/>
              <w:bottom w:val="nil"/>
            </w:tcBorders>
          </w:tcPr>
          <w:p>
            <w:pPr>
              <w:jc w:val="center"/>
            </w:pPr>
            <w:r>
              <w:rPr>
                <w:rFonts w:ascii="宋体" w:hAnsi="宋体" w:eastAsia="宋体"/>
                <w:sz w:val="21"/>
              </w:rPr>
              <w:t>手写数字识别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通用物体识别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细粒度分类</w:t>
            </w:r>
          </w:p>
        </w:tc>
      </w:tr>
      <w:tr>
        <w:trPr>
          <w:cantSplit w:val="0"/>
        </w:trPr>
        <w:tc>
          <w:tcPr>
            <w:tcW w:type="dxa" w:w="1559"/>
            <w:tcBorders>
              <w:left w:val="nil"/>
              <w:right w:val="nil"/>
              <w:top w:val="nil"/>
              <w:bottom w:val="nil"/>
            </w:tcBorders>
          </w:tcPr>
          <w:p>
            <w:pPr>
              <w:jc w:val="center"/>
            </w:pPr>
            <w:r>
              <w:rPr>
                <w:rFonts w:ascii="宋体" w:hAnsi="宋体" w:eastAsia="宋体"/>
                <w:sz w:val="21"/>
              </w:rPr>
              <w:t>ImageNet</w:t>
            </w:r>
          </w:p>
        </w:tc>
        <w:tc>
          <w:tcPr>
            <w:tcW w:type="dxa" w:w="1559"/>
            <w:tcBorders>
              <w:left w:val="nil"/>
              <w:right w:val="nil"/>
              <w:top w:val="nil"/>
              <w:bottom w:val="nil"/>
            </w:tcBorders>
          </w:tcPr>
          <w:p>
            <w:pPr>
              <w:jc w:val="center"/>
            </w:pPr>
            <w:r>
              <w:rPr>
                <w:rFonts w:ascii="宋体" w:hAnsi="宋体" w:eastAsia="宋体"/>
                <w:sz w:val="21"/>
              </w:rPr>
              <w:t>1,400,000</w:t>
            </w:r>
          </w:p>
        </w:tc>
        <w:tc>
          <w:tcPr>
            <w:tcW w:type="dxa" w:w="1559"/>
            <w:tcBorders>
              <w:left w:val="nil"/>
              <w:right w:val="nil"/>
              <w:top w:val="nil"/>
              <w:bottom w:val="nil"/>
            </w:tcBorders>
          </w:tcPr>
          <w:p>
            <w:pPr>
              <w:jc w:val="center"/>
            </w:pPr>
            <w:r>
              <w:rPr>
                <w:rFonts w:ascii="宋体" w:hAnsi="宋体" w:eastAsia="宋体"/>
                <w:sz w:val="21"/>
              </w:rPr>
              <w:t>1000</w:t>
            </w:r>
          </w:p>
        </w:tc>
        <w:tc>
          <w:tcPr>
            <w:tcW w:type="dxa" w:w="1559"/>
            <w:tcBorders>
              <w:left w:val="nil"/>
              <w:right w:val="nil"/>
              <w:top w:val="nil"/>
              <w:bottom w:val="nil"/>
            </w:tcBorders>
          </w:tcPr>
          <w:p>
            <w:pPr>
              <w:jc w:val="center"/>
            </w:pPr>
            <w:r>
              <w:rPr>
                <w:rFonts w:ascii="宋体" w:hAnsi="宋体" w:eastAsia="宋体"/>
                <w:sz w:val="21"/>
              </w:rPr>
              <w:t>可变</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大规模视觉识别</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COCO</w:t>
            </w:r>
          </w:p>
        </w:tc>
        <w:tc>
          <w:tcPr>
            <w:tcW w:type="dxa" w:w="1559"/>
            <w:tcBorders>
              <w:left w:val="nil"/>
              <w:right w:val="nil"/>
              <w:top w:val="nil"/>
              <w:bottom w:val="single" w:sz="12" w:color="000000" w:space="0"/>
            </w:tcBorders>
          </w:tcPr>
          <w:p>
            <w:pPr>
              <w:jc w:val="center"/>
            </w:pPr>
            <w:r>
              <w:rPr>
                <w:rFonts w:ascii="宋体" w:hAnsi="宋体" w:eastAsia="宋体"/>
                <w:sz w:val="21"/>
              </w:rPr>
              <w:t>330,000</w:t>
            </w:r>
          </w:p>
        </w:tc>
        <w:tc>
          <w:tcPr>
            <w:tcW w:type="dxa" w:w="1559"/>
            <w:tcBorders>
              <w:left w:val="nil"/>
              <w:right w:val="nil"/>
              <w:top w:val="nil"/>
              <w:bottom w:val="single" w:sz="12" w:color="000000" w:space="0"/>
            </w:tcBorders>
          </w:tcPr>
          <w:p>
            <w:pPr>
              <w:jc w:val="center"/>
            </w:pPr>
            <w:r>
              <w:rPr>
                <w:rFonts w:ascii="宋体" w:hAnsi="宋体" w:eastAsia="宋体"/>
                <w:sz w:val="21"/>
              </w:rPr>
              <w:t>80</w:t>
            </w:r>
          </w:p>
        </w:tc>
        <w:tc>
          <w:tcPr>
            <w:tcW w:type="dxa" w:w="1559"/>
            <w:tcBorders>
              <w:left w:val="nil"/>
              <w:right w:val="nil"/>
              <w:top w:val="nil"/>
              <w:bottom w:val="single" w:sz="12" w:color="000000" w:space="0"/>
            </w:tcBorders>
          </w:tcPr>
          <w:p>
            <w:pPr>
              <w:jc w:val="center"/>
            </w:pPr>
            <w:r>
              <w:rPr>
                <w:rFonts w:ascii="宋体" w:hAnsi="宋体" w:eastAsia="宋体"/>
                <w:sz w:val="21"/>
              </w:rPr>
              <w:t>可变</w:t>
            </w:r>
          </w:p>
        </w:tc>
        <w:tc>
          <w:tcPr>
            <w:tcW w:type="dxa" w:w="1559"/>
            <w:tcBorders>
              <w:left w:val="nil"/>
              <w:right w:val="nil"/>
              <w:top w:val="nil"/>
              <w:bottom w:val="single" w:sz="12" w:color="000000" w:space="0"/>
            </w:tcBorders>
          </w:tcPr>
          <w:p>
            <w:pPr>
              <w:jc w:val="center"/>
            </w:pPr>
            <w:r>
              <w:rPr>
                <w:rFonts w:ascii="宋体" w:hAnsi="宋体" w:eastAsia="宋体"/>
                <w:sz w:val="21"/>
              </w:rPr>
              <w:t>2014</w:t>
            </w:r>
          </w:p>
        </w:tc>
        <w:tc>
          <w:tcPr>
            <w:tcW w:type="dxa" w:w="1559"/>
            <w:tcBorders>
              <w:left w:val="nil"/>
              <w:right w:val="nil"/>
              <w:top w:val="nil"/>
              <w:bottom w:val="single" w:sz="12" w:color="000000" w:space="0"/>
            </w:tcBorders>
          </w:tcPr>
          <w:p>
            <w:pPr>
              <w:jc w:val="center"/>
            </w:pPr>
            <w:r>
              <w:rPr>
                <w:rFonts w:ascii="宋体" w:hAnsi="宋体" w:eastAsia="宋体"/>
                <w:sz w:val="21"/>
              </w:rPr>
              <w:t>目标检测与分割</w:t>
            </w:r>
          </w:p>
        </w:tc>
      </w:tr>
    </w:tbl>
    <w:p>
      <w:r>
        <w:rPr>
          <w:rFonts w:ascii="宋体" w:hAnsi="宋体" w:eastAsia="宋体"/>
          <w:sz w:val="18"/>
        </w:rPr>
        <w:t>来源：公开数据</w:t>
      </w:r>
    </w:p>
    <w:p/>
    <w:p>
      <w:pPr>
        <w:spacing w:before="0" w:after="0" w:line="360" w:lineRule="auto"/>
        <w:ind w:firstLine="480" w:firstLineChars="20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20"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20"/>
    </w:p>
    <w:p>
      <w:pPr>
        <w:spacing w:before="0" w:after="0" w:line="360" w:lineRule="auto"/>
        <w:ind w:firstLine="480" w:firstLineChars="200"/>
        <w:jc w:val="both"/>
      </w:pPr>
      <w:r>
        <w:rPr>
          <w:rFonts w:ascii="Times New Roman" w:hAnsi="Times New Roman" w:eastAsia="宋体"/>
          <w:b w:val="0"/>
          <w:sz w:val="24"/>
        </w:rPr>
        <w:t>本章详细分析VGG、GoogLeNet和ResNet等代表性CNN架构的设计思想、技术创新和性能特点。</w:t>
      </w:r>
    </w:p>
    <w:p>
      <w:bookmarkStart w:id="21" w:name="_Heading_3_1"/>
      <w:pPr>
        <w:jc w:val="left"/>
      </w:pPr>
      <w:r>
        <w:rPr>
          <w:rFonts w:ascii="Times New Roman" w:hAnsi="Times New Roman"/>
          <w:b/>
          <w:sz w:val="28"/>
        </w:rPr>
        <w:t xml:space="preserve">3.1 </w:t>
      </w:r>
      <w:r>
        <w:rPr>
          <w:rFonts w:ascii="宋体" w:hAnsi="宋体" w:eastAsia="宋体"/>
          <w:b/>
          <w:sz w:val="28"/>
        </w:rPr>
        <w:t>VGG网络</w:t>
      </w:r>
      <w:bookmarkEnd w:id="21"/>
    </w:p>
    <w:p>
      <w:pPr>
        <w:spacing w:before="0" w:after="0" w:line="360" w:lineRule="auto"/>
        <w:ind w:firstLine="480" w:firstLineChars="20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22" w:name="_Heading_3_1_1"/>
      <w:pPr>
        <w:jc w:val="left"/>
      </w:pPr>
      <w:r>
        <w:rPr>
          <w:rFonts w:ascii="Times New Roman" w:hAnsi="Times New Roman"/>
          <w:b/>
          <w:sz w:val="24"/>
        </w:rPr>
        <w:t xml:space="preserve">3.1.1 </w:t>
      </w:r>
      <w:r>
        <w:rPr>
          <w:rFonts w:ascii="宋体" w:hAnsi="宋体" w:eastAsia="宋体"/>
          <w:b/>
          <w:sz w:val="24"/>
        </w:rPr>
        <w:t>网络结构设计</w:t>
      </w:r>
      <w:bookmarkEnd w:id="22"/>
    </w:p>
    <w:p>
      <w:pPr>
        <w:spacing w:before="0" w:after="0" w:line="360" w:lineRule="auto"/>
        <w:ind w:firstLine="480" w:firstLineChars="20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4"/>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w:t>
      </w:r>
      <w:r>
        <w:rPr>
          <w:rFonts w:ascii="宋体" w:hAnsi="宋体" w:eastAsia="宋体"/>
          <w:sz w:val="21"/>
        </w:rPr>
        <w:t>3</w:t>
      </w:r>
      <w:r>
        <w:rPr>
          <w:rFonts w:ascii="宋体" w:hAnsi="宋体" w:eastAsia="宋体"/>
          <w:sz w:val="21"/>
        </w:rPr>
        <w:t>-</w:t>
      </w:r>
      <w:r>
        <w:rPr>
          <w:rFonts w:ascii="宋体" w:hAnsi="宋体" w:eastAsia="宋体"/>
          <w:sz w:val="21"/>
        </w:rPr>
        <w:fldChar w:fldCharType="begin"/>
        <w:instrText xml:space="preserve"> SEQ Figure_3 \* ARABIC </w:instrText>
        <w:fldChar w:fldCharType="end"/>
      </w:r>
      <w:r>
        <w:rPr>
          <w:rFonts w:ascii="宋体" w:hAnsi="宋体" w:eastAsia="宋体"/>
          <w:sz w:val="21"/>
        </w:rPr>
        <w:t xml:space="preserve"> VGG-16网络架构图</w:t>
      </w:r>
    </w:p>
    <w:p>
      <w:r>
        <w:rPr>
          <w:rFonts w:ascii="宋体" w:hAnsi="宋体" w:eastAsia="宋体"/>
          <w:sz w:val="18"/>
        </w:rPr>
        <w:t>来源：Simonyan et al., 2014</w:t>
      </w:r>
    </w:p>
    <w:p/>
    <w:p>
      <w:bookmarkStart w:id="23" w:name="_Heading_3_1_2"/>
      <w:pPr>
        <w:jc w:val="left"/>
      </w:pPr>
      <w:r>
        <w:rPr>
          <w:rFonts w:ascii="Times New Roman" w:hAnsi="Times New Roman"/>
          <w:b/>
          <w:sz w:val="24"/>
        </w:rPr>
        <w:t xml:space="preserve">3.1.2 </w:t>
      </w:r>
      <w:r>
        <w:rPr>
          <w:rFonts w:ascii="宋体" w:hAnsi="宋体" w:eastAsia="宋体"/>
          <w:b/>
          <w:sz w:val="24"/>
        </w:rPr>
        <w:t>优缺点分析</w:t>
      </w:r>
      <w:bookmarkEnd w:id="23"/>
    </w:p>
    <w:p>
      <w:pPr>
        <w:spacing w:before="0" w:after="0" w:line="360" w:lineRule="auto"/>
        <w:ind w:firstLine="480" w:firstLineChars="20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4" w:name="_Heading_3_2"/>
      <w:pPr>
        <w:jc w:val="left"/>
      </w:pPr>
      <w:r>
        <w:rPr>
          <w:rFonts w:ascii="Times New Roman" w:hAnsi="Times New Roman"/>
          <w:b/>
          <w:sz w:val="28"/>
        </w:rPr>
        <w:t xml:space="preserve">3.2 </w:t>
      </w:r>
      <w:r>
        <w:rPr>
          <w:rFonts w:ascii="宋体" w:hAnsi="宋体" w:eastAsia="宋体"/>
          <w:b/>
          <w:sz w:val="28"/>
        </w:rPr>
        <w:t>GoogLeNet与Inception模块</w:t>
      </w:r>
      <w:bookmarkEnd w:id="24"/>
    </w:p>
    <w:p>
      <w:pPr>
        <w:spacing w:before="0" w:after="0" w:line="360" w:lineRule="auto"/>
        <w:ind w:firstLine="480" w:firstLineChars="200"/>
        <w:jc w:val="both"/>
      </w:pPr>
      <w:r>
        <w:rPr>
          <w:rFonts w:ascii="Times New Roman" w:hAnsi="Times New Roman" w:eastAsia="宋体"/>
          <w:b w:val="0"/>
          <w:sz w:val="24"/>
        </w:rPr>
        <w:t>GoogLeNet引入了Inception模块，通过并行使用不同尺寸的卷积核，在同一层级提取多尺度特征。</w:t>
      </w:r>
    </w:p>
    <w:p>
      <w:bookmarkStart w:id="25" w:name="_Heading_3_2_1"/>
      <w:pPr>
        <w:jc w:val="left"/>
      </w:pPr>
      <w:r>
        <w:rPr>
          <w:rFonts w:ascii="Times New Roman" w:hAnsi="Times New Roman"/>
          <w:b/>
          <w:sz w:val="24"/>
        </w:rPr>
        <w:t xml:space="preserve">3.2.1 </w:t>
      </w:r>
      <w:r>
        <w:rPr>
          <w:rFonts w:ascii="宋体" w:hAnsi="宋体" w:eastAsia="宋体"/>
          <w:b/>
          <w:sz w:val="24"/>
        </w:rPr>
        <w:t>Inception模块设计</w:t>
      </w:r>
      <w:bookmarkEnd w:id="25"/>
    </w:p>
    <w:p>
      <w:pPr>
        <w:spacing w:before="0" w:after="0" w:line="360" w:lineRule="auto"/>
        <w:ind w:firstLine="480" w:firstLineChars="200"/>
        <w:jc w:val="both"/>
      </w:pPr>
      <w:r>
        <w:rPr>
          <w:rFonts w:ascii="Times New Roman" w:hAnsi="Times New Roman" w:eastAsia="宋体"/>
          <w:b w:val="0"/>
          <w:sz w:val="24"/>
        </w:rPr>
        <w:t>Inception模块包含多个并行分支。简化表示：</w:t>
      </w:r>
    </w:p>
    <w:p>
      <w:pPr>
        <w:keepNext/>
      </w:pPr>
    </w:p>
    <w:p>
      <w:pPr>
        <w:keepLines/>
        <w:tabs>
          <w:tab w:val="center" w:pos="4677"/>
          <w:tab w:val="right" w:pos="9072"/>
        </w:tabs>
      </w:pPr>
      <w:r>
        <w:tab/>
      </w:r>
      <m:oMathPara>
        <m:oMath>
          <m:r>
            <m:rPr>
              <m:sty m:val="i"/>
            </m:rPr>
            <w:rPr>
              <w:rFonts w:ascii="Times New Roman" w:hAnsi="Times New Roman"/>
              <w:sz w:val="21"/>
            </w:rPr>
            <m:t>O</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A</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C</m:t>
          </m:r>
        </m:oMath>
      </m:oMathPara>
      <w:r>
        <w:tab/>
      </w:r>
      <w:r>
        <w:rPr>
          <w:rFonts w:ascii="Times New Roman" w:hAnsi="Times New Roman"/>
          <w:sz w:val="21"/>
        </w:rPr>
        <w:t>(3-1)</w:t>
      </w:r>
    </w:p>
    <w:p/>
    <w:p>
      <w:pPr>
        <w:spacing w:before="0" w:after="0" w:line="360" w:lineRule="auto"/>
        <w:ind w:firstLine="480" w:firstLineChars="200"/>
        <w:jc w:val="both"/>
      </w:pPr>
      <w:r>
        <w:rPr>
          <w:rFonts w:ascii="Times New Roman" w:hAnsi="Times New Roman" w:eastAsia="宋体"/>
          <w:b w:val="0"/>
          <w:sz w:val="24"/>
        </w:rPr>
        <w:t>其中1×1卷积用于降维，减少计算量。Inception-v1将网络参数量从VGG的138M降至6.8M。</w:t>
      </w:r>
    </w:p>
    <w:p>
      <w:bookmarkStart w:id="26" w:name="_Heading_3_2_2"/>
      <w:pPr>
        <w:jc w:val="left"/>
      </w:pPr>
      <w:r>
        <w:rPr>
          <w:rFonts w:ascii="Times New Roman" w:hAnsi="Times New Roman"/>
          <w:b/>
          <w:sz w:val="24"/>
        </w:rPr>
        <w:t xml:space="preserve">3.2.2 </w:t>
      </w:r>
      <w:r>
        <w:rPr>
          <w:rFonts w:ascii="宋体" w:hAnsi="宋体" w:eastAsia="宋体"/>
          <w:b/>
          <w:sz w:val="24"/>
        </w:rPr>
        <w:t>辅助分类器</w:t>
      </w:r>
      <w:bookmarkEnd w:id="26"/>
    </w:p>
    <w:p>
      <w:pPr>
        <w:spacing w:before="0" w:after="0" w:line="360" w:lineRule="auto"/>
        <w:ind w:firstLine="480" w:firstLineChars="20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7" w:name="_Heading_3_3"/>
      <w:pPr>
        <w:jc w:val="left"/>
      </w:pPr>
      <w:r>
        <w:rPr>
          <w:rFonts w:ascii="Times New Roman" w:hAnsi="Times New Roman"/>
          <w:b/>
          <w:sz w:val="28"/>
        </w:rPr>
        <w:t xml:space="preserve">3.3 </w:t>
      </w:r>
      <w:r>
        <w:rPr>
          <w:rFonts w:ascii="宋体" w:hAnsi="宋体" w:eastAsia="宋体"/>
          <w:b/>
          <w:sz w:val="28"/>
        </w:rPr>
        <w:t>ResNet残差网络</w:t>
      </w:r>
      <w:bookmarkEnd w:id="27"/>
    </w:p>
    <w:p>
      <w:pPr>
        <w:spacing w:before="0" w:after="0" w:line="360" w:lineRule="auto"/>
        <w:ind w:firstLine="480" w:firstLineChars="20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8" w:name="_Heading_3_3_1"/>
      <w:pPr>
        <w:jc w:val="left"/>
      </w:pPr>
      <w:r>
        <w:rPr>
          <w:rFonts w:ascii="Times New Roman" w:hAnsi="Times New Roman"/>
          <w:b/>
          <w:sz w:val="24"/>
        </w:rPr>
        <w:t xml:space="preserve">3.3.1 </w:t>
      </w:r>
      <w:r>
        <w:rPr>
          <w:rFonts w:ascii="宋体" w:hAnsi="宋体" w:eastAsia="宋体"/>
          <w:b/>
          <w:sz w:val="24"/>
        </w:rPr>
        <w:t>残差学习原理</w:t>
      </w:r>
      <w:bookmarkEnd w:id="28"/>
    </w:p>
    <w:p>
      <w:pPr>
        <w:spacing w:before="0" w:after="0" w:line="360" w:lineRule="auto"/>
        <w:ind w:firstLine="480" w:firstLineChars="200"/>
        <w:jc w:val="both"/>
      </w:pPr>
      <w:r>
        <w:rPr>
          <w:rFonts w:ascii="Times New Roman" w:hAnsi="Times New Roman" w:eastAsia="宋体"/>
          <w:b w:val="0"/>
          <w:sz w:val="24"/>
        </w:rPr>
        <w:t>残差块将学习目标从直接拟合映射H(x)改为学习残差F(x)=H(x)-x。残差结构的数学表达式为：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F</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oMath>
      </m:oMathPara>
      <w:r>
        <w:tab/>
      </w:r>
      <w:r>
        <w:rPr>
          <w:rFonts w:ascii="Times New Roman" w:hAnsi="Times New Roman"/>
          <w:sz w:val="21"/>
        </w:rPr>
        <w:t>(3-2)</w:t>
      </w:r>
    </w:p>
    <w:p/>
    <w:p>
      <w:pPr>
        <w:spacing w:before="0" w:after="0" w:line="360" w:lineRule="auto"/>
        <w:ind w:firstLine="480" w:firstLineChars="200"/>
        <w:jc w:val="both"/>
      </w:pPr>
      <w:r>
        <w:rPr>
          <w:rFonts w:ascii="Times New Roman" w:hAnsi="Times New Roman" w:eastAsia="宋体"/>
          <w:b w:val="0"/>
          <w:sz w:val="24"/>
        </w:rPr>
        <w:t>这种设计使得即使残差函数F(x)接近零，网络仍能保持恒等映射，不会造成性能退化。</w:t>
      </w:r>
    </w:p>
    <w:p>
      <w:bookmarkStart w:id="29" w:name="_Heading_3_3_2"/>
      <w:pPr>
        <w:jc w:val="left"/>
      </w:pPr>
      <w:r>
        <w:rPr>
          <w:rFonts w:ascii="Times New Roman" w:hAnsi="Times New Roman"/>
          <w:b/>
          <w:sz w:val="24"/>
        </w:rPr>
        <w:t xml:space="preserve">3.3.2 </w:t>
      </w:r>
      <w:r>
        <w:rPr>
          <w:rFonts w:ascii="宋体" w:hAnsi="宋体" w:eastAsia="宋体"/>
          <w:b/>
          <w:sz w:val="24"/>
        </w:rPr>
        <w:t>瓶颈结构</w:t>
      </w:r>
      <w:bookmarkEnd w:id="29"/>
    </w:p>
    <w:p>
      <w:pPr>
        <w:spacing w:before="0" w:after="0" w:line="360" w:lineRule="auto"/>
        <w:ind w:firstLine="480" w:firstLineChars="20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w:t>
      </w:r>
      <w:r>
        <w:rPr>
          <w:rFonts w:ascii="宋体" w:hAnsi="宋体" w:eastAsia="宋体"/>
          <w:sz w:val="21"/>
        </w:rPr>
        <w:t>3</w:t>
      </w:r>
      <w:r>
        <w:rPr>
          <w:rFonts w:ascii="宋体" w:hAnsi="宋体" w:eastAsia="宋体"/>
          <w:sz w:val="21"/>
        </w:rPr>
        <w:t>-</w:t>
      </w:r>
      <w:r>
        <w:rPr>
          <w:rFonts w:ascii="宋体" w:hAnsi="宋体" w:eastAsia="宋体"/>
          <w:sz w:val="21"/>
        </w:rPr>
        <w:fldChar w:fldCharType="begin"/>
        <w:instrText xml:space="preserve"> SEQ Table_3 \* ARABIC </w:instrText>
        <w:fldChar w:fldCharType="end"/>
      </w:r>
      <w:r>
        <w:rPr>
          <w:rFonts w:ascii="宋体" w:hAnsi="宋体" w:eastAsia="宋体"/>
          <w:sz w:val="21"/>
        </w:rPr>
        <w:t xml:space="preserve"> ResNet不同深度变体性能对比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网络变体</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FLOPs(G)</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训练时间(天)</w:t>
            </w:r>
          </w:p>
        </w:tc>
      </w:tr>
      <w:tr>
        <w:trPr>
          <w:cantSplit w:val="0"/>
        </w:trPr>
        <w:tc>
          <w:tcPr>
            <w:tcW w:type="dxa" w:w="1559"/>
            <w:tcBorders>
              <w:left w:val="nil"/>
              <w:right w:val="nil"/>
              <w:top w:val="nil"/>
              <w:bottom w:val="nil"/>
            </w:tcBorders>
          </w:tcPr>
          <w:p>
            <w:pPr>
              <w:jc w:val="center"/>
            </w:pPr>
            <w:r>
              <w:rPr>
                <w:rFonts w:ascii="宋体" w:hAnsi="宋体" w:eastAsia="宋体"/>
                <w:sz w:val="21"/>
              </w:rPr>
              <w:t>ResNet-18</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11.7</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2</w:t>
            </w:r>
          </w:p>
        </w:tc>
      </w:tr>
      <w:tr>
        <w:trPr>
          <w:cantSplit w:val="0"/>
        </w:trPr>
        <w:tc>
          <w:tcPr>
            <w:tcW w:type="dxa" w:w="1559"/>
            <w:tcBorders>
              <w:left w:val="nil"/>
              <w:right w:val="nil"/>
              <w:top w:val="nil"/>
              <w:bottom w:val="nil"/>
            </w:tcBorders>
          </w:tcPr>
          <w:p>
            <w:pPr>
              <w:jc w:val="center"/>
            </w:pPr>
            <w:r>
              <w:rPr>
                <w:rFonts w:ascii="宋体" w:hAnsi="宋体" w:eastAsia="宋体"/>
                <w:sz w:val="21"/>
              </w:rPr>
              <w:t>ResNet-34</w:t>
            </w:r>
          </w:p>
        </w:tc>
        <w:tc>
          <w:tcPr>
            <w:tcW w:type="dxa" w:w="1559"/>
            <w:tcBorders>
              <w:left w:val="nil"/>
              <w:right w:val="nil"/>
              <w:top w:val="nil"/>
              <w:bottom w:val="nil"/>
            </w:tcBorders>
          </w:tcPr>
          <w:p>
            <w:pPr>
              <w:jc w:val="center"/>
            </w:pPr>
            <w:r>
              <w:rPr>
                <w:rFonts w:ascii="宋体" w:hAnsi="宋体" w:eastAsia="宋体"/>
                <w:sz w:val="21"/>
              </w:rPr>
              <w:t>34</w:t>
            </w:r>
          </w:p>
        </w:tc>
        <w:tc>
          <w:tcPr>
            <w:tcW w:type="dxa" w:w="1559"/>
            <w:tcBorders>
              <w:left w:val="nil"/>
              <w:right w:val="nil"/>
              <w:top w:val="nil"/>
              <w:bottom w:val="nil"/>
            </w:tcBorders>
          </w:tcPr>
          <w:p>
            <w:pPr>
              <w:jc w:val="center"/>
            </w:pPr>
            <w:r>
              <w:rPr>
                <w:rFonts w:ascii="宋体" w:hAnsi="宋体" w:eastAsia="宋体"/>
                <w:sz w:val="21"/>
              </w:rPr>
              <w:t>21.8</w:t>
            </w:r>
          </w:p>
        </w:tc>
        <w:tc>
          <w:tcPr>
            <w:tcW w:type="dxa" w:w="1559"/>
            <w:tcBorders>
              <w:left w:val="nil"/>
              <w:right w:val="nil"/>
              <w:top w:val="nil"/>
              <w:bottom w:val="nil"/>
            </w:tcBorders>
          </w:tcPr>
          <w:p>
            <w:pPr>
              <w:jc w:val="center"/>
            </w:pPr>
            <w:r>
              <w:rPr>
                <w:rFonts w:ascii="宋体" w:hAnsi="宋体" w:eastAsia="宋体"/>
                <w:sz w:val="21"/>
              </w:rPr>
              <w:t>3.7</w:t>
            </w:r>
          </w:p>
        </w:tc>
        <w:tc>
          <w:tcPr>
            <w:tcW w:type="dxa" w:w="1559"/>
            <w:tcBorders>
              <w:left w:val="nil"/>
              <w:right w:val="nil"/>
              <w:top w:val="nil"/>
              <w:bottom w:val="nil"/>
            </w:tcBorders>
          </w:tcPr>
          <w:p>
            <w:pPr>
              <w:jc w:val="center"/>
            </w:pPr>
            <w:r>
              <w:rPr>
                <w:rFonts w:ascii="宋体" w:hAnsi="宋体" w:eastAsia="宋体"/>
                <w:sz w:val="21"/>
              </w:rPr>
              <w:t>73.3</w:t>
            </w:r>
          </w:p>
        </w:tc>
        <w:tc>
          <w:tcPr>
            <w:tcW w:type="dxa" w:w="1559"/>
            <w:tcBorders>
              <w:left w:val="nil"/>
              <w:right w:val="nil"/>
              <w:top w:val="nil"/>
              <w:bottom w:val="nil"/>
            </w:tcBorders>
          </w:tcPr>
          <w:p>
            <w:pPr>
              <w:jc w:val="center"/>
            </w:pPr>
            <w:r>
              <w:rPr>
                <w:rFonts w:ascii="宋体" w:hAnsi="宋体" w:eastAsia="宋体"/>
                <w:sz w:val="21"/>
              </w:rPr>
              <w:t>3</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4.1</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5</w:t>
            </w:r>
          </w:p>
        </w:tc>
      </w:tr>
      <w:tr>
        <w:trPr>
          <w:cantSplit w:val="0"/>
        </w:trPr>
        <w:tc>
          <w:tcPr>
            <w:tcW w:type="dxa" w:w="1559"/>
            <w:tcBorders>
              <w:left w:val="nil"/>
              <w:right w:val="nil"/>
              <w:top w:val="nil"/>
              <w:bottom w:val="nil"/>
            </w:tcBorders>
          </w:tcPr>
          <w:p>
            <w:pPr>
              <w:jc w:val="center"/>
            </w:pPr>
            <w:r>
              <w:rPr>
                <w:rFonts w:ascii="宋体" w:hAnsi="宋体" w:eastAsia="宋体"/>
                <w:sz w:val="21"/>
              </w:rPr>
              <w:t>ResNet-101</w:t>
            </w:r>
          </w:p>
        </w:tc>
        <w:tc>
          <w:tcPr>
            <w:tcW w:type="dxa" w:w="1559"/>
            <w:tcBorders>
              <w:left w:val="nil"/>
              <w:right w:val="nil"/>
              <w:top w:val="nil"/>
              <w:bottom w:val="nil"/>
            </w:tcBorders>
          </w:tcPr>
          <w:p>
            <w:pPr>
              <w:jc w:val="center"/>
            </w:pPr>
            <w:r>
              <w:rPr>
                <w:rFonts w:ascii="宋体" w:hAnsi="宋体" w:eastAsia="宋体"/>
                <w:sz w:val="21"/>
              </w:rPr>
              <w:t>101</w:t>
            </w:r>
          </w:p>
        </w:tc>
        <w:tc>
          <w:tcPr>
            <w:tcW w:type="dxa" w:w="1559"/>
            <w:tcBorders>
              <w:left w:val="nil"/>
              <w:right w:val="nil"/>
              <w:top w:val="nil"/>
              <w:bottom w:val="nil"/>
            </w:tcBorders>
          </w:tcPr>
          <w:p>
            <w:pPr>
              <w:jc w:val="center"/>
            </w:pPr>
            <w:r>
              <w:rPr>
                <w:rFonts w:ascii="宋体" w:hAnsi="宋体" w:eastAsia="宋体"/>
                <w:sz w:val="21"/>
              </w:rPr>
              <w:t>44.5</w:t>
            </w:r>
          </w:p>
        </w:tc>
        <w:tc>
          <w:tcPr>
            <w:tcW w:type="dxa" w:w="1559"/>
            <w:tcBorders>
              <w:left w:val="nil"/>
              <w:right w:val="nil"/>
              <w:top w:val="nil"/>
              <w:bottom w:val="nil"/>
            </w:tcBorders>
          </w:tcPr>
          <w:p>
            <w:pPr>
              <w:jc w:val="center"/>
            </w:pPr>
            <w:r>
              <w:rPr>
                <w:rFonts w:ascii="宋体" w:hAnsi="宋体" w:eastAsia="宋体"/>
                <w:sz w:val="21"/>
              </w:rPr>
              <w:t>7.8</w:t>
            </w:r>
          </w:p>
        </w:tc>
        <w:tc>
          <w:tcPr>
            <w:tcW w:type="dxa" w:w="1559"/>
            <w:tcBorders>
              <w:left w:val="nil"/>
              <w:right w:val="nil"/>
              <w:top w:val="nil"/>
              <w:bottom w:val="nil"/>
            </w:tcBorders>
          </w:tcPr>
          <w:p>
            <w:pPr>
              <w:jc w:val="center"/>
            </w:pPr>
            <w:r>
              <w:rPr>
                <w:rFonts w:ascii="宋体" w:hAnsi="宋体" w:eastAsia="宋体"/>
                <w:sz w:val="21"/>
              </w:rPr>
              <w:t>77.4</w:t>
            </w:r>
          </w:p>
        </w:tc>
        <w:tc>
          <w:tcPr>
            <w:tcW w:type="dxa" w:w="1559"/>
            <w:tcBorders>
              <w:left w:val="nil"/>
              <w:right w:val="nil"/>
              <w:top w:val="nil"/>
              <w:bottom w:val="nil"/>
            </w:tcBorders>
          </w:tcPr>
          <w:p>
            <w:pPr>
              <w:jc w:val="center"/>
            </w:pPr>
            <w:r>
              <w:rPr>
                <w:rFonts w:ascii="宋体" w:hAnsi="宋体" w:eastAsia="宋体"/>
                <w:sz w:val="21"/>
              </w:rPr>
              <w:t>8</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ResNet-152</w:t>
            </w:r>
          </w:p>
        </w:tc>
        <w:tc>
          <w:tcPr>
            <w:tcW w:type="dxa" w:w="1559"/>
            <w:tcBorders>
              <w:left w:val="nil"/>
              <w:right w:val="nil"/>
              <w:top w:val="nil"/>
              <w:bottom w:val="single" w:sz="12" w:color="000000" w:space="0"/>
            </w:tcBorders>
          </w:tcPr>
          <w:p>
            <w:pPr>
              <w:jc w:val="center"/>
            </w:pPr>
            <w:r>
              <w:rPr>
                <w:rFonts w:ascii="宋体" w:hAnsi="宋体" w:eastAsia="宋体"/>
                <w:sz w:val="21"/>
              </w:rPr>
              <w:t>152</w:t>
            </w:r>
          </w:p>
        </w:tc>
        <w:tc>
          <w:tcPr>
            <w:tcW w:type="dxa" w:w="1559"/>
            <w:tcBorders>
              <w:left w:val="nil"/>
              <w:right w:val="nil"/>
              <w:top w:val="nil"/>
              <w:bottom w:val="single" w:sz="12" w:color="000000" w:space="0"/>
            </w:tcBorders>
          </w:tcPr>
          <w:p>
            <w:pPr>
              <w:jc w:val="center"/>
            </w:pPr>
            <w:r>
              <w:rPr>
                <w:rFonts w:ascii="宋体" w:hAnsi="宋体" w:eastAsia="宋体"/>
                <w:sz w:val="21"/>
              </w:rPr>
              <w:t>60.2</w:t>
            </w:r>
          </w:p>
        </w:tc>
        <w:tc>
          <w:tcPr>
            <w:tcW w:type="dxa" w:w="1559"/>
            <w:tcBorders>
              <w:left w:val="nil"/>
              <w:right w:val="nil"/>
              <w:top w:val="nil"/>
              <w:bottom w:val="single" w:sz="12" w:color="000000" w:space="0"/>
            </w:tcBorders>
          </w:tcPr>
          <w:p>
            <w:pPr>
              <w:jc w:val="center"/>
            </w:pPr>
            <w:r>
              <w:rPr>
                <w:rFonts w:ascii="宋体" w:hAnsi="宋体" w:eastAsia="宋体"/>
                <w:sz w:val="21"/>
              </w:rPr>
              <w:t>11.6</w:t>
            </w:r>
          </w:p>
        </w:tc>
        <w:tc>
          <w:tcPr>
            <w:tcW w:type="dxa" w:w="1559"/>
            <w:tcBorders>
              <w:left w:val="nil"/>
              <w:right w:val="nil"/>
              <w:top w:val="nil"/>
              <w:bottom w:val="single" w:sz="12" w:color="000000" w:space="0"/>
            </w:tcBorders>
          </w:tcPr>
          <w:p>
            <w:pPr>
              <w:jc w:val="center"/>
            </w:pPr>
            <w:r>
              <w:rPr>
                <w:rFonts w:ascii="宋体" w:hAnsi="宋体" w:eastAsia="宋体"/>
                <w:sz w:val="21"/>
              </w:rPr>
              <w:t>78.3</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r>
    </w:tbl>
    <w:p>
      <w:r>
        <w:rPr>
          <w:rFonts w:ascii="宋体" w:hAnsi="宋体" w:eastAsia="宋体"/>
          <w:sz w:val="18"/>
        </w:rPr>
        <w:t>来源：He et al., 2015</w:t>
      </w:r>
    </w:p>
    <w:p/>
    <w:p>
      <w:pPr>
        <w:spacing w:before="0" w:after="0" w:line="360" w:lineRule="auto"/>
        <w:ind w:firstLine="480" w:firstLineChars="20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30" w:name="_Heading_3_4"/>
      <w:pPr>
        <w:jc w:val="left"/>
      </w:pPr>
      <w:r>
        <w:rPr>
          <w:rFonts w:ascii="Times New Roman" w:hAnsi="Times New Roman"/>
          <w:b/>
          <w:sz w:val="28"/>
        </w:rPr>
        <w:t xml:space="preserve">3.4 </w:t>
      </w:r>
      <w:r>
        <w:rPr>
          <w:rFonts w:ascii="宋体" w:hAnsi="宋体" w:eastAsia="宋体"/>
          <w:b/>
          <w:sz w:val="28"/>
        </w:rPr>
        <w:t>架构对比与分析</w:t>
      </w:r>
      <w:bookmarkEnd w:id="30"/>
    </w:p>
    <w:p>
      <w:pPr>
        <w:spacing w:before="0" w:after="0" w:line="360" w:lineRule="auto"/>
        <w:ind w:firstLine="480" w:firstLineChars="20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31"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31"/>
    </w:p>
    <w:p>
      <w:pPr>
        <w:spacing w:before="0" w:after="0" w:line="360" w:lineRule="auto"/>
        <w:ind w:firstLine="480" w:firstLineChars="200"/>
        <w:jc w:val="both"/>
      </w:pPr>
      <w:r>
        <w:rPr>
          <w:rFonts w:ascii="Times New Roman" w:hAnsi="Times New Roman" w:eastAsia="宋体"/>
          <w:b w:val="0"/>
          <w:sz w:val="24"/>
        </w:rPr>
        <w:t>本章描述实验环境配置、数据集准备、模型训练过程，并对实验结果进行详细分析。</w:t>
      </w:r>
    </w:p>
    <w:p>
      <w:bookmarkStart w:id="32" w:name="_Heading_4_1"/>
      <w:pPr>
        <w:jc w:val="left"/>
      </w:pPr>
      <w:r>
        <w:rPr>
          <w:rFonts w:ascii="Times New Roman" w:hAnsi="Times New Roman"/>
          <w:b/>
          <w:sz w:val="28"/>
        </w:rPr>
        <w:t xml:space="preserve">4.1 </w:t>
      </w:r>
      <w:r>
        <w:rPr>
          <w:rFonts w:ascii="宋体" w:hAnsi="宋体" w:eastAsia="宋体"/>
          <w:b/>
          <w:sz w:val="28"/>
        </w:rPr>
        <w:t>实验环境与数据集</w:t>
      </w:r>
      <w:bookmarkEnd w:id="32"/>
    </w:p>
    <w:p>
      <w:pPr>
        <w:spacing w:before="0" w:after="0" w:line="360" w:lineRule="auto"/>
        <w:ind w:firstLine="480" w:firstLineChars="20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Table_4 \* ARABIC </w:instrText>
        <w:fldChar w:fldCharType="end"/>
      </w:r>
      <w:r>
        <w:rPr>
          <w:rFonts w:ascii="宋体" w:hAnsi="宋体" w:eastAsia="宋体"/>
          <w:sz w:val="21"/>
        </w:rPr>
        <w:t xml:space="preserve"> 实验环境配置</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4677"/>
        <w:gridCol w:w="4677"/>
      </w:tblGrid>
      <w:tr>
        <w:trPr>
          <w:cantSplit w:val="0"/>
          <w:tblHeader w:val="on"/>
        </w:trPr>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硬件/软件</w:t>
            </w:r>
          </w:p>
        </w:tc>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配置参数</w:t>
            </w:r>
          </w:p>
        </w:tc>
      </w:tr>
      <w:tr>
        <w:trPr>
          <w:cantSplit w:val="0"/>
        </w:trPr>
        <w:tc>
          <w:tcPr>
            <w:tcW w:type="dxa" w:w="4677"/>
            <w:tcBorders>
              <w:left w:val="nil"/>
              <w:right w:val="nil"/>
              <w:top w:val="nil"/>
              <w:bottom w:val="nil"/>
            </w:tcBorders>
          </w:tcPr>
          <w:p>
            <w:pPr>
              <w:jc w:val="center"/>
            </w:pPr>
            <w:r>
              <w:rPr>
                <w:rFonts w:ascii="宋体" w:hAnsi="宋体" w:eastAsia="宋体"/>
                <w:sz w:val="21"/>
              </w:rPr>
              <w:t>CPU</w:t>
            </w:r>
          </w:p>
        </w:tc>
        <w:tc>
          <w:tcPr>
            <w:tcW w:type="dxa" w:w="4677"/>
            <w:tcBorders>
              <w:left w:val="nil"/>
              <w:right w:val="nil"/>
              <w:top w:val="nil"/>
              <w:bottom w:val="nil"/>
            </w:tcBorders>
          </w:tcPr>
          <w:p>
            <w:pPr>
              <w:jc w:val="center"/>
            </w:pPr>
            <w:r>
              <w:rPr>
                <w:rFonts w:ascii="宋体" w:hAnsi="宋体" w:eastAsia="宋体"/>
                <w:sz w:val="21"/>
              </w:rPr>
              <w:t>Intel Xeon Gold 6248R @ 3.0GHz</w:t>
            </w:r>
          </w:p>
        </w:tc>
      </w:tr>
      <w:tr>
        <w:trPr>
          <w:cantSplit w:val="0"/>
        </w:trPr>
        <w:tc>
          <w:tcPr>
            <w:tcW w:type="dxa" w:w="4677"/>
            <w:tcBorders>
              <w:left w:val="nil"/>
              <w:right w:val="nil"/>
              <w:top w:val="nil"/>
              <w:bottom w:val="nil"/>
            </w:tcBorders>
          </w:tcPr>
          <w:p>
            <w:pPr>
              <w:jc w:val="center"/>
            </w:pPr>
            <w:r>
              <w:rPr>
                <w:rFonts w:ascii="宋体" w:hAnsi="宋体" w:eastAsia="宋体"/>
                <w:sz w:val="21"/>
              </w:rPr>
              <w:t>内存</w:t>
            </w:r>
          </w:p>
        </w:tc>
        <w:tc>
          <w:tcPr>
            <w:tcW w:type="dxa" w:w="4677"/>
            <w:tcBorders>
              <w:left w:val="nil"/>
              <w:right w:val="nil"/>
              <w:top w:val="nil"/>
              <w:bottom w:val="nil"/>
            </w:tcBorders>
          </w:tcPr>
          <w:p>
            <w:pPr>
              <w:jc w:val="center"/>
            </w:pPr>
            <w:r>
              <w:rPr>
                <w:rFonts w:ascii="宋体" w:hAnsi="宋体" w:eastAsia="宋体"/>
                <w:sz w:val="21"/>
              </w:rPr>
              <w:t>128GB DDR4</w:t>
            </w:r>
          </w:p>
        </w:tc>
      </w:tr>
      <w:tr>
        <w:trPr>
          <w:cantSplit w:val="0"/>
        </w:trPr>
        <w:tc>
          <w:tcPr>
            <w:tcW w:type="dxa" w:w="4677"/>
            <w:tcBorders>
              <w:left w:val="nil"/>
              <w:right w:val="nil"/>
              <w:top w:val="nil"/>
              <w:bottom w:val="nil"/>
            </w:tcBorders>
          </w:tcPr>
          <w:p>
            <w:pPr>
              <w:jc w:val="center"/>
            </w:pPr>
            <w:r>
              <w:rPr>
                <w:rFonts w:ascii="宋体" w:hAnsi="宋体" w:eastAsia="宋体"/>
                <w:sz w:val="21"/>
              </w:rPr>
              <w:t>GPU</w:t>
            </w:r>
          </w:p>
        </w:tc>
        <w:tc>
          <w:tcPr>
            <w:tcW w:type="dxa" w:w="4677"/>
            <w:tcBorders>
              <w:left w:val="nil"/>
              <w:right w:val="nil"/>
              <w:top w:val="nil"/>
              <w:bottom w:val="nil"/>
            </w:tcBorders>
          </w:tcPr>
          <w:p>
            <w:pPr>
              <w:jc w:val="center"/>
            </w:pPr>
            <w:r>
              <w:rPr>
                <w:rFonts w:ascii="宋体" w:hAnsi="宋体" w:eastAsia="宋体"/>
                <w:sz w:val="21"/>
              </w:rPr>
              <w:t>NVIDIA RTX 3090 24GB × 2</w:t>
            </w:r>
          </w:p>
        </w:tc>
      </w:tr>
      <w:tr>
        <w:trPr>
          <w:cantSplit w:val="0"/>
        </w:trPr>
        <w:tc>
          <w:tcPr>
            <w:tcW w:type="dxa" w:w="4677"/>
            <w:tcBorders>
              <w:left w:val="nil"/>
              <w:right w:val="nil"/>
              <w:top w:val="nil"/>
              <w:bottom w:val="nil"/>
            </w:tcBorders>
          </w:tcPr>
          <w:p>
            <w:pPr>
              <w:jc w:val="center"/>
            </w:pPr>
            <w:r>
              <w:rPr>
                <w:rFonts w:ascii="宋体" w:hAnsi="宋体" w:eastAsia="宋体"/>
                <w:sz w:val="21"/>
              </w:rPr>
              <w:t>操作系统</w:t>
            </w:r>
          </w:p>
        </w:tc>
        <w:tc>
          <w:tcPr>
            <w:tcW w:type="dxa" w:w="4677"/>
            <w:tcBorders>
              <w:left w:val="nil"/>
              <w:right w:val="nil"/>
              <w:top w:val="nil"/>
              <w:bottom w:val="nil"/>
            </w:tcBorders>
          </w:tcPr>
          <w:p>
            <w:pPr>
              <w:jc w:val="center"/>
            </w:pPr>
            <w:r>
              <w:rPr>
                <w:rFonts w:ascii="宋体" w:hAnsi="宋体" w:eastAsia="宋体"/>
                <w:sz w:val="21"/>
              </w:rPr>
              <w:t>Ubuntu 20.04 LTS</w:t>
            </w:r>
          </w:p>
        </w:tc>
      </w:tr>
      <w:tr>
        <w:trPr>
          <w:cantSplit w:val="0"/>
        </w:trPr>
        <w:tc>
          <w:tcPr>
            <w:tcW w:type="dxa" w:w="4677"/>
            <w:tcBorders>
              <w:left w:val="nil"/>
              <w:right w:val="nil"/>
              <w:top w:val="nil"/>
              <w:bottom w:val="nil"/>
            </w:tcBorders>
          </w:tcPr>
          <w:p>
            <w:pPr>
              <w:jc w:val="center"/>
            </w:pPr>
            <w:r>
              <w:rPr>
                <w:rFonts w:ascii="宋体" w:hAnsi="宋体" w:eastAsia="宋体"/>
                <w:sz w:val="21"/>
              </w:rPr>
              <w:t>深度学习框架</w:t>
            </w:r>
          </w:p>
        </w:tc>
        <w:tc>
          <w:tcPr>
            <w:tcW w:type="dxa" w:w="4677"/>
            <w:tcBorders>
              <w:left w:val="nil"/>
              <w:right w:val="nil"/>
              <w:top w:val="nil"/>
              <w:bottom w:val="nil"/>
            </w:tcBorders>
          </w:tcPr>
          <w:p>
            <w:pPr>
              <w:jc w:val="center"/>
            </w:pPr>
            <w:r>
              <w:rPr>
                <w:rFonts w:ascii="宋体" w:hAnsi="宋体" w:eastAsia="宋体"/>
                <w:sz w:val="21"/>
              </w:rPr>
              <w:t>PyTorch 1.12.1</w:t>
            </w:r>
          </w:p>
        </w:tc>
      </w:tr>
      <w:tr>
        <w:trPr>
          <w:cantSplit w:val="0"/>
        </w:trPr>
        <w:tc>
          <w:tcPr>
            <w:tcW w:type="dxa" w:w="4677"/>
            <w:tcBorders>
              <w:left w:val="nil"/>
              <w:right w:val="nil"/>
              <w:top w:val="nil"/>
              <w:bottom w:val="nil"/>
            </w:tcBorders>
          </w:tcPr>
          <w:p>
            <w:pPr>
              <w:jc w:val="center"/>
            </w:pPr>
            <w:r>
              <w:rPr>
                <w:rFonts w:ascii="宋体" w:hAnsi="宋体" w:eastAsia="宋体"/>
                <w:sz w:val="21"/>
              </w:rPr>
              <w:t>CUDA版本</w:t>
            </w:r>
          </w:p>
        </w:tc>
        <w:tc>
          <w:tcPr>
            <w:tcW w:type="dxa" w:w="4677"/>
            <w:tcBorders>
              <w:left w:val="nil"/>
              <w:right w:val="nil"/>
              <w:top w:val="nil"/>
              <w:bottom w:val="nil"/>
            </w:tcBorders>
          </w:tcPr>
          <w:p>
            <w:pPr>
              <w:jc w:val="center"/>
            </w:pPr>
            <w:r>
              <w:rPr>
                <w:rFonts w:ascii="宋体" w:hAnsi="宋体" w:eastAsia="宋体"/>
                <w:sz w:val="21"/>
              </w:rPr>
              <w:t>11.3</w:t>
            </w:r>
          </w:p>
        </w:tc>
      </w:tr>
      <w:tr>
        <w:trPr>
          <w:cantSplit w:val="0"/>
        </w:trPr>
        <w:tc>
          <w:tcPr>
            <w:tcW w:type="dxa" w:w="4677"/>
            <w:tcBorders>
              <w:left w:val="nil"/>
              <w:right w:val="nil"/>
              <w:top w:val="nil"/>
              <w:bottom w:val="single" w:sz="12" w:color="000000" w:space="0"/>
            </w:tcBorders>
          </w:tcPr>
          <w:p>
            <w:pPr>
              <w:jc w:val="center"/>
            </w:pPr>
            <w:r>
              <w:rPr>
                <w:rFonts w:ascii="宋体" w:hAnsi="宋体" w:eastAsia="宋体"/>
                <w:sz w:val="21"/>
              </w:rPr>
              <w:t>Python版本</w:t>
            </w:r>
          </w:p>
        </w:tc>
        <w:tc>
          <w:tcPr>
            <w:tcW w:type="dxa" w:w="4677"/>
            <w:tcBorders>
              <w:left w:val="nil"/>
              <w:right w:val="nil"/>
              <w:top w:val="nil"/>
              <w:bottom w:val="single" w:sz="12" w:color="000000" w:space="0"/>
            </w:tcBorders>
          </w:tcPr>
          <w:p>
            <w:pPr>
              <w:jc w:val="center"/>
            </w:pPr>
            <w:r>
              <w:rPr>
                <w:rFonts w:ascii="宋体" w:hAnsi="宋体" w:eastAsia="宋体"/>
                <w:sz w:val="21"/>
              </w:rPr>
              <w:t>3.8.10</w:t>
            </w:r>
          </w:p>
        </w:tc>
      </w:tr>
    </w:tbl>
    <w:p>
      <w:r>
        <w:rPr>
          <w:rFonts w:ascii="宋体" w:hAnsi="宋体" w:eastAsia="宋体"/>
          <w:sz w:val="18"/>
        </w:rPr>
        <w:t>来源：本文实验</w:t>
      </w:r>
    </w:p>
    <w:p/>
    <w:p>
      <w:bookmarkStart w:id="33" w:name="_Heading_4_1_1"/>
      <w:pPr>
        <w:jc w:val="left"/>
      </w:pPr>
      <w:r>
        <w:rPr>
          <w:rFonts w:ascii="Times New Roman" w:hAnsi="Times New Roman"/>
          <w:b/>
          <w:sz w:val="24"/>
        </w:rPr>
        <w:t xml:space="preserve">4.1.1 </w:t>
      </w:r>
      <w:r>
        <w:rPr>
          <w:rFonts w:ascii="宋体" w:hAnsi="宋体" w:eastAsia="宋体"/>
          <w:b/>
          <w:sz w:val="24"/>
        </w:rPr>
        <w:t>数据预处理</w:t>
      </w:r>
      <w:bookmarkEnd w:id="33"/>
    </w:p>
    <w:p>
      <w:pPr>
        <w:spacing w:before="0" w:after="0" w:line="360" w:lineRule="auto"/>
        <w:ind w:firstLine="480" w:firstLineChars="20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4" w:name="_Heading_4_1_2"/>
      <w:pPr>
        <w:jc w:val="left"/>
      </w:pPr>
      <w:r>
        <w:rPr>
          <w:rFonts w:ascii="Times New Roman" w:hAnsi="Times New Roman"/>
          <w:b/>
          <w:sz w:val="24"/>
        </w:rPr>
        <w:t xml:space="preserve">4.1.2 </w:t>
      </w:r>
      <w:r>
        <w:rPr>
          <w:rFonts w:ascii="宋体" w:hAnsi="宋体" w:eastAsia="宋体"/>
          <w:b/>
          <w:sz w:val="24"/>
        </w:rPr>
        <w:t>训练参数设置</w:t>
      </w:r>
      <w:bookmarkEnd w:id="34"/>
    </w:p>
    <w:p>
      <w:pPr>
        <w:spacing w:before="0" w:after="0" w:line="360" w:lineRule="auto"/>
        <w:ind w:firstLine="480" w:firstLineChars="20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5" w:name="_Heading_4_2"/>
      <w:pPr>
        <w:jc w:val="left"/>
      </w:pPr>
      <w:r>
        <w:rPr>
          <w:rFonts w:ascii="Times New Roman" w:hAnsi="Times New Roman"/>
          <w:b/>
          <w:sz w:val="28"/>
        </w:rPr>
        <w:t xml:space="preserve">4.2 </w:t>
      </w:r>
      <w:r>
        <w:rPr>
          <w:rFonts w:ascii="宋体" w:hAnsi="宋体" w:eastAsia="宋体"/>
          <w:b/>
          <w:sz w:val="28"/>
        </w:rPr>
        <w:t>实验结果</w:t>
      </w:r>
      <w:bookmarkEnd w:id="35"/>
    </w:p>
    <w:p>
      <w:pPr>
        <w:spacing w:before="0" w:after="0" w:line="360" w:lineRule="auto"/>
        <w:ind w:firstLine="480" w:firstLineChars="200"/>
        <w:jc w:val="both"/>
      </w:pPr>
      <w:r>
        <w:rPr>
          <w:rFonts w:ascii="Times New Roman" w:hAnsi="Times New Roman" w:eastAsia="宋体"/>
          <w:b w:val="0"/>
          <w:sz w:val="24"/>
        </w:rPr>
        <w:t>在CIFAR-10数据集上，ResNet-50达到了95.3%的测试准确率，优于VGG-16的93.6%和GoogLeNet的94.1%。</w:t>
      </w:r>
    </w:p>
    <w:p/>
    <w:p>
      <w:pPr>
        <w:jc w:val="center"/>
      </w:pPr>
      <w:r>
        <w:rPr>
          <w:rFonts w:ascii="宋体" w:hAnsi="宋体" w:eastAsia="宋体"/>
          <w:sz w:val="21"/>
        </w:rPr>
        <w:t>[图片占位: 不同网络在CIFAR-10上的训练曲线]</w:t>
      </w:r>
    </w:p>
    <w:p>
      <w:pPr>
        <w:jc w:val="center"/>
      </w:pPr>
      <w:r>
        <w:rPr>
          <w:rFonts w:ascii="宋体" w:hAnsi="宋体" w:eastAsia="宋体"/>
          <w:sz w:val="21"/>
        </w:rPr>
        <w:t>图</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Figure_4 \* ARABIC </w:instrText>
        <w:fldChar w:fldCharType="end"/>
      </w:r>
      <w:r>
        <w:rPr>
          <w:rFonts w:ascii="宋体" w:hAnsi="宋体" w:eastAsia="宋体"/>
          <w:sz w:val="21"/>
        </w:rPr>
        <w:t xml:space="preserve"> 不同网络在CIFAR-10上的训练曲线</w:t>
      </w:r>
    </w:p>
    <w:p>
      <w:r>
        <w:rPr>
          <w:rFonts w:ascii="宋体" w:hAnsi="宋体" w:eastAsia="宋体"/>
          <w:sz w:val="18"/>
        </w:rPr>
        <w:t>来源：实验结果</w:t>
      </w:r>
    </w:p>
    <w:p/>
    <w:p>
      <w:pPr>
        <w:spacing w:before="0" w:after="0" w:line="360" w:lineRule="auto"/>
        <w:ind w:firstLine="480" w:firstLineChars="20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Table_4 \* ARABIC </w:instrText>
        <w:fldChar w:fldCharType="end"/>
      </w:r>
      <w:r>
        <w:rPr>
          <w:rFonts w:ascii="宋体" w:hAnsi="宋体" w:eastAsia="宋体"/>
          <w:sz w:val="21"/>
        </w:rPr>
        <w:t xml:space="preserve"> CIFAR-10数据集实验结果对比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871"/>
        <w:gridCol w:w="1871"/>
        <w:gridCol w:w="1871"/>
        <w:gridCol w:w="1871"/>
        <w:gridCol w:w="1871"/>
      </w:tblGrid>
      <w:tr>
        <w:trPr>
          <w:cantSplit w:val="0"/>
          <w:tblHeader w:val="on"/>
        </w:trPr>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模型</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训练时间(h)</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测试准确率(%)</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Top-5准确率(%)</w:t>
            </w:r>
          </w:p>
        </w:tc>
      </w:tr>
      <w:tr>
        <w:trPr>
          <w:cantSplit w:val="0"/>
        </w:trPr>
        <w:tc>
          <w:tcPr>
            <w:tcW w:type="dxa" w:w="1871"/>
            <w:tcBorders>
              <w:left w:val="nil"/>
              <w:right w:val="nil"/>
              <w:top w:val="nil"/>
              <w:bottom w:val="nil"/>
            </w:tcBorders>
          </w:tcPr>
          <w:p>
            <w:pPr>
              <w:jc w:val="center"/>
            </w:pPr>
            <w:r>
              <w:rPr>
                <w:rFonts w:ascii="宋体" w:hAnsi="宋体" w:eastAsia="宋体"/>
                <w:sz w:val="21"/>
              </w:rPr>
              <w:t>VGG-16</w:t>
            </w:r>
          </w:p>
        </w:tc>
        <w:tc>
          <w:tcPr>
            <w:tcW w:type="dxa" w:w="1871"/>
            <w:tcBorders>
              <w:left w:val="nil"/>
              <w:right w:val="nil"/>
              <w:top w:val="nil"/>
              <w:bottom w:val="nil"/>
            </w:tcBorders>
          </w:tcPr>
          <w:p>
            <w:pPr>
              <w:jc w:val="center"/>
            </w:pPr>
            <w:r>
              <w:rPr>
                <w:rFonts w:ascii="宋体" w:hAnsi="宋体" w:eastAsia="宋体"/>
                <w:sz w:val="21"/>
              </w:rPr>
              <w:t>15.0</w:t>
            </w:r>
          </w:p>
        </w:tc>
        <w:tc>
          <w:tcPr>
            <w:tcW w:type="dxa" w:w="1871"/>
            <w:tcBorders>
              <w:left w:val="nil"/>
              <w:right w:val="nil"/>
              <w:top w:val="nil"/>
              <w:bottom w:val="nil"/>
            </w:tcBorders>
          </w:tcPr>
          <w:p>
            <w:pPr>
              <w:jc w:val="center"/>
            </w:pPr>
            <w:r>
              <w:rPr>
                <w:rFonts w:ascii="宋体" w:hAnsi="宋体" w:eastAsia="宋体"/>
                <w:sz w:val="21"/>
              </w:rPr>
              <w:t>6.8</w:t>
            </w:r>
          </w:p>
        </w:tc>
        <w:tc>
          <w:tcPr>
            <w:tcW w:type="dxa" w:w="1871"/>
            <w:tcBorders>
              <w:left w:val="nil"/>
              <w:right w:val="nil"/>
              <w:top w:val="nil"/>
              <w:bottom w:val="nil"/>
            </w:tcBorders>
          </w:tcPr>
          <w:p>
            <w:pPr>
              <w:jc w:val="center"/>
            </w:pPr>
            <w:r>
              <w:rPr>
                <w:rFonts w:ascii="宋体" w:hAnsi="宋体" w:eastAsia="宋体"/>
                <w:sz w:val="21"/>
              </w:rPr>
              <w:t>93.6</w:t>
            </w:r>
          </w:p>
        </w:tc>
        <w:tc>
          <w:tcPr>
            <w:tcW w:type="dxa" w:w="1871"/>
            <w:tcBorders>
              <w:left w:val="nil"/>
              <w:right w:val="nil"/>
              <w:top w:val="nil"/>
              <w:bottom w:val="nil"/>
            </w:tcBorders>
          </w:tcPr>
          <w:p>
            <w:pPr>
              <w:jc w:val="center"/>
            </w:pPr>
            <w:r>
              <w:rPr>
                <w:rFonts w:ascii="宋体" w:hAnsi="宋体" w:eastAsia="宋体"/>
                <w:sz w:val="21"/>
              </w:rPr>
              <w:t>99.2</w:t>
            </w:r>
          </w:p>
        </w:tc>
      </w:tr>
      <w:tr>
        <w:trPr>
          <w:cantSplit w:val="0"/>
        </w:trPr>
        <w:tc>
          <w:tcPr>
            <w:tcW w:type="dxa" w:w="1871"/>
            <w:tcBorders>
              <w:left w:val="nil"/>
              <w:right w:val="nil"/>
              <w:top w:val="nil"/>
              <w:bottom w:val="nil"/>
            </w:tcBorders>
          </w:tcPr>
          <w:p>
            <w:pPr>
              <w:jc w:val="center"/>
            </w:pPr>
            <w:r>
              <w:rPr>
                <w:rFonts w:ascii="宋体" w:hAnsi="宋体" w:eastAsia="宋体"/>
                <w:sz w:val="21"/>
              </w:rPr>
              <w:t>GoogLeNet</w:t>
            </w:r>
          </w:p>
        </w:tc>
        <w:tc>
          <w:tcPr>
            <w:tcW w:type="dxa" w:w="1871"/>
            <w:tcBorders>
              <w:left w:val="nil"/>
              <w:right w:val="nil"/>
              <w:top w:val="nil"/>
              <w:bottom w:val="nil"/>
            </w:tcBorders>
          </w:tcPr>
          <w:p>
            <w:pPr>
              <w:jc w:val="center"/>
            </w:pPr>
            <w:r>
              <w:rPr>
                <w:rFonts w:ascii="宋体" w:hAnsi="宋体" w:eastAsia="宋体"/>
                <w:sz w:val="21"/>
              </w:rPr>
              <w:t>6.2</w:t>
            </w:r>
          </w:p>
        </w:tc>
        <w:tc>
          <w:tcPr>
            <w:tcW w:type="dxa" w:w="1871"/>
            <w:tcBorders>
              <w:left w:val="nil"/>
              <w:right w:val="nil"/>
              <w:top w:val="nil"/>
              <w:bottom w:val="nil"/>
            </w:tcBorders>
          </w:tcPr>
          <w:p>
            <w:pPr>
              <w:jc w:val="center"/>
            </w:pPr>
            <w:r>
              <w:rPr>
                <w:rFonts w:ascii="宋体" w:hAnsi="宋体" w:eastAsia="宋体"/>
                <w:sz w:val="21"/>
              </w:rPr>
              <w:t>5.3</w:t>
            </w:r>
          </w:p>
        </w:tc>
        <w:tc>
          <w:tcPr>
            <w:tcW w:type="dxa" w:w="1871"/>
            <w:tcBorders>
              <w:left w:val="nil"/>
              <w:right w:val="nil"/>
              <w:top w:val="nil"/>
              <w:bottom w:val="nil"/>
            </w:tcBorders>
          </w:tcPr>
          <w:p>
            <w:pPr>
              <w:jc w:val="center"/>
            </w:pPr>
            <w:r>
              <w:rPr>
                <w:rFonts w:ascii="宋体" w:hAnsi="宋体" w:eastAsia="宋体"/>
                <w:sz w:val="21"/>
              </w:rPr>
              <w:t>94.1</w:t>
            </w:r>
          </w:p>
        </w:tc>
        <w:tc>
          <w:tcPr>
            <w:tcW w:type="dxa" w:w="1871"/>
            <w:tcBorders>
              <w:left w:val="nil"/>
              <w:right w:val="nil"/>
              <w:top w:val="nil"/>
              <w:bottom w:val="nil"/>
            </w:tcBorders>
          </w:tcPr>
          <w:p>
            <w:pPr>
              <w:jc w:val="center"/>
            </w:pPr>
            <w:r>
              <w:rPr>
                <w:rFonts w:ascii="宋体" w:hAnsi="宋体" w:eastAsia="宋体"/>
                <w:sz w:val="21"/>
              </w:rPr>
              <w:t>99.4</w:t>
            </w:r>
          </w:p>
        </w:tc>
      </w:tr>
      <w:tr>
        <w:trPr>
          <w:cantSplit w:val="0"/>
        </w:trPr>
        <w:tc>
          <w:tcPr>
            <w:tcW w:type="dxa" w:w="1871"/>
            <w:tcBorders>
              <w:left w:val="nil"/>
              <w:right w:val="nil"/>
              <w:top w:val="nil"/>
              <w:bottom w:val="nil"/>
            </w:tcBorders>
          </w:tcPr>
          <w:p>
            <w:pPr>
              <w:jc w:val="center"/>
            </w:pPr>
            <w:r>
              <w:rPr>
                <w:rFonts w:ascii="宋体" w:hAnsi="宋体" w:eastAsia="宋体"/>
                <w:sz w:val="21"/>
              </w:rPr>
              <w:t>ResNet-50</w:t>
            </w:r>
          </w:p>
        </w:tc>
        <w:tc>
          <w:tcPr>
            <w:tcW w:type="dxa" w:w="1871"/>
            <w:tcBorders>
              <w:left w:val="nil"/>
              <w:right w:val="nil"/>
              <w:top w:val="nil"/>
              <w:bottom w:val="nil"/>
            </w:tcBorders>
          </w:tcPr>
          <w:p>
            <w:pPr>
              <w:jc w:val="center"/>
            </w:pPr>
            <w:r>
              <w:rPr>
                <w:rFonts w:ascii="宋体" w:hAnsi="宋体" w:eastAsia="宋体"/>
                <w:sz w:val="21"/>
              </w:rPr>
              <w:t>23.5</w:t>
            </w:r>
          </w:p>
        </w:tc>
        <w:tc>
          <w:tcPr>
            <w:tcW w:type="dxa" w:w="1871"/>
            <w:tcBorders>
              <w:left w:val="nil"/>
              <w:right w:val="nil"/>
              <w:top w:val="nil"/>
              <w:bottom w:val="nil"/>
            </w:tcBorders>
          </w:tcPr>
          <w:p>
            <w:pPr>
              <w:jc w:val="center"/>
            </w:pPr>
            <w:r>
              <w:rPr>
                <w:rFonts w:ascii="宋体" w:hAnsi="宋体" w:eastAsia="宋体"/>
                <w:sz w:val="21"/>
              </w:rPr>
              <w:t>4.9</w:t>
            </w:r>
          </w:p>
        </w:tc>
        <w:tc>
          <w:tcPr>
            <w:tcW w:type="dxa" w:w="1871"/>
            <w:tcBorders>
              <w:left w:val="nil"/>
              <w:right w:val="nil"/>
              <w:top w:val="nil"/>
              <w:bottom w:val="nil"/>
            </w:tcBorders>
          </w:tcPr>
          <w:p>
            <w:pPr>
              <w:jc w:val="center"/>
            </w:pPr>
            <w:r>
              <w:rPr>
                <w:rFonts w:ascii="宋体" w:hAnsi="宋体" w:eastAsia="宋体"/>
                <w:sz w:val="21"/>
              </w:rPr>
              <w:t>95.3</w:t>
            </w:r>
          </w:p>
        </w:tc>
        <w:tc>
          <w:tcPr>
            <w:tcW w:type="dxa" w:w="1871"/>
            <w:tcBorders>
              <w:left w:val="nil"/>
              <w:right w:val="nil"/>
              <w:top w:val="nil"/>
              <w:bottom w:val="nil"/>
            </w:tcBorders>
          </w:tcPr>
          <w:p>
            <w:pPr>
              <w:jc w:val="center"/>
            </w:pPr>
            <w:r>
              <w:rPr>
                <w:rFonts w:ascii="宋体" w:hAnsi="宋体" w:eastAsia="宋体"/>
                <w:sz w:val="21"/>
              </w:rPr>
              <w:t>99.6</w:t>
            </w:r>
          </w:p>
        </w:tc>
      </w:tr>
      <w:tr>
        <w:trPr>
          <w:cantSplit w:val="0"/>
        </w:trPr>
        <w:tc>
          <w:tcPr>
            <w:tcW w:type="dxa" w:w="1871"/>
            <w:tcBorders>
              <w:left w:val="nil"/>
              <w:right w:val="nil"/>
              <w:top w:val="nil"/>
              <w:bottom w:val="single" w:sz="12" w:color="000000" w:space="0"/>
            </w:tcBorders>
          </w:tcPr>
          <w:p>
            <w:pPr>
              <w:jc w:val="center"/>
            </w:pPr>
            <w:r>
              <w:rPr>
                <w:rFonts w:ascii="宋体" w:hAnsi="宋体" w:eastAsia="宋体"/>
                <w:sz w:val="21"/>
              </w:rPr>
              <w:t>ResNet-101</w:t>
            </w:r>
          </w:p>
        </w:tc>
        <w:tc>
          <w:tcPr>
            <w:tcW w:type="dxa" w:w="1871"/>
            <w:tcBorders>
              <w:left w:val="nil"/>
              <w:right w:val="nil"/>
              <w:top w:val="nil"/>
              <w:bottom w:val="single" w:sz="12" w:color="000000" w:space="0"/>
            </w:tcBorders>
          </w:tcPr>
          <w:p>
            <w:pPr>
              <w:jc w:val="center"/>
            </w:pPr>
            <w:r>
              <w:rPr>
                <w:rFonts w:ascii="宋体" w:hAnsi="宋体" w:eastAsia="宋体"/>
                <w:sz w:val="21"/>
              </w:rPr>
              <w:t>42.7</w:t>
            </w:r>
          </w:p>
        </w:tc>
        <w:tc>
          <w:tcPr>
            <w:tcW w:type="dxa" w:w="1871"/>
            <w:tcBorders>
              <w:left w:val="nil"/>
              <w:right w:val="nil"/>
              <w:top w:val="nil"/>
              <w:bottom w:val="single" w:sz="12" w:color="000000" w:space="0"/>
            </w:tcBorders>
          </w:tcPr>
          <w:p>
            <w:pPr>
              <w:jc w:val="center"/>
            </w:pPr>
            <w:r>
              <w:rPr>
                <w:rFonts w:ascii="宋体" w:hAnsi="宋体" w:eastAsia="宋体"/>
                <w:sz w:val="21"/>
              </w:rPr>
              <w:t>7.2</w:t>
            </w:r>
          </w:p>
        </w:tc>
        <w:tc>
          <w:tcPr>
            <w:tcW w:type="dxa" w:w="1871"/>
            <w:tcBorders>
              <w:left w:val="nil"/>
              <w:right w:val="nil"/>
              <w:top w:val="nil"/>
              <w:bottom w:val="single" w:sz="12" w:color="000000" w:space="0"/>
            </w:tcBorders>
          </w:tcPr>
          <w:p>
            <w:pPr>
              <w:jc w:val="center"/>
            </w:pPr>
            <w:r>
              <w:rPr>
                <w:rFonts w:ascii="宋体" w:hAnsi="宋体" w:eastAsia="宋体"/>
                <w:sz w:val="21"/>
              </w:rPr>
              <w:t>95.7</w:t>
            </w:r>
          </w:p>
        </w:tc>
        <w:tc>
          <w:tcPr>
            <w:tcW w:type="dxa" w:w="1871"/>
            <w:tcBorders>
              <w:left w:val="nil"/>
              <w:right w:val="nil"/>
              <w:top w:val="nil"/>
              <w:bottom w:val="single" w:sz="12" w:color="000000" w:space="0"/>
            </w:tcBorders>
          </w:tcPr>
          <w:p>
            <w:pPr>
              <w:jc w:val="center"/>
            </w:pPr>
            <w:r>
              <w:rPr>
                <w:rFonts w:ascii="宋体" w:hAnsi="宋体" w:eastAsia="宋体"/>
                <w:sz w:val="21"/>
              </w:rPr>
              <w:t>99.7</w:t>
            </w:r>
          </w:p>
        </w:tc>
      </w:tr>
    </w:tbl>
    <w:p>
      <w:r>
        <w:rPr>
          <w:rFonts w:ascii="宋体" w:hAnsi="宋体" w:eastAsia="宋体"/>
          <w:sz w:val="18"/>
        </w:rPr>
        <w:t>来源：本文实验</w:t>
      </w:r>
    </w:p>
    <w:p/>
    <w:p>
      <w:pPr>
        <w:spacing w:before="0" w:after="0" w:line="360" w:lineRule="auto"/>
        <w:ind w:firstLine="480" w:firstLineChars="200"/>
        <w:jc w:val="both"/>
      </w:pPr>
      <w:r>
        <w:rPr>
          <w:rFonts w:ascii="Times New Roman" w:hAnsi="Times New Roman" w:eastAsia="宋体"/>
          <w:b w:val="0"/>
          <w:sz w:val="24"/>
        </w:rPr>
        <w:t>表4-2显示ResNet-50在准确率和训练效率上都表现优异，是CIFAR-10任务的最佳选择。</w:t>
      </w:r>
    </w:p>
    <w:p>
      <w:bookmarkStart w:id="36" w:name="_Heading_4_3"/>
      <w:pPr>
        <w:jc w:val="left"/>
      </w:pPr>
      <w:r>
        <w:rPr>
          <w:rFonts w:ascii="Times New Roman" w:hAnsi="Times New Roman"/>
          <w:b/>
          <w:sz w:val="28"/>
        </w:rPr>
        <w:t xml:space="preserve">4.3 </w:t>
      </w:r>
      <w:r>
        <w:rPr>
          <w:rFonts w:ascii="宋体" w:hAnsi="宋体" w:eastAsia="宋体"/>
          <w:b/>
          <w:sz w:val="28"/>
        </w:rPr>
        <w:t>消融实验</w:t>
      </w:r>
      <w:bookmarkEnd w:id="36"/>
    </w:p>
    <w:p>
      <w:pPr>
        <w:spacing w:before="0" w:after="0" w:line="360" w:lineRule="auto"/>
        <w:ind w:firstLine="480" w:firstLineChars="20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7" w:name="_Heading_4_4"/>
      <w:pPr>
        <w:jc w:val="left"/>
      </w:pPr>
      <w:r>
        <w:rPr>
          <w:rFonts w:ascii="Times New Roman" w:hAnsi="Times New Roman"/>
          <w:b/>
          <w:sz w:val="28"/>
        </w:rPr>
        <w:t xml:space="preserve">4.4 </w:t>
      </w:r>
      <w:r>
        <w:rPr>
          <w:rFonts w:ascii="宋体" w:hAnsi="宋体" w:eastAsia="宋体"/>
          <w:b/>
          <w:sz w:val="28"/>
        </w:rPr>
        <w:t>结果分析与讨论</w:t>
      </w:r>
      <w:bookmarkEnd w:id="37"/>
    </w:p>
    <w:p>
      <w:pPr>
        <w:spacing w:before="0" w:after="0" w:line="360" w:lineRule="auto"/>
        <w:ind w:firstLine="480" w:firstLineChars="20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8"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8"/>
    </w:p>
    <w:p>
      <w:pPr>
        <w:spacing w:before="0" w:after="0" w:line="360" w:lineRule="auto"/>
        <w:ind w:firstLine="480" w:firstLineChars="200"/>
        <w:jc w:val="both"/>
      </w:pPr>
      <w:r>
        <w:rPr>
          <w:rFonts w:ascii="Times New Roman" w:hAnsi="Times New Roman" w:eastAsia="宋体"/>
          <w:b w:val="0"/>
          <w:sz w:val="24"/>
        </w:rPr>
        <w:t>深度学习图像识别技术在多个实际场景中得到广泛应用。本章介绍医疗影像诊断和自动驾驶两个典型应用案例。 光明日报强调，要让贸易和人工智能的成果惠及所有群体，需要以开放的制度设计配合可落地的技术路径，这与本文聚焦的行业应用逻辑高度契合</w:t>
      </w:r>
      <w:bookmarkStart w:id="39" w:name="_Citation_5"/>
      <w:hyperlink w:anchor="_Reference_5" w:history="1">
        <w:r>
          <w:rPr>
            <w:rFonts w:ascii="Times New Roman" w:hAnsi="Times New Roman" w:eastAsia="宋体"/>
            <w:sz w:val="24"/>
            <w:color w:val="000000"/>
          </w:rPr>
          <w:t>[5]</w:t>
        </w:r>
      </w:hyperlink>
      <w:bookmarkEnd w:id="39"/>
      <w:r>
        <w:rPr>
          <w:rFonts w:ascii="Times New Roman" w:hAnsi="Times New Roman" w:eastAsia="宋体"/>
          <w:b w:val="0"/>
          <w:sz w:val="24"/>
        </w:rPr>
        <w:t>。</w:t>
      </w:r>
    </w:p>
    <w:p>
      <w:bookmarkStart w:id="40" w:name="_Heading_5_1"/>
      <w:pPr>
        <w:jc w:val="left"/>
      </w:pPr>
      <w:r>
        <w:rPr>
          <w:rFonts w:ascii="Times New Roman" w:hAnsi="Times New Roman"/>
          <w:b/>
          <w:sz w:val="28"/>
        </w:rPr>
        <w:t xml:space="preserve">5.1 </w:t>
      </w:r>
      <w:r>
        <w:rPr>
          <w:rFonts w:ascii="宋体" w:hAnsi="宋体" w:eastAsia="宋体"/>
          <w:b/>
          <w:sz w:val="28"/>
        </w:rPr>
        <w:t>医疗影像诊断</w:t>
      </w:r>
      <w:bookmarkEnd w:id="40"/>
    </w:p>
    <w:p>
      <w:pPr>
        <w:spacing w:before="0" w:after="0" w:line="360" w:lineRule="auto"/>
        <w:ind w:firstLine="480" w:firstLineChars="20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41" w:name="_Heading_5_1_1"/>
      <w:pPr>
        <w:jc w:val="left"/>
      </w:pPr>
      <w:r>
        <w:rPr>
          <w:rFonts w:ascii="Times New Roman" w:hAnsi="Times New Roman"/>
          <w:b/>
          <w:sz w:val="24"/>
        </w:rPr>
        <w:t xml:space="preserve">5.1.1 </w:t>
      </w:r>
      <w:r>
        <w:rPr>
          <w:rFonts w:ascii="宋体" w:hAnsi="宋体" w:eastAsia="宋体"/>
          <w:b/>
          <w:sz w:val="24"/>
        </w:rPr>
        <w:t>肺炎检测系统</w:t>
      </w:r>
      <w:bookmarkEnd w:id="41"/>
    </w:p>
    <w:p>
      <w:pPr>
        <w:spacing w:before="0" w:after="0" w:line="360" w:lineRule="auto"/>
        <w:ind w:firstLine="480" w:firstLineChars="20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42" w:name="_Heading_5_1_2"/>
      <w:pPr>
        <w:jc w:val="left"/>
      </w:pPr>
      <w:r>
        <w:rPr>
          <w:rFonts w:ascii="Times New Roman" w:hAnsi="Times New Roman"/>
          <w:b/>
          <w:sz w:val="24"/>
        </w:rPr>
        <w:t xml:space="preserve">5.1.2 </w:t>
      </w:r>
      <w:r>
        <w:rPr>
          <w:rFonts w:ascii="宋体" w:hAnsi="宋体" w:eastAsia="宋体"/>
          <w:b/>
          <w:sz w:val="24"/>
        </w:rPr>
        <w:t>皮肤癌分类</w:t>
      </w:r>
      <w:bookmarkEnd w:id="42"/>
    </w:p>
    <w:p>
      <w:pPr>
        <w:spacing w:before="0" w:after="0" w:line="360" w:lineRule="auto"/>
        <w:ind w:firstLine="480" w:firstLineChars="20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43" w:name="_Heading_5_2"/>
      <w:pPr>
        <w:jc w:val="left"/>
      </w:pPr>
      <w:r>
        <w:rPr>
          <w:rFonts w:ascii="Times New Roman" w:hAnsi="Times New Roman"/>
          <w:b/>
          <w:sz w:val="28"/>
        </w:rPr>
        <w:t xml:space="preserve">5.2 </w:t>
      </w:r>
      <w:r>
        <w:rPr>
          <w:rFonts w:ascii="宋体" w:hAnsi="宋体" w:eastAsia="宋体"/>
          <w:b/>
          <w:sz w:val="28"/>
        </w:rPr>
        <w:t>自动驾驶场景理解</w:t>
      </w:r>
      <w:bookmarkEnd w:id="43"/>
    </w:p>
    <w:p>
      <w:pPr>
        <w:spacing w:before="0" w:after="0" w:line="360" w:lineRule="auto"/>
        <w:ind w:firstLine="480" w:firstLineChars="20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44" w:name="_Heading_5_2_1"/>
      <w:pPr>
        <w:jc w:val="left"/>
      </w:pPr>
      <w:r>
        <w:rPr>
          <w:rFonts w:ascii="Times New Roman" w:hAnsi="Times New Roman"/>
          <w:b/>
          <w:sz w:val="24"/>
        </w:rPr>
        <w:t xml:space="preserve">5.2.1 </w:t>
      </w:r>
      <w:r>
        <w:rPr>
          <w:rFonts w:ascii="宋体" w:hAnsi="宋体" w:eastAsia="宋体"/>
          <w:b/>
          <w:sz w:val="24"/>
        </w:rPr>
        <w:t>交通标志识别</w:t>
      </w:r>
      <w:bookmarkEnd w:id="44"/>
    </w:p>
    <w:p>
      <w:pPr>
        <w:spacing w:before="0" w:after="0" w:line="360" w:lineRule="auto"/>
        <w:ind w:firstLine="480" w:firstLineChars="20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5" w:name="_Heading_5_2_2"/>
      <w:pPr>
        <w:jc w:val="left"/>
      </w:pPr>
      <w:r>
        <w:rPr>
          <w:rFonts w:ascii="Times New Roman" w:hAnsi="Times New Roman"/>
          <w:b/>
          <w:sz w:val="24"/>
        </w:rPr>
        <w:t xml:space="preserve">5.2.2 </w:t>
      </w:r>
      <w:r>
        <w:rPr>
          <w:rFonts w:ascii="宋体" w:hAnsi="宋体" w:eastAsia="宋体"/>
          <w:b/>
          <w:sz w:val="24"/>
        </w:rPr>
        <w:t>行人检测</w:t>
      </w:r>
      <w:bookmarkEnd w:id="45"/>
    </w:p>
    <w:p>
      <w:pPr>
        <w:spacing w:before="0" w:after="0" w:line="360" w:lineRule="auto"/>
        <w:ind w:firstLine="480" w:firstLineChars="20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6" w:name="_Heading_5_3"/>
      <w:pPr>
        <w:jc w:val="left"/>
      </w:pPr>
      <w:r>
        <w:rPr>
          <w:rFonts w:ascii="Times New Roman" w:hAnsi="Times New Roman"/>
          <w:b/>
          <w:sz w:val="28"/>
        </w:rPr>
        <w:t xml:space="preserve">5.3 </w:t>
      </w:r>
      <w:r>
        <w:rPr>
          <w:rFonts w:ascii="宋体" w:hAnsi="宋体" w:eastAsia="宋体"/>
          <w:b/>
          <w:sz w:val="28"/>
        </w:rPr>
        <w:t>其他应用领域</w:t>
      </w:r>
      <w:bookmarkEnd w:id="46"/>
    </w:p>
    <w:p>
      <w:pPr>
        <w:spacing w:before="0" w:after="0" w:line="360" w:lineRule="auto"/>
        <w:ind w:firstLine="480" w:firstLineChars="200"/>
        <w:jc w:val="both"/>
      </w:pPr>
      <w:r>
        <w:rPr>
          <w:rFonts w:ascii="Times New Roman" w:hAnsi="Times New Roman" w:eastAsia="宋体"/>
          <w:b w:val="0"/>
          <w:sz w:val="24"/>
        </w:rPr>
        <w:t>除上述案例外，图像识别技术还应用于人脸识别、工业质检、农业病虫害识别等多个领域，推动了智能化技术的普及和应用。 文汇报披露的“AI报关”实践进一步说明，跨境流转场景对高可靠图像识别与多模态感知能力的需求正在快速提升</w:t>
      </w:r>
      <w:bookmarkStart w:id="47" w:name="_Citation_6"/>
      <w:hyperlink w:anchor="_Reference_6" w:history="1">
        <w:r>
          <w:rPr>
            <w:rFonts w:ascii="Times New Roman" w:hAnsi="Times New Roman" w:eastAsia="宋体"/>
            <w:sz w:val="24"/>
            <w:color w:val="000000"/>
          </w:rPr>
          <w:t>[6]</w:t>
        </w:r>
      </w:hyperlink>
      <w:bookmarkEnd w:id="47"/>
      <w:r>
        <w:rPr>
          <w:rFonts w:ascii="Times New Roman" w:hAnsi="Times New Roman" w:eastAsia="宋体"/>
          <w:b w:val="0"/>
          <w:sz w:val="24"/>
        </w:rPr>
        <w:t>。</w:t>
      </w:r>
    </w:p>
    <w:p>
      <w:bookmarkStart w:id="48"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8"/>
    </w:p>
    <w:p>
      <w:pPr>
        <w:spacing w:before="0" w:after="0" w:line="360" w:lineRule="auto"/>
        <w:ind w:firstLine="480" w:firstLineChars="20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9" w:name="_Heading_6_1"/>
      <w:pPr>
        <w:jc w:val="left"/>
      </w:pPr>
      <w:r>
        <w:rPr>
          <w:rFonts w:ascii="Times New Roman" w:hAnsi="Times New Roman"/>
          <w:b/>
          <w:sz w:val="28"/>
        </w:rPr>
        <w:t xml:space="preserve">6.1 </w:t>
      </w:r>
      <w:r>
        <w:rPr>
          <w:rFonts w:ascii="宋体" w:hAnsi="宋体" w:eastAsia="宋体"/>
          <w:b/>
          <w:sz w:val="28"/>
        </w:rPr>
        <w:t>研究工作总结</w:t>
      </w:r>
      <w:bookmarkEnd w:id="49"/>
    </w:p>
    <w:p>
      <w:pPr>
        <w:spacing w:before="0" w:after="0" w:line="360" w:lineRule="auto"/>
        <w:ind w:firstLine="480" w:firstLineChars="20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50" w:name="_Heading_6_2"/>
      <w:pPr>
        <w:jc w:val="left"/>
      </w:pPr>
      <w:r>
        <w:rPr>
          <w:rFonts w:ascii="Times New Roman" w:hAnsi="Times New Roman"/>
          <w:b/>
          <w:sz w:val="28"/>
        </w:rPr>
        <w:t xml:space="preserve">6.2 </w:t>
      </w:r>
      <w:r>
        <w:rPr>
          <w:rFonts w:ascii="宋体" w:hAnsi="宋体" w:eastAsia="宋体"/>
          <w:b/>
          <w:sz w:val="28"/>
        </w:rPr>
        <w:t>存在的不足</w:t>
      </w:r>
      <w:bookmarkEnd w:id="50"/>
    </w:p>
    <w:p>
      <w:pPr>
        <w:spacing w:before="0" w:after="0" w:line="360" w:lineRule="auto"/>
        <w:ind w:firstLine="480" w:firstLineChars="20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 四川行政学院学报的最新案例研究提醒我们，生成式人工智能嵌入政务系统时需要配套的风险规制，这也是推进行业化落地必须正视的治理议题</w:t>
      </w:r>
      <w:bookmarkStart w:id="51" w:name="_Citation_7"/>
      <w:hyperlink w:anchor="_Reference_7" w:history="1">
        <w:r>
          <w:rPr>
            <w:rFonts w:ascii="Times New Roman" w:hAnsi="Times New Roman" w:eastAsia="宋体"/>
            <w:sz w:val="24"/>
            <w:color w:val="000000"/>
          </w:rPr>
          <w:t>[7]</w:t>
        </w:r>
      </w:hyperlink>
      <w:bookmarkEnd w:id="51"/>
      <w:r>
        <w:rPr>
          <w:rFonts w:ascii="Times New Roman" w:hAnsi="Times New Roman" w:eastAsia="宋体"/>
          <w:b w:val="0"/>
          <w:sz w:val="24"/>
        </w:rPr>
        <w:t>。</w:t>
      </w:r>
    </w:p>
    <w:p>
      <w:bookmarkStart w:id="52" w:name="_Heading_6_3"/>
      <w:pPr>
        <w:jc w:val="left"/>
      </w:pPr>
      <w:r>
        <w:rPr>
          <w:rFonts w:ascii="Times New Roman" w:hAnsi="Times New Roman"/>
          <w:b/>
          <w:sz w:val="28"/>
        </w:rPr>
        <w:t xml:space="preserve">6.3 </w:t>
      </w:r>
      <w:r>
        <w:rPr>
          <w:rFonts w:ascii="宋体" w:hAnsi="宋体" w:eastAsia="宋体"/>
          <w:b/>
          <w:sz w:val="28"/>
        </w:rPr>
        <w:t>未来研究方向</w:t>
      </w:r>
      <w:bookmarkEnd w:id="52"/>
    </w:p>
    <w:p>
      <w:pPr>
        <w:spacing w:before="0" w:after="0" w:line="360" w:lineRule="auto"/>
        <w:ind w:firstLine="480" w:firstLineChars="200"/>
        <w:jc w:val="both"/>
      </w:pPr>
      <w:r>
        <w:rPr>
          <w:rFonts w:ascii="Times New Roman" w:hAnsi="Times New Roman" w:eastAsia="宋体"/>
          <w:b w:val="0"/>
          <w:sz w:val="24"/>
        </w:rPr>
        <w:t>未来的研究可以从以下几个方向展开：</w:t>
      </w:r>
    </w:p>
    <w:p>
      <w:bookmarkStart w:id="53" w:name="_Heading_6_3_1"/>
      <w:pPr>
        <w:jc w:val="left"/>
      </w:pPr>
      <w:r>
        <w:rPr>
          <w:rFonts w:ascii="Times New Roman" w:hAnsi="Times New Roman"/>
          <w:b/>
          <w:sz w:val="24"/>
        </w:rPr>
        <w:t xml:space="preserve">6.3.1 </w:t>
      </w:r>
      <w:r>
        <w:rPr>
          <w:rFonts w:ascii="宋体" w:hAnsi="宋体" w:eastAsia="宋体"/>
          <w:b/>
          <w:sz w:val="24"/>
        </w:rPr>
        <w:t>轻量化网络设计</w:t>
      </w:r>
      <w:bookmarkEnd w:id="53"/>
    </w:p>
    <w:p>
      <w:pPr>
        <w:spacing w:before="0" w:after="0" w:line="360" w:lineRule="auto"/>
        <w:ind w:firstLine="480" w:firstLineChars="20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54" w:name="_Heading_6_3_2"/>
      <w:pPr>
        <w:jc w:val="left"/>
      </w:pPr>
      <w:r>
        <w:rPr>
          <w:rFonts w:ascii="Times New Roman" w:hAnsi="Times New Roman"/>
          <w:b/>
          <w:sz w:val="24"/>
        </w:rPr>
        <w:t xml:space="preserve">6.3.2 </w:t>
      </w:r>
      <w:r>
        <w:rPr>
          <w:rFonts w:ascii="宋体" w:hAnsi="宋体" w:eastAsia="宋体"/>
          <w:b/>
          <w:sz w:val="24"/>
        </w:rPr>
        <w:t>自监督学习</w:t>
      </w:r>
      <w:bookmarkEnd w:id="54"/>
    </w:p>
    <w:p>
      <w:pPr>
        <w:spacing w:before="0" w:after="0" w:line="360" w:lineRule="auto"/>
        <w:ind w:firstLine="480" w:firstLineChars="20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55" w:name="_Heading_6_3_3"/>
      <w:pPr>
        <w:jc w:val="left"/>
      </w:pPr>
      <w:r>
        <w:rPr>
          <w:rFonts w:ascii="Times New Roman" w:hAnsi="Times New Roman"/>
          <w:b/>
          <w:sz w:val="24"/>
        </w:rPr>
        <w:t xml:space="preserve">6.3.3 </w:t>
      </w:r>
      <w:r>
        <w:rPr>
          <w:rFonts w:ascii="宋体" w:hAnsi="宋体" w:eastAsia="宋体"/>
          <w:b/>
          <w:sz w:val="24"/>
        </w:rPr>
        <w:t>跨域迁移学习</w:t>
      </w:r>
      <w:bookmarkEnd w:id="55"/>
    </w:p>
    <w:p>
      <w:pPr>
        <w:spacing w:before="0" w:after="0" w:line="360" w:lineRule="auto"/>
        <w:ind w:firstLine="480" w:firstLineChars="20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56" w:name="_Heading_6_3_4"/>
      <w:pPr>
        <w:jc w:val="left"/>
      </w:pPr>
      <w:r>
        <w:rPr>
          <w:rFonts w:ascii="Times New Roman" w:hAnsi="Times New Roman"/>
          <w:b/>
          <w:sz w:val="24"/>
        </w:rPr>
        <w:t xml:space="preserve">6.3.4 </w:t>
      </w:r>
      <w:r>
        <w:rPr>
          <w:rFonts w:ascii="宋体" w:hAnsi="宋体" w:eastAsia="宋体"/>
          <w:b/>
          <w:sz w:val="24"/>
        </w:rPr>
        <w:t>可解释性研究</w:t>
      </w:r>
      <w:bookmarkEnd w:id="56"/>
    </w:p>
    <w:p>
      <w:pPr>
        <w:spacing w:before="0" w:after="0" w:line="360" w:lineRule="auto"/>
        <w:ind w:firstLine="480" w:firstLineChars="200"/>
        <w:jc w:val="both"/>
      </w:pPr>
      <w:r>
        <w:rPr>
          <w:rFonts w:ascii="Times New Roman" w:hAnsi="Times New Roman" w:eastAsia="宋体"/>
          <w:b w:val="0"/>
          <w:sz w:val="24"/>
        </w:rPr>
        <w:t>深入研究深度神经网络的决策机制，开发可视化工具和可解释性方法，增强模型的可信度和透明度，促进在关键领域的应用。 围绕网络文学平台AI协议争议的分析表明，在内容生产领域部署生成式算法同样需要透明、可解释的机制以回应创作者与用户的关切</w:t>
      </w:r>
      <w:bookmarkStart w:id="57" w:name="_Citation_8"/>
      <w:hyperlink w:anchor="_Reference_8" w:history="1">
        <w:r>
          <w:rPr>
            <w:rFonts w:ascii="Times New Roman" w:hAnsi="Times New Roman" w:eastAsia="宋体"/>
            <w:sz w:val="24"/>
            <w:color w:val="000000"/>
          </w:rPr>
          <w:t>[8]</w:t>
        </w:r>
      </w:hyperlink>
      <w:bookmarkEnd w:id="57"/>
      <w:r>
        <w:rPr>
          <w:rFonts w:ascii="Times New Roman" w:hAnsi="Times New Roman" w:eastAsia="宋体"/>
          <w:b w:val="0"/>
          <w:sz w:val="24"/>
        </w:rPr>
        <w:t>。</w:t>
      </w:r>
    </w:p>
    <w:p>
      <w:pPr>
        <w:spacing w:before="0" w:after="0" w:line="360" w:lineRule="auto"/>
        <w:ind w:firstLine="480" w:firstLineChars="20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p>
      <w:pPr>
        <w:sectPr>
          <w:footerReference w:type="default" r:id="rId11"/>
          <w:headerReference w:type="default" r:id="rId12"/>
          <w:pgSz w:w="11906" w:h="16838"/>
          <w:pgMar w:top="1134" w:right="1134" w:bottom="1134" w:left="1417" w:header="794" w:footer="737" w:gutter="283"/>
          <w:cols w:space="720"/>
          <w:docGrid w:linePitch="360"/>
          <w:pgNumType w:start="1" w:fmt="decimal"/>
        </w:sectPr>
      </w:pPr>
    </w:p>
    <w:p>
      <w:bookmarkStart w:id="58" w:name="_Section_References"/>
      <w:pPr>
        <w:spacing w:before="240" w:after="0"/>
        <w:jc w:val="center"/>
      </w:pPr>
      <w:r>
        <w:rPr>
          <w:rFonts w:ascii="宋体" w:hAnsi="宋体" w:eastAsia="宋体"/>
          <w:b/>
          <w:sz w:val="32"/>
        </w:rPr>
        <w:t>参考文献</w:t>
      </w:r>
      <w:bookmarkEnd w:id="58"/>
    </w:p>
    <w:p>
      <w:bookmarkStart w:id="59" w:name="_Reference_1"/>
      <w:pPr>
        <w:spacing w:before="0" w:after="0" w:line="360" w:lineRule="auto"/>
      </w:pPr>
      <w:r>
        <w:rPr>
          <w:rFonts w:ascii="Times New Roman" w:hAnsi="Times New Roman" w:eastAsia="宋体"/>
          <w:b w:val="0"/>
          <w:sz w:val="24"/>
        </w:rPr>
        <w:t>[1]</w:t>
      </w:r>
      <w:hyperlink w:anchor="_Citation_1" w:history="1">
        <w:r>
          <w:rPr>
            <w:rFonts w:ascii="Times New Roman" w:hAnsi="Times New Roman" w:eastAsia="宋体"/>
            <w:sz w:val="24"/>
            <w:color w:val="000000"/>
          </w:rPr>
          <w:t> 刘沛恺. 智能制造让工厂拥有"大脑"[N]. 经济日报, 2025⁠-⁠11⁠-⁠08(004).</w:t>
        </w:r>
      </w:hyperlink>
      <w:bookmarkEnd w:id="59"/>
    </w:p>
    <w:p>
      <w:bookmarkStart w:id="60" w:name="_Reference_2"/>
      <w:pPr>
        <w:spacing w:before="0" w:after="0" w:line="360" w:lineRule="auto"/>
      </w:pPr>
      <w:r>
        <w:rPr>
          <w:rFonts w:ascii="Times New Roman" w:hAnsi="Times New Roman" w:eastAsia="宋体"/>
          <w:b w:val="0"/>
          <w:sz w:val="24"/>
        </w:rPr>
        <w:t>[2]</w:t>
      </w:r>
      <w:hyperlink w:anchor="_Citation_2" w:history="1">
        <w:r>
          <w:rPr>
            <w:rFonts w:ascii="Times New Roman" w:hAnsi="Times New Roman" w:eastAsia="宋体"/>
            <w:sz w:val="24"/>
            <w:color w:val="000000"/>
          </w:rPr>
          <w:t> 张璇, 魏一骏. "六小龙乌镇对话", 他们如何思考AI和未来[N]. 新华每日电讯, 2025⁠-⁠11⁠-⁠08(002).</w:t>
        </w:r>
      </w:hyperlink>
      <w:bookmarkEnd w:id="60"/>
    </w:p>
    <w:p>
      <w:bookmarkStart w:id="61" w:name="_Reference_3"/>
      <w:pPr>
        <w:spacing w:before="0" w:after="0" w:line="360" w:lineRule="auto"/>
      </w:pPr>
      <w:r>
        <w:rPr>
          <w:rFonts w:ascii="Times New Roman" w:hAnsi="Times New Roman" w:eastAsia="宋体"/>
          <w:b w:val="0"/>
          <w:sz w:val="24"/>
        </w:rPr>
        <w:t>[3]</w:t>
      </w:r>
      <w:hyperlink w:anchor="_Citation_3" w:history="1">
        <w:r>
          <w:rPr>
            <w:rFonts w:ascii="Times New Roman" w:hAnsi="Times New Roman" w:eastAsia="宋体"/>
            <w:sz w:val="24"/>
            <w:color w:val="000000"/>
          </w:rPr>
          <w:t> 于祥明. 在数字经济, AI等六大领域打造一批应用场景[N]. 上海证券报, 2025⁠-⁠11⁠-⁠08(001).</w:t>
        </w:r>
      </w:hyperlink>
      <w:bookmarkEnd w:id="61"/>
    </w:p>
    <w:p>
      <w:bookmarkStart w:id="62" w:name="_Reference_4"/>
      <w:pPr>
        <w:spacing w:before="0" w:after="0" w:line="360" w:lineRule="auto"/>
      </w:pPr>
      <w:r>
        <w:rPr>
          <w:rFonts w:ascii="Times New Roman" w:hAnsi="Times New Roman" w:eastAsia="宋体"/>
          <w:b w:val="0"/>
          <w:sz w:val="24"/>
        </w:rPr>
        <w:t>[4]</w:t>
      </w:r>
      <w:hyperlink w:anchor="_Citation_4" w:history="1">
        <w:r>
          <w:rPr>
            <w:rFonts w:ascii="Times New Roman" w:hAnsi="Times New Roman" w:eastAsia="宋体"/>
            <w:sz w:val="24"/>
            <w:color w:val="000000"/>
          </w:rPr>
          <w:t> 黄玲娜, 姜敏思, 张婷婷. AI时代, 未来新闻人如何培养[N]. 广西日报, 2025⁠-⁠11⁠-⁠08(006).</w:t>
        </w:r>
      </w:hyperlink>
      <w:bookmarkEnd w:id="62"/>
    </w:p>
    <w:p>
      <w:bookmarkStart w:id="63" w:name="_Reference_5"/>
      <w:pPr>
        <w:spacing w:before="0" w:after="0" w:line="360" w:lineRule="auto"/>
      </w:pPr>
      <w:r>
        <w:rPr>
          <w:rFonts w:ascii="Times New Roman" w:hAnsi="Times New Roman" w:eastAsia="宋体"/>
          <w:b w:val="0"/>
          <w:sz w:val="24"/>
        </w:rPr>
        <w:t>[5]</w:t>
      </w:r>
      <w:hyperlink w:anchor="_Citation_5" w:history="1">
        <w:r>
          <w:rPr>
            <w:rFonts w:ascii="Times New Roman" w:hAnsi="Times New Roman" w:eastAsia="宋体"/>
            <w:sz w:val="24"/>
            <w:color w:val="000000"/>
          </w:rPr>
          <w:t> 曹元龙. 让贸易和人工智能惠及所有人[N]. 光明日报, 2025⁠-⁠11⁠-⁠08(006).</w:t>
        </w:r>
      </w:hyperlink>
      <w:bookmarkEnd w:id="63"/>
    </w:p>
    <w:p>
      <w:bookmarkStart w:id="64" w:name="_Reference_6"/>
      <w:pPr>
        <w:spacing w:before="0" w:after="0" w:line="360" w:lineRule="auto"/>
      </w:pPr>
      <w:r>
        <w:rPr>
          <w:rFonts w:ascii="Times New Roman" w:hAnsi="Times New Roman" w:eastAsia="宋体"/>
          <w:b w:val="0"/>
          <w:sz w:val="24"/>
        </w:rPr>
        <w:t>[6]</w:t>
      </w:r>
      <w:hyperlink w:anchor="_Citation_6" w:history="1">
        <w:r>
          <w:rPr>
            <w:rFonts w:ascii="Times New Roman" w:hAnsi="Times New Roman" w:eastAsia="宋体"/>
            <w:sz w:val="24"/>
            <w:color w:val="000000"/>
          </w:rPr>
          <w:t> 苏展. AI报关提效, 交易不止于签约[N]. 文汇报, 2025⁠-⁠11⁠-⁠08(002).</w:t>
        </w:r>
      </w:hyperlink>
      <w:bookmarkEnd w:id="64"/>
    </w:p>
    <w:p>
      <w:bookmarkStart w:id="65" w:name="_Reference_7"/>
      <w:pPr>
        <w:spacing w:before="0" w:after="0" w:line="360" w:lineRule="auto"/>
      </w:pPr>
      <w:r>
        <w:rPr>
          <w:rFonts w:ascii="Times New Roman" w:hAnsi="Times New Roman" w:eastAsia="宋体"/>
          <w:b w:val="0"/>
          <w:sz w:val="24"/>
        </w:rPr>
        <w:t>[7]</w:t>
      </w:r>
      <w:hyperlink w:anchor="_Citation_7" w:history="1">
        <w:r>
          <w:rPr>
            <w:rFonts w:ascii="Times New Roman" w:hAnsi="Times New Roman" w:eastAsia="宋体"/>
            <w:sz w:val="24"/>
            <w:color w:val="000000"/>
          </w:rPr>
          <w:t> 章昌平, 汪宇萌, 常继元. 生成式人工智能在政务系统智能化转型中的嵌入逻辑与风险规制: 基于DeepSeek应用实践的案例分析[J/OL]. 四川行政学院学报, 1⁠-⁠16[2025⁠-⁠11⁠-⁠08].</w:t>
        </w:r>
      </w:hyperlink>
      <w:bookmarkEnd w:id="65"/>
    </w:p>
    <w:p>
      <w:bookmarkStart w:id="66" w:name="_Reference_8"/>
      <w:pPr>
        <w:spacing w:before="0" w:after="0" w:line="360" w:lineRule="auto"/>
      </w:pPr>
      <w:r>
        <w:rPr>
          <w:rFonts w:ascii="Times New Roman" w:hAnsi="Times New Roman" w:eastAsia="宋体"/>
          <w:b w:val="0"/>
          <w:sz w:val="24"/>
        </w:rPr>
        <w:t>[8]</w:t>
      </w:r>
      <w:hyperlink w:anchor="_Citation_8" w:history="1">
        <w:r>
          <w:rPr>
            <w:rFonts w:ascii="Times New Roman" w:hAnsi="Times New Roman" w:eastAsia="宋体"/>
            <w:sz w:val="24"/>
            <w:color w:val="000000"/>
          </w:rPr>
          <w:t> 陆朦朦, 李睿. 网络文学领域人工智能生成内容应用的社会技术想象--基于某平台AI协议争议的微博文本分析[J/OL]. 中国数字出版, 1⁠-⁠10[2025⁠-⁠11⁠-⁠08].</w:t>
        </w:r>
      </w:hyperlink>
      <w:bookmarkEnd w:id="66"/>
    </w:p>
    <w:p>
      <w:pPr>
        <w:sectPr>
          <w:headerReference w:type="default" r:id="rId15"/>
          <w:pgSz w:w="11906" w:h="16838"/>
          <w:pgMar w:top="1134" w:right="1134" w:bottom="1134" w:left="1417" w:header="794" w:footer="737" w:gutter="283"/>
          <w:cols w:space="720"/>
          <w:docGrid w:linePitch="360"/>
          <w:pgNumType w:fmt="decimal"/>
        </w:sectPr>
      </w:pPr>
    </w:p>
    <w:p>
      <w:bookmarkStart w:id="67" w:name="_Section_Acknowledgements"/>
      <w:pPr>
        <w:spacing w:before="240" w:after="0"/>
        <w:jc w:val="center"/>
      </w:pPr>
      <w:r>
        <w:rPr>
          <w:rFonts w:ascii="宋体" w:hAnsi="宋体" w:eastAsia="宋体"/>
          <w:b/>
          <w:sz w:val="32"/>
        </w:rPr>
        <w:t>致  谢</w:t>
      </w:r>
      <w:bookmarkEnd w:id="67"/>
    </w:p>
    <w:p>
      <w:pPr>
        <w:spacing w:before="0" w:after="0" w:line="360" w:lineRule="auto"/>
        <w:ind w:firstLine="480" w:firstLineChars="200"/>
        <w:jc w:val="both"/>
      </w:pPr>
      <w:r>
        <w:rPr>
          <w:rFonts w:ascii="Times New Roman" w:hAnsi="Times New Roman" w:eastAsia="宋体"/>
          <w:b w:val="0"/>
          <w:sz w:val="24"/>
        </w:rPr>
        <w:t>本研究得到学院人工智能实验班同学们的大力支持，大家在实验环境搭建、数据标注与模型调试方面投入了大量时间，使团队能够快速完成多轮对比试验。</w:t>
      </w:r>
    </w:p>
    <w:p>
      <w:pPr>
        <w:spacing w:before="0" w:after="0" w:line="360" w:lineRule="auto"/>
        <w:ind w:firstLine="480" w:firstLineChars="200"/>
        <w:jc w:val="both"/>
      </w:pPr>
      <w:r>
        <w:rPr>
          <w:rFonts w:ascii="Times New Roman" w:hAnsi="Times New Roman" w:eastAsia="宋体"/>
          <w:b w:val="0"/>
          <w:sz w:val="24"/>
        </w:rPr>
        <w:t>特别感谢指导教师在研究思路、论文写作与规范审阅方面提供的持续反馈，同时也感谢企业合作伙伴分享真实的工业视觉场景需求，为本文应用案例提供了灵感。</w:t>
      </w:r>
    </w:p>
    <w:p>
      <w:pPr>
        <w:spacing w:before="0" w:after="0" w:line="360" w:lineRule="auto"/>
        <w:ind w:firstLine="480" w:firstLineChars="200"/>
        <w:jc w:val="both"/>
      </w:pPr>
      <w:r>
        <w:rPr>
          <w:rFonts w:ascii="Times New Roman" w:hAnsi="Times New Roman" w:eastAsia="宋体"/>
          <w:b w:val="0"/>
          <w:sz w:val="24"/>
        </w:rPr>
        <w:t>我们还感谢学院科研管理部门提供的开放GPU算力资源，并感谢同行评审专家提出的宝贵意见，这些建议帮助我们完善了实验设计与结论表达。</w:t>
      </w:r>
    </w:p>
    <w:p>
      <w:pPr>
        <w:sectPr>
          <w:headerReference w:type="default" r:id="rId16"/>
          <w:pgSz w:w="11906" w:h="16838"/>
          <w:pgMar w:top="1134" w:right="1134" w:bottom="1134" w:left="1417" w:header="794" w:footer="737" w:gutter="283"/>
          <w:cols w:space="720"/>
          <w:docGrid w:linePitch="360"/>
          <w:pgNumType w:fmt="decimal"/>
        </w:sectPr>
      </w:pPr>
    </w:p>
    <w:p>
      <w:bookmarkStart w:id="68" w:name="_Section_Appendix"/>
      <w:pPr>
        <w:spacing w:before="240" w:after="0"/>
        <w:jc w:val="center"/>
      </w:pPr>
      <w:r>
        <w:rPr>
          <w:rFonts w:ascii="宋体" w:hAnsi="宋体" w:eastAsia="宋体"/>
          <w:b/>
          <w:sz w:val="32"/>
        </w:rPr>
        <w:t>附  录</w:t>
      </w:r>
      <w:bookmarkEnd w:id="68"/>
    </w:p>
    <w:p>
      <w:pPr>
        <w:spacing w:before="0" w:after="0" w:line="360" w:lineRule="auto"/>
        <w:ind w:firstLine="480" w:firstLineChars="200"/>
        <w:jc w:val="both"/>
      </w:pPr>
      <w:r>
        <w:rPr>
          <w:rFonts w:ascii="Times New Roman" w:hAnsi="Times New Roman" w:eastAsia="宋体"/>
          <w:b w:val="0"/>
          <w:sz w:val="24"/>
        </w:rPr>
        <w:t>附录A展示了实验脚本的关键参数设置，包括学习率调度、优化器超参数以及图像增强策略，可为后续复现提供参考。</w:t>
      </w:r>
    </w:p>
    <w:p>
      <w:pPr>
        <w:spacing w:before="0" w:after="0" w:line="360" w:lineRule="auto"/>
        <w:ind w:firstLine="480" w:firstLineChars="200"/>
        <w:jc w:val="both"/>
      </w:pPr>
      <w:r>
        <w:rPr>
          <w:rFonts w:ascii="Times New Roman" w:hAnsi="Times New Roman" w:eastAsia="宋体"/>
          <w:b w:val="0"/>
          <w:sz w:val="24"/>
        </w:rPr>
        <w:t>附录B给出了额外的性能对比曲线，其中包含不同模型在推理延迟、显存占用方面的定量指标，帮助读者全面评估部署成本。</w:t>
      </w:r>
    </w:p>
    <w:p>
      <w:pPr>
        <w:spacing w:before="0" w:after="0" w:line="360" w:lineRule="auto"/>
        <w:ind w:firstLine="480" w:firstLineChars="200"/>
        <w:jc w:val="both"/>
      </w:pPr>
      <w:r>
        <w:rPr>
          <w:rFonts w:ascii="Times New Roman" w:hAnsi="Times New Roman" w:eastAsia="宋体"/>
          <w:b w:val="0"/>
          <w:sz w:val="24"/>
        </w:rPr>
        <w:t>附录C补充了数据集划分及预处理流程的伪代码，便于读者根据自身设备条件调整批大小与显存需求。</w:t>
      </w:r>
    </w:p>
    <w:sectPr w:rsidR="00FC693F" w:rsidRPr="0006063C" w:rsidSect="00034616">
      <w:headerReference w:type="default" r:id="rId17"/>
      <w:pgSz w:w="11906" w:h="16838"/>
      <w:pgMar w:top="1134" w:right="1134" w:bottom="1134" w:left="1417" w:header="794" w:footer="737" w:gutter="283"/>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基于深度学习的图像识别技术研究与应用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参考文献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致  谢</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附  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