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603D8" w14:textId="77777777" w:rsidR="00165C9E" w:rsidRDefault="00000000">
      <w:pPr>
        <w:jc w:val="center"/>
        <w:rPr>
          <w:rFonts w:ascii="宋体"/>
          <w:sz w:val="30"/>
          <w:szCs w:val="30"/>
        </w:rPr>
      </w:pPr>
      <w:r>
        <w:rPr>
          <w:rFonts w:cs="宋体" w:hint="eastAsia"/>
          <w:b/>
          <w:bCs/>
          <w:w w:val="90"/>
          <w:sz w:val="32"/>
          <w:szCs w:val="32"/>
        </w:rPr>
        <w:t>广州工商学院学位论文写作声明和使用授权说明</w:t>
      </w:r>
    </w:p>
    <w:p w14:paraId="30BE3FA6" w14:textId="77777777" w:rsidR="00165C9E" w:rsidRDefault="00165C9E">
      <w:pPr>
        <w:jc w:val="center"/>
        <w:rPr>
          <w:rFonts w:ascii="宋体"/>
          <w:sz w:val="28"/>
          <w:szCs w:val="28"/>
        </w:rPr>
      </w:pPr>
    </w:p>
    <w:p w14:paraId="0D9C9667" w14:textId="77777777" w:rsidR="00165C9E" w:rsidRDefault="00000000">
      <w:pPr>
        <w:jc w:val="center"/>
        <w:rPr>
          <w:b/>
          <w:bCs/>
          <w:sz w:val="18"/>
          <w:szCs w:val="18"/>
        </w:rPr>
      </w:pPr>
      <w:r>
        <w:rPr>
          <w:rFonts w:cs="宋体" w:hint="eastAsia"/>
          <w:b/>
          <w:bCs/>
          <w:sz w:val="28"/>
          <w:szCs w:val="28"/>
        </w:rPr>
        <w:t>学位论文写作声明</w:t>
      </w:r>
    </w:p>
    <w:p w14:paraId="4B42B1C1" w14:textId="77777777" w:rsidR="00165C9E" w:rsidRDefault="00165C9E">
      <w:pPr>
        <w:jc w:val="center"/>
        <w:rPr>
          <w:rFonts w:ascii="宋体"/>
          <w:sz w:val="18"/>
          <w:szCs w:val="18"/>
        </w:rPr>
      </w:pPr>
    </w:p>
    <w:p w14:paraId="58AA05C4" w14:textId="77777777" w:rsidR="00165C9E" w:rsidRDefault="00000000">
      <w:pPr>
        <w:spacing w:line="360" w:lineRule="auto"/>
        <w:ind w:firstLineChars="200" w:firstLine="480"/>
        <w:rPr>
          <w:rFonts w:ascii="宋体"/>
          <w:sz w:val="24"/>
          <w:szCs w:val="24"/>
        </w:rPr>
      </w:pPr>
      <w:r>
        <w:rPr>
          <w:rFonts w:ascii="宋体" w:hAnsi="宋体" w:cs="宋体" w:hint="eastAsia"/>
          <w:sz w:val="24"/>
          <w:szCs w:val="24"/>
        </w:rPr>
        <w:t>本人郑重声明：所呈交的学位论文，是本人在导师的指导下，独立进行研究工作所取得的成果。除文中已经注明引用的内容外，本论文不含任何其他个人或集体已经发表或撰写过的作品或成果。对本文的研究做出重要贡献的个人和集体，均已在文中以明确方式标明。本声明的法律结果由本人承担。</w:t>
      </w:r>
    </w:p>
    <w:p w14:paraId="0DAC0314" w14:textId="77777777" w:rsidR="00165C9E" w:rsidRDefault="00165C9E">
      <w:pPr>
        <w:spacing w:line="360" w:lineRule="auto"/>
        <w:rPr>
          <w:sz w:val="24"/>
          <w:szCs w:val="24"/>
        </w:rPr>
      </w:pPr>
    </w:p>
    <w:p w14:paraId="1AFEC5B3" w14:textId="77777777" w:rsidR="00165C9E" w:rsidRDefault="00000000">
      <w:pPr>
        <w:rPr>
          <w:rFonts w:ascii="宋体"/>
          <w:sz w:val="24"/>
          <w:szCs w:val="24"/>
        </w:rPr>
      </w:pPr>
      <w:r>
        <w:rPr>
          <w:rFonts w:ascii="宋体" w:hAnsi="宋体" w:cs="宋体" w:hint="eastAsia"/>
          <w:sz w:val="24"/>
          <w:szCs w:val="24"/>
        </w:rPr>
        <w:t>论文作者签名：</w:t>
      </w:r>
      <w:r>
        <w:rPr>
          <w:rFonts w:hint="eastAsia"/>
        </w:rPr>
        <w:t xml:space="preserve">  </w:t>
      </w:r>
      <w:r>
        <w:rPr>
          <w:noProof/>
        </w:rPr>
        <w:drawing>
          <wp:inline distT="0" distB="0" distL="114300" distR="114300" wp14:anchorId="356CF56A" wp14:editId="300FB7CB">
            <wp:extent cx="911225" cy="452120"/>
            <wp:effectExtent l="0" t="0" r="3175" b="5080"/>
            <wp:docPr id="3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5"/>
                    <pic:cNvPicPr>
                      <a:picLocks noChangeAspect="1"/>
                    </pic:cNvPicPr>
                  </pic:nvPicPr>
                  <pic:blipFill>
                    <a:blip r:embed="rId8">
                      <a:biLevel thresh="50000"/>
                    </a:blip>
                    <a:stretch>
                      <a:fillRect/>
                    </a:stretch>
                  </pic:blipFill>
                  <pic:spPr>
                    <a:xfrm>
                      <a:off x="0" y="0"/>
                      <a:ext cx="911225" cy="452120"/>
                    </a:xfrm>
                    <a:prstGeom prst="rect">
                      <a:avLst/>
                    </a:prstGeom>
                    <a:noFill/>
                    <a:ln>
                      <a:noFill/>
                    </a:ln>
                  </pic:spPr>
                </pic:pic>
              </a:graphicData>
            </a:graphic>
          </wp:inline>
        </w:drawing>
      </w:r>
      <w:r>
        <w:rPr>
          <w:rFonts w:hint="eastAsia"/>
        </w:rPr>
        <w:t xml:space="preserve">  </w:t>
      </w:r>
      <w:r>
        <w:rPr>
          <w:rFonts w:ascii="宋体" w:hAnsi="宋体" w:cs="宋体" w:hint="eastAsia"/>
          <w:sz w:val="24"/>
          <w:szCs w:val="24"/>
        </w:rPr>
        <w:t>日期：2020年5 月30 日</w:t>
      </w:r>
    </w:p>
    <w:p w14:paraId="3AF316AE" w14:textId="77777777" w:rsidR="00165C9E" w:rsidRDefault="00165C9E">
      <w:pPr>
        <w:rPr>
          <w:rFonts w:ascii="宋体"/>
          <w:sz w:val="24"/>
          <w:szCs w:val="24"/>
        </w:rPr>
      </w:pPr>
    </w:p>
    <w:p w14:paraId="1AB9E2F6" w14:textId="77777777" w:rsidR="00165C9E" w:rsidRDefault="00165C9E">
      <w:pPr>
        <w:rPr>
          <w:rFonts w:ascii="宋体"/>
          <w:sz w:val="24"/>
          <w:szCs w:val="24"/>
        </w:rPr>
      </w:pPr>
    </w:p>
    <w:p w14:paraId="6844B15C" w14:textId="77777777" w:rsidR="00165C9E" w:rsidRDefault="00165C9E">
      <w:pPr>
        <w:rPr>
          <w:rFonts w:ascii="宋体"/>
          <w:sz w:val="24"/>
          <w:szCs w:val="24"/>
        </w:rPr>
      </w:pPr>
    </w:p>
    <w:p w14:paraId="2E5506E4" w14:textId="77777777" w:rsidR="00165C9E" w:rsidRDefault="00165C9E">
      <w:pPr>
        <w:rPr>
          <w:rFonts w:ascii="宋体"/>
          <w:sz w:val="24"/>
          <w:szCs w:val="24"/>
        </w:rPr>
      </w:pPr>
    </w:p>
    <w:p w14:paraId="0EF624F5" w14:textId="77777777" w:rsidR="00165C9E" w:rsidRDefault="00000000">
      <w:pPr>
        <w:jc w:val="center"/>
        <w:rPr>
          <w:b/>
          <w:bCs/>
          <w:sz w:val="28"/>
          <w:szCs w:val="28"/>
        </w:rPr>
      </w:pPr>
      <w:r>
        <w:rPr>
          <w:rFonts w:cs="宋体" w:hint="eastAsia"/>
          <w:b/>
          <w:bCs/>
          <w:sz w:val="28"/>
          <w:szCs w:val="28"/>
        </w:rPr>
        <w:t>学位论文使用授权说明</w:t>
      </w:r>
    </w:p>
    <w:p w14:paraId="13F49376" w14:textId="77777777" w:rsidR="00165C9E" w:rsidRDefault="00165C9E">
      <w:pPr>
        <w:rPr>
          <w:b/>
          <w:bCs/>
          <w:sz w:val="18"/>
          <w:szCs w:val="18"/>
        </w:rPr>
      </w:pPr>
    </w:p>
    <w:p w14:paraId="28C9E225" w14:textId="77777777" w:rsidR="00165C9E" w:rsidRDefault="00000000">
      <w:pPr>
        <w:spacing w:line="360" w:lineRule="auto"/>
        <w:ind w:firstLineChars="245" w:firstLine="588"/>
        <w:rPr>
          <w:rFonts w:ascii="宋体"/>
          <w:sz w:val="24"/>
          <w:szCs w:val="24"/>
        </w:rPr>
      </w:pPr>
      <w:r>
        <w:rPr>
          <w:rFonts w:ascii="宋体" w:hAnsi="宋体" w:cs="宋体" w:hint="eastAsia"/>
          <w:sz w:val="24"/>
          <w:szCs w:val="24"/>
        </w:rPr>
        <w:t>本人完全了解广州工商学院关于收集、保存、使用学位论文的规定，即：按照学校要求提交学位论文的印刷本和电子版本；学校有权保存学位论文的印刷本和电子版，并提供目录检索与阅览服务；学校可以采用影印、缩印、数字化或其它复制手段保存论文；在不以赢利为目的的前提下，学校可以将学位论文编入有关数据库</w:t>
      </w:r>
      <w:r>
        <w:rPr>
          <w:rFonts w:ascii="宋体" w:cs="宋体"/>
          <w:sz w:val="24"/>
          <w:szCs w:val="24"/>
        </w:rPr>
        <w:t>,</w:t>
      </w:r>
      <w:r>
        <w:rPr>
          <w:rFonts w:ascii="宋体" w:hAnsi="宋体" w:cs="宋体" w:hint="eastAsia"/>
          <w:sz w:val="24"/>
          <w:szCs w:val="24"/>
        </w:rPr>
        <w:t>提供网上服务。（保密论文在解密后遵守此规定）</w:t>
      </w:r>
    </w:p>
    <w:p w14:paraId="63F57BD5" w14:textId="77777777" w:rsidR="00165C9E" w:rsidRDefault="00165C9E">
      <w:pPr>
        <w:spacing w:line="360" w:lineRule="auto"/>
        <w:ind w:firstLineChars="245" w:firstLine="588"/>
        <w:rPr>
          <w:rFonts w:ascii="宋体"/>
          <w:sz w:val="24"/>
          <w:szCs w:val="24"/>
        </w:rPr>
      </w:pPr>
    </w:p>
    <w:p w14:paraId="5B9C84C7" w14:textId="77777777" w:rsidR="00165C9E" w:rsidRDefault="00165C9E">
      <w:pPr>
        <w:spacing w:line="360" w:lineRule="auto"/>
        <w:rPr>
          <w:rFonts w:ascii="宋体"/>
          <w:sz w:val="24"/>
          <w:szCs w:val="24"/>
        </w:rPr>
      </w:pPr>
    </w:p>
    <w:p w14:paraId="1E9E9D70" w14:textId="77777777" w:rsidR="00165C9E" w:rsidRDefault="00165C9E">
      <w:pPr>
        <w:spacing w:line="360" w:lineRule="auto"/>
        <w:rPr>
          <w:rFonts w:ascii="宋体"/>
          <w:sz w:val="24"/>
          <w:szCs w:val="24"/>
        </w:rPr>
      </w:pPr>
    </w:p>
    <w:p w14:paraId="460A8EAE" w14:textId="77777777" w:rsidR="00165C9E" w:rsidRDefault="00000000">
      <w:pPr>
        <w:wordWrap w:val="0"/>
        <w:spacing w:line="360" w:lineRule="auto"/>
        <w:ind w:firstLineChars="245" w:firstLine="588"/>
        <w:rPr>
          <w:rFonts w:ascii="宋体"/>
          <w:sz w:val="24"/>
          <w:szCs w:val="24"/>
        </w:rPr>
      </w:pPr>
      <w:r>
        <w:rPr>
          <w:rFonts w:ascii="宋体" w:hAnsi="宋体" w:cs="宋体" w:hint="eastAsia"/>
          <w:sz w:val="24"/>
          <w:szCs w:val="24"/>
        </w:rPr>
        <w:t xml:space="preserve">论文作者签名： </w:t>
      </w:r>
      <w:r>
        <w:rPr>
          <w:noProof/>
        </w:rPr>
        <w:drawing>
          <wp:inline distT="0" distB="0" distL="114300" distR="114300" wp14:anchorId="660ABE8F" wp14:editId="453D6FA8">
            <wp:extent cx="806450" cy="400050"/>
            <wp:effectExtent l="0" t="0" r="12700" b="0"/>
            <wp:docPr id="3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5"/>
                    <pic:cNvPicPr>
                      <a:picLocks noChangeAspect="1"/>
                    </pic:cNvPicPr>
                  </pic:nvPicPr>
                  <pic:blipFill>
                    <a:blip r:embed="rId8">
                      <a:biLevel thresh="50000"/>
                    </a:blip>
                    <a:stretch>
                      <a:fillRect/>
                    </a:stretch>
                  </pic:blipFill>
                  <pic:spPr>
                    <a:xfrm>
                      <a:off x="0" y="0"/>
                      <a:ext cx="806450" cy="400050"/>
                    </a:xfrm>
                    <a:prstGeom prst="rect">
                      <a:avLst/>
                    </a:prstGeom>
                    <a:noFill/>
                    <a:ln>
                      <a:noFill/>
                    </a:ln>
                  </pic:spPr>
                </pic:pic>
              </a:graphicData>
            </a:graphic>
          </wp:inline>
        </w:drawing>
      </w:r>
      <w:r>
        <w:rPr>
          <w:rFonts w:ascii="宋体" w:hAnsi="宋体" w:cs="宋体" w:hint="eastAsia"/>
          <w:sz w:val="24"/>
          <w:szCs w:val="24"/>
        </w:rPr>
        <w:t xml:space="preserve">           导师签名：</w:t>
      </w:r>
      <w:r>
        <w:rPr>
          <w:rFonts w:ascii="宋体"/>
          <w:noProof/>
          <w:sz w:val="24"/>
          <w:szCs w:val="24"/>
        </w:rPr>
        <w:drawing>
          <wp:inline distT="0" distB="0" distL="0" distR="0" wp14:anchorId="60F15599" wp14:editId="256DB90F">
            <wp:extent cx="680085" cy="374650"/>
            <wp:effectExtent l="0" t="0" r="5715" b="635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684003" cy="376836"/>
                    </a:xfrm>
                    <a:prstGeom prst="rect">
                      <a:avLst/>
                    </a:prstGeom>
                  </pic:spPr>
                </pic:pic>
              </a:graphicData>
            </a:graphic>
          </wp:inline>
        </w:drawing>
      </w:r>
    </w:p>
    <w:p w14:paraId="1E107D82" w14:textId="77777777" w:rsidR="00165C9E" w:rsidRDefault="00000000">
      <w:pPr>
        <w:wordWrap w:val="0"/>
        <w:spacing w:line="360" w:lineRule="auto"/>
        <w:ind w:firstLineChars="245" w:firstLine="588"/>
        <w:jc w:val="right"/>
        <w:rPr>
          <w:rFonts w:ascii="宋体"/>
          <w:sz w:val="24"/>
          <w:szCs w:val="24"/>
        </w:rPr>
      </w:pPr>
      <w:r>
        <w:rPr>
          <w:rFonts w:ascii="宋体" w:hAnsi="宋体" w:cs="宋体" w:hint="eastAsia"/>
          <w:sz w:val="24"/>
          <w:szCs w:val="24"/>
        </w:rPr>
        <w:t>日期：2020年5 月30 日</w:t>
      </w:r>
    </w:p>
    <w:p w14:paraId="79ABA4F6" w14:textId="77777777" w:rsidR="00165C9E" w:rsidRDefault="00165C9E">
      <w:pPr>
        <w:rPr>
          <w:b/>
          <w:bCs/>
          <w:sz w:val="24"/>
          <w:szCs w:val="24"/>
        </w:rPr>
      </w:pPr>
    </w:p>
    <w:p w14:paraId="48E46F2C" w14:textId="77777777" w:rsidR="00165C9E" w:rsidRDefault="00165C9E">
      <w:pPr>
        <w:rPr>
          <w:b/>
          <w:bCs/>
          <w:sz w:val="24"/>
          <w:szCs w:val="24"/>
        </w:rPr>
      </w:pPr>
    </w:p>
    <w:p w14:paraId="7E89C3EC" w14:textId="77777777" w:rsidR="00165C9E" w:rsidRDefault="00165C9E">
      <w:pPr>
        <w:spacing w:line="400" w:lineRule="exact"/>
        <w:rPr>
          <w:rFonts w:ascii="黑体" w:eastAsia="黑体" w:hAnsi="黑体" w:cs="黑体"/>
          <w:b/>
          <w:bCs/>
          <w:sz w:val="36"/>
          <w:szCs w:val="36"/>
        </w:rPr>
      </w:pPr>
    </w:p>
    <w:p w14:paraId="062E25E1" w14:textId="77777777" w:rsidR="00165C9E" w:rsidRDefault="00165C9E">
      <w:pPr>
        <w:spacing w:line="400" w:lineRule="exact"/>
        <w:jc w:val="center"/>
        <w:rPr>
          <w:rFonts w:ascii="黑体" w:eastAsia="黑体" w:hAnsi="黑体"/>
          <w:b/>
          <w:bCs/>
          <w:color w:val="FF0000"/>
          <w:sz w:val="36"/>
          <w:szCs w:val="36"/>
        </w:rPr>
        <w:sectPr w:rsidR="00165C9E">
          <w:headerReference w:type="default" r:id="rId10"/>
          <w:footerReference w:type="default" r:id="rId11"/>
          <w:pgSz w:w="11906" w:h="16838"/>
          <w:pgMar w:top="1440" w:right="1800" w:bottom="1440" w:left="1800" w:header="851" w:footer="992" w:gutter="0"/>
          <w:pgNumType w:fmt="upperRoman" w:start="1"/>
          <w:cols w:space="425"/>
          <w:docGrid w:type="lines" w:linePitch="312"/>
        </w:sectPr>
      </w:pPr>
    </w:p>
    <w:p w14:paraId="336FE6DB" w14:textId="77777777" w:rsidR="00165C9E" w:rsidRDefault="00165C9E">
      <w:pPr>
        <w:spacing w:line="400" w:lineRule="exact"/>
        <w:jc w:val="center"/>
        <w:rPr>
          <w:rFonts w:ascii="黑体" w:eastAsia="黑体" w:hAnsi="黑体"/>
          <w:b/>
          <w:bCs/>
          <w:color w:val="FF0000"/>
          <w:sz w:val="36"/>
          <w:szCs w:val="36"/>
        </w:rPr>
      </w:pPr>
    </w:p>
    <w:p w14:paraId="66F82949" w14:textId="77777777" w:rsidR="00165C9E" w:rsidRDefault="00000000">
      <w:pPr>
        <w:spacing w:beforeLines="100" w:before="312" w:afterLines="100" w:after="312" w:line="400" w:lineRule="exact"/>
        <w:jc w:val="center"/>
        <w:rPr>
          <w:rFonts w:ascii="黑体" w:eastAsia="黑体" w:hAnsi="黑体" w:cs="黑体"/>
          <w:b/>
          <w:bCs/>
          <w:sz w:val="36"/>
          <w:szCs w:val="36"/>
        </w:rPr>
      </w:pPr>
      <w:r>
        <w:rPr>
          <w:rFonts w:ascii="黑体" w:eastAsia="黑体" w:hAnsi="黑体" w:cs="黑体" w:hint="eastAsia"/>
          <w:b/>
          <w:bCs/>
          <w:sz w:val="36"/>
          <w:szCs w:val="36"/>
        </w:rPr>
        <w:t>房地产类上市公司融资成本分析与评价</w:t>
      </w:r>
    </w:p>
    <w:p w14:paraId="5954CB88" w14:textId="77777777" w:rsidR="00165C9E" w:rsidRDefault="00000000">
      <w:pPr>
        <w:spacing w:beforeLines="100" w:before="312" w:afterLines="100" w:after="312" w:line="400" w:lineRule="exact"/>
        <w:jc w:val="center"/>
        <w:rPr>
          <w:rFonts w:ascii="黑体" w:eastAsia="黑体" w:hAnsi="黑体"/>
          <w:b/>
          <w:bCs/>
          <w:sz w:val="32"/>
          <w:szCs w:val="32"/>
        </w:rPr>
      </w:pPr>
      <w:r>
        <w:rPr>
          <w:rFonts w:ascii="黑体" w:eastAsia="黑体" w:hAnsi="黑体" w:cs="黑体" w:hint="eastAsia"/>
          <w:b/>
          <w:bCs/>
          <w:sz w:val="32"/>
          <w:szCs w:val="32"/>
        </w:rPr>
        <w:t>——以万科企业股份有限公司为例</w:t>
      </w:r>
    </w:p>
    <w:p w14:paraId="2510FD78" w14:textId="77777777" w:rsidR="00165C9E" w:rsidRDefault="00165C9E">
      <w:pPr>
        <w:tabs>
          <w:tab w:val="center" w:pos="4153"/>
          <w:tab w:val="left" w:pos="5635"/>
          <w:tab w:val="right" w:pos="8306"/>
        </w:tabs>
        <w:spacing w:line="400" w:lineRule="exact"/>
        <w:jc w:val="center"/>
        <w:rPr>
          <w:rFonts w:eastAsia="黑体"/>
          <w:b/>
          <w:bCs/>
          <w:sz w:val="36"/>
          <w:szCs w:val="36"/>
        </w:rPr>
      </w:pPr>
    </w:p>
    <w:p w14:paraId="17D8AF00" w14:textId="77777777" w:rsidR="00165C9E" w:rsidRDefault="00000000">
      <w:pPr>
        <w:pStyle w:val="1"/>
        <w:jc w:val="center"/>
        <w:rPr>
          <w:rFonts w:ascii="黑体" w:eastAsia="黑体" w:hAnsi="黑体"/>
          <w:sz w:val="30"/>
          <w:szCs w:val="30"/>
        </w:rPr>
      </w:pPr>
      <w:bookmarkStart w:id="0" w:name="_Toc31887"/>
      <w:r>
        <w:rPr>
          <w:rFonts w:ascii="黑体" w:eastAsia="黑体" w:hAnsi="黑体" w:cs="黑体" w:hint="eastAsia"/>
          <w:sz w:val="30"/>
          <w:szCs w:val="30"/>
        </w:rPr>
        <w:t>摘要</w:t>
      </w:r>
      <w:bookmarkEnd w:id="0"/>
    </w:p>
    <w:p w14:paraId="6EBE54A2" w14:textId="77777777" w:rsidR="00165C9E" w:rsidRDefault="00165C9E">
      <w:pPr>
        <w:jc w:val="center"/>
        <w:rPr>
          <w:rFonts w:eastAsia="黑体"/>
          <w:color w:val="FF0000"/>
        </w:rPr>
      </w:pPr>
    </w:p>
    <w:p w14:paraId="16C1CF8D" w14:textId="77777777" w:rsidR="00165C9E" w:rsidRDefault="00000000">
      <w:pPr>
        <w:pStyle w:val="31"/>
        <w:spacing w:afterLines="100" w:after="312" w:line="400" w:lineRule="exact"/>
        <w:ind w:firstLineChars="200" w:firstLine="480"/>
        <w:rPr>
          <w:rFonts w:ascii="宋体"/>
          <w:sz w:val="24"/>
          <w:szCs w:val="24"/>
        </w:rPr>
      </w:pPr>
      <w:r>
        <w:rPr>
          <w:rFonts w:ascii="宋体" w:hAnsi="宋体" w:cs="宋体" w:hint="eastAsia"/>
          <w:sz w:val="24"/>
          <w:szCs w:val="24"/>
        </w:rPr>
        <w:t>房地产是国民经济发展的支柱之一，经济增长依靠房地产行业的投资和发展。房地产是一个资金密集型行业并且具有周期长和投资高的特征，其资金来源高度依赖于外部融资，足以说明表明资金在房地产开发中的地位很高。因此融资成本是企业在融资过程中不可忽视的一部分，如何降低房地产类上市公司融资成本对企业发展是至关重要的。本文从万科融资方式与融资成本关系出发，分别对万科债权融资方式和股权融资方式进行比较并且对融资成本影响因素进行分析，本文由小及大，结合房地产类上市公司融资方式探讨发展什么样融资方式有利于降低企业融资成本，本文结合房地产类上市公司融资方式由小及大地探讨发展什么样的融资方式有利于降低企业的融资成本并提出一些相对应的措施。</w:t>
      </w:r>
    </w:p>
    <w:p w14:paraId="24442213" w14:textId="77777777" w:rsidR="00165C9E" w:rsidRDefault="00000000">
      <w:pPr>
        <w:spacing w:line="360" w:lineRule="auto"/>
        <w:rPr>
          <w:rFonts w:eastAsia="黑体"/>
          <w:b/>
          <w:bCs/>
          <w:color w:val="000000"/>
          <w:sz w:val="30"/>
          <w:szCs w:val="30"/>
        </w:rPr>
      </w:pPr>
      <w:r>
        <w:rPr>
          <w:rFonts w:ascii="黑体" w:eastAsia="黑体" w:cs="黑体" w:hint="eastAsia"/>
          <w:b/>
          <w:bCs/>
          <w:sz w:val="30"/>
          <w:szCs w:val="30"/>
        </w:rPr>
        <w:t>关键词</w:t>
      </w:r>
      <w:r>
        <w:rPr>
          <w:rFonts w:eastAsia="黑体" w:cs="黑体" w:hint="eastAsia"/>
          <w:sz w:val="30"/>
          <w:szCs w:val="30"/>
        </w:rPr>
        <w:t>：</w:t>
      </w:r>
      <w:r>
        <w:rPr>
          <w:rFonts w:ascii="黑体" w:hAnsi="黑体" w:cs="宋体" w:hint="eastAsia"/>
          <w:sz w:val="24"/>
          <w:szCs w:val="24"/>
        </w:rPr>
        <w:t>融资理论；融资方式；融资成本；万科；房地产类上市公司</w:t>
      </w:r>
    </w:p>
    <w:p w14:paraId="64DC022D" w14:textId="77777777" w:rsidR="00165C9E" w:rsidRDefault="00165C9E">
      <w:pPr>
        <w:spacing w:line="400" w:lineRule="exact"/>
        <w:jc w:val="center"/>
        <w:rPr>
          <w:rFonts w:eastAsia="黑体"/>
          <w:b/>
          <w:bCs/>
          <w:color w:val="000000"/>
          <w:sz w:val="30"/>
          <w:szCs w:val="30"/>
        </w:rPr>
      </w:pPr>
    </w:p>
    <w:p w14:paraId="674C58EE" w14:textId="77777777" w:rsidR="00165C9E" w:rsidRDefault="00165C9E">
      <w:pPr>
        <w:spacing w:line="400" w:lineRule="exact"/>
        <w:jc w:val="center"/>
        <w:rPr>
          <w:rFonts w:eastAsia="黑体"/>
          <w:b/>
          <w:bCs/>
          <w:color w:val="000000"/>
          <w:sz w:val="30"/>
          <w:szCs w:val="30"/>
        </w:rPr>
      </w:pPr>
    </w:p>
    <w:p w14:paraId="76FC8178" w14:textId="77777777" w:rsidR="00165C9E" w:rsidRDefault="00165C9E">
      <w:pPr>
        <w:spacing w:line="400" w:lineRule="exact"/>
        <w:jc w:val="center"/>
        <w:rPr>
          <w:rFonts w:eastAsia="黑体"/>
          <w:b/>
          <w:bCs/>
          <w:color w:val="000000"/>
          <w:sz w:val="30"/>
          <w:szCs w:val="30"/>
        </w:rPr>
      </w:pPr>
    </w:p>
    <w:p w14:paraId="4FFFBEB8" w14:textId="77777777" w:rsidR="00165C9E" w:rsidRDefault="00165C9E">
      <w:pPr>
        <w:spacing w:line="400" w:lineRule="exact"/>
        <w:jc w:val="center"/>
        <w:rPr>
          <w:rFonts w:eastAsia="黑体"/>
          <w:b/>
          <w:bCs/>
          <w:color w:val="000000"/>
          <w:sz w:val="30"/>
          <w:szCs w:val="30"/>
        </w:rPr>
      </w:pPr>
    </w:p>
    <w:p w14:paraId="214488DD" w14:textId="77777777" w:rsidR="00165C9E" w:rsidRDefault="00165C9E">
      <w:pPr>
        <w:spacing w:line="400" w:lineRule="exact"/>
        <w:jc w:val="center"/>
        <w:rPr>
          <w:rFonts w:eastAsia="黑体"/>
          <w:b/>
          <w:bCs/>
          <w:color w:val="000000"/>
          <w:sz w:val="30"/>
          <w:szCs w:val="30"/>
        </w:rPr>
      </w:pPr>
    </w:p>
    <w:p w14:paraId="5D434EF7" w14:textId="77777777" w:rsidR="00165C9E" w:rsidRDefault="00165C9E">
      <w:pPr>
        <w:spacing w:line="400" w:lineRule="exact"/>
        <w:jc w:val="center"/>
        <w:rPr>
          <w:rFonts w:eastAsia="黑体"/>
          <w:b/>
          <w:bCs/>
          <w:color w:val="000000"/>
          <w:sz w:val="30"/>
          <w:szCs w:val="30"/>
        </w:rPr>
      </w:pPr>
    </w:p>
    <w:p w14:paraId="7A393AE9" w14:textId="77777777" w:rsidR="00165C9E" w:rsidRDefault="00165C9E">
      <w:pPr>
        <w:spacing w:line="400" w:lineRule="exact"/>
        <w:jc w:val="center"/>
        <w:rPr>
          <w:rFonts w:eastAsia="黑体"/>
          <w:b/>
          <w:bCs/>
          <w:color w:val="000000"/>
          <w:sz w:val="30"/>
          <w:szCs w:val="30"/>
        </w:rPr>
      </w:pPr>
    </w:p>
    <w:p w14:paraId="0095ED0B" w14:textId="77777777" w:rsidR="00165C9E" w:rsidRDefault="00165C9E">
      <w:pPr>
        <w:spacing w:line="400" w:lineRule="exact"/>
        <w:jc w:val="center"/>
        <w:rPr>
          <w:rFonts w:eastAsia="黑体"/>
          <w:b/>
          <w:bCs/>
          <w:color w:val="000000"/>
          <w:sz w:val="30"/>
          <w:szCs w:val="30"/>
        </w:rPr>
      </w:pPr>
    </w:p>
    <w:p w14:paraId="12B35DCB" w14:textId="77777777" w:rsidR="00165C9E" w:rsidRDefault="00165C9E">
      <w:pPr>
        <w:spacing w:line="400" w:lineRule="exact"/>
        <w:jc w:val="center"/>
        <w:rPr>
          <w:rFonts w:eastAsia="黑体"/>
          <w:b/>
          <w:bCs/>
          <w:color w:val="000000"/>
          <w:sz w:val="30"/>
          <w:szCs w:val="30"/>
        </w:rPr>
      </w:pPr>
    </w:p>
    <w:p w14:paraId="06220154" w14:textId="77777777" w:rsidR="00165C9E" w:rsidRDefault="00165C9E">
      <w:pPr>
        <w:spacing w:line="400" w:lineRule="exact"/>
        <w:jc w:val="center"/>
        <w:rPr>
          <w:rFonts w:eastAsia="黑体"/>
          <w:b/>
          <w:bCs/>
          <w:color w:val="000000"/>
          <w:sz w:val="30"/>
          <w:szCs w:val="30"/>
        </w:rPr>
      </w:pPr>
    </w:p>
    <w:p w14:paraId="6199A48E" w14:textId="77777777" w:rsidR="00165C9E" w:rsidRDefault="00165C9E">
      <w:pPr>
        <w:spacing w:line="400" w:lineRule="exact"/>
        <w:jc w:val="center"/>
        <w:rPr>
          <w:rFonts w:eastAsia="黑体"/>
          <w:b/>
          <w:bCs/>
          <w:color w:val="000000"/>
          <w:sz w:val="30"/>
          <w:szCs w:val="30"/>
        </w:rPr>
      </w:pPr>
    </w:p>
    <w:p w14:paraId="5E4AC426" w14:textId="77777777" w:rsidR="00165C9E" w:rsidRDefault="00165C9E">
      <w:pPr>
        <w:spacing w:line="400" w:lineRule="exact"/>
        <w:jc w:val="center"/>
        <w:rPr>
          <w:rFonts w:eastAsia="黑体"/>
          <w:b/>
          <w:bCs/>
          <w:color w:val="000000"/>
          <w:sz w:val="30"/>
          <w:szCs w:val="30"/>
        </w:rPr>
      </w:pPr>
    </w:p>
    <w:p w14:paraId="7553BEE4" w14:textId="77777777" w:rsidR="00165C9E" w:rsidRDefault="00165C9E">
      <w:pPr>
        <w:spacing w:line="400" w:lineRule="exact"/>
        <w:jc w:val="center"/>
        <w:rPr>
          <w:rFonts w:eastAsia="黑体"/>
          <w:b/>
          <w:bCs/>
          <w:color w:val="000000"/>
          <w:sz w:val="30"/>
          <w:szCs w:val="30"/>
        </w:rPr>
      </w:pPr>
    </w:p>
    <w:p w14:paraId="28CF2FE9" w14:textId="77777777" w:rsidR="00165C9E" w:rsidRDefault="00165C9E">
      <w:pPr>
        <w:spacing w:line="400" w:lineRule="exact"/>
        <w:jc w:val="center"/>
        <w:rPr>
          <w:rFonts w:eastAsia="黑体"/>
          <w:b/>
          <w:bCs/>
          <w:color w:val="000000"/>
          <w:sz w:val="30"/>
          <w:szCs w:val="30"/>
        </w:rPr>
      </w:pPr>
    </w:p>
    <w:p w14:paraId="2F6DB385" w14:textId="77777777" w:rsidR="00165C9E" w:rsidRDefault="00165C9E">
      <w:pPr>
        <w:spacing w:line="400" w:lineRule="exact"/>
        <w:rPr>
          <w:rFonts w:eastAsia="黑体"/>
          <w:b/>
          <w:bCs/>
          <w:color w:val="000000"/>
          <w:sz w:val="30"/>
          <w:szCs w:val="30"/>
        </w:rPr>
        <w:sectPr w:rsidR="00165C9E">
          <w:footerReference w:type="default" r:id="rId12"/>
          <w:pgSz w:w="11906" w:h="16838"/>
          <w:pgMar w:top="1440" w:right="1800" w:bottom="1440" w:left="1800" w:header="851" w:footer="992" w:gutter="0"/>
          <w:pgNumType w:fmt="upperRoman" w:start="1"/>
          <w:cols w:space="425"/>
          <w:docGrid w:type="lines" w:linePitch="312"/>
        </w:sectPr>
      </w:pPr>
    </w:p>
    <w:p w14:paraId="29948B63" w14:textId="77777777" w:rsidR="00165C9E" w:rsidRPr="002070A8" w:rsidRDefault="00165C9E">
      <w:pPr>
        <w:spacing w:line="400" w:lineRule="exact"/>
        <w:rPr>
          <w:rFonts w:eastAsia="黑体"/>
          <w:b/>
          <w:bCs/>
          <w:color w:val="000000"/>
          <w:sz w:val="36"/>
          <w:szCs w:val="36"/>
        </w:rPr>
      </w:pPr>
    </w:p>
    <w:p w14:paraId="42B41C72" w14:textId="77777777" w:rsidR="00165C9E" w:rsidRDefault="00165C9E">
      <w:pPr>
        <w:spacing w:line="400" w:lineRule="exact"/>
        <w:jc w:val="center"/>
        <w:rPr>
          <w:rFonts w:eastAsia="黑体"/>
          <w:color w:val="FF0000"/>
          <w:sz w:val="32"/>
          <w:szCs w:val="32"/>
        </w:rPr>
      </w:pPr>
    </w:p>
    <w:p w14:paraId="12B42632" w14:textId="77777777" w:rsidR="00165C9E" w:rsidRDefault="00000000">
      <w:pPr>
        <w:spacing w:beforeLines="100" w:before="312" w:afterLines="100" w:after="312" w:line="400" w:lineRule="exact"/>
        <w:jc w:val="center"/>
        <w:rPr>
          <w:rFonts w:eastAsia="黑体"/>
          <w:color w:val="000000"/>
          <w:sz w:val="32"/>
          <w:szCs w:val="32"/>
        </w:rPr>
      </w:pPr>
      <w:r>
        <w:rPr>
          <w:rFonts w:eastAsia="黑体"/>
          <w:b/>
          <w:bCs/>
          <w:color w:val="000000"/>
          <w:sz w:val="32"/>
          <w:szCs w:val="32"/>
        </w:rPr>
        <w:t>Analysisandevaluationoffinancingcostsoflistedcompaniesinrealestate—Take</w:t>
      </w:r>
      <w:r>
        <w:rPr>
          <w:rFonts w:eastAsia="黑体" w:hint="eastAsia"/>
          <w:b/>
          <w:bCs/>
          <w:color w:val="000000"/>
          <w:sz w:val="32"/>
          <w:szCs w:val="32"/>
        </w:rPr>
        <w:t xml:space="preserve"> </w:t>
      </w:r>
      <w:r>
        <w:rPr>
          <w:rFonts w:eastAsia="黑体"/>
          <w:b/>
          <w:bCs/>
          <w:color w:val="000000"/>
          <w:sz w:val="32"/>
          <w:szCs w:val="32"/>
        </w:rPr>
        <w:t>Vanke</w:t>
      </w:r>
      <w:r>
        <w:rPr>
          <w:rFonts w:eastAsia="黑体" w:hint="eastAsia"/>
          <w:b/>
          <w:bCs/>
          <w:color w:val="000000"/>
          <w:sz w:val="32"/>
          <w:szCs w:val="32"/>
        </w:rPr>
        <w:t xml:space="preserve"> </w:t>
      </w:r>
      <w:r>
        <w:rPr>
          <w:rFonts w:eastAsia="黑体"/>
          <w:b/>
          <w:bCs/>
          <w:color w:val="000000"/>
          <w:sz w:val="32"/>
          <w:szCs w:val="32"/>
        </w:rPr>
        <w:t>Enterprise</w:t>
      </w:r>
      <w:r>
        <w:rPr>
          <w:rFonts w:eastAsia="黑体" w:hint="eastAsia"/>
          <w:b/>
          <w:bCs/>
          <w:color w:val="000000"/>
          <w:sz w:val="32"/>
          <w:szCs w:val="32"/>
        </w:rPr>
        <w:t xml:space="preserve"> </w:t>
      </w:r>
      <w:r>
        <w:rPr>
          <w:rFonts w:eastAsia="黑体"/>
          <w:b/>
          <w:bCs/>
          <w:color w:val="000000"/>
          <w:sz w:val="32"/>
          <w:szCs w:val="32"/>
        </w:rPr>
        <w:t>CoLtd</w:t>
      </w:r>
      <w:r>
        <w:rPr>
          <w:rFonts w:eastAsia="黑体" w:hint="eastAsia"/>
          <w:b/>
          <w:bCs/>
          <w:color w:val="000000"/>
          <w:sz w:val="32"/>
          <w:szCs w:val="32"/>
        </w:rPr>
        <w:t xml:space="preserve"> </w:t>
      </w:r>
      <w:r>
        <w:rPr>
          <w:rFonts w:eastAsia="黑体"/>
          <w:b/>
          <w:bCs/>
          <w:color w:val="000000"/>
          <w:sz w:val="32"/>
          <w:szCs w:val="32"/>
        </w:rPr>
        <w:t>as</w:t>
      </w:r>
      <w:r>
        <w:rPr>
          <w:rFonts w:eastAsia="黑体" w:hint="eastAsia"/>
          <w:b/>
          <w:bCs/>
          <w:color w:val="000000"/>
          <w:sz w:val="32"/>
          <w:szCs w:val="32"/>
        </w:rPr>
        <w:t xml:space="preserve"> </w:t>
      </w:r>
      <w:r>
        <w:rPr>
          <w:rFonts w:eastAsia="黑体"/>
          <w:b/>
          <w:bCs/>
          <w:color w:val="000000"/>
          <w:sz w:val="32"/>
          <w:szCs w:val="32"/>
        </w:rPr>
        <w:t>an</w:t>
      </w:r>
      <w:r>
        <w:rPr>
          <w:rFonts w:eastAsia="黑体" w:hint="eastAsia"/>
          <w:b/>
          <w:bCs/>
          <w:color w:val="000000"/>
          <w:sz w:val="32"/>
          <w:szCs w:val="32"/>
        </w:rPr>
        <w:t xml:space="preserve"> </w:t>
      </w:r>
      <w:r>
        <w:rPr>
          <w:rFonts w:eastAsia="黑体"/>
          <w:b/>
          <w:bCs/>
          <w:color w:val="000000"/>
          <w:sz w:val="32"/>
          <w:szCs w:val="32"/>
        </w:rPr>
        <w:t>example</w:t>
      </w:r>
    </w:p>
    <w:p w14:paraId="242A0B68" w14:textId="77777777" w:rsidR="00165C9E" w:rsidRDefault="00000000">
      <w:pPr>
        <w:pStyle w:val="Heading10"/>
        <w:spacing w:afterLines="100" w:after="312"/>
        <w:jc w:val="center"/>
        <w:rPr>
          <w:color w:val="FF0000"/>
          <w:sz w:val="28"/>
          <w:szCs w:val="28"/>
        </w:rPr>
      </w:pPr>
      <w:bookmarkStart w:id="1" w:name="_Toc3518"/>
      <w:r>
        <w:rPr>
          <w:rFonts w:eastAsia="黑体"/>
          <w:color w:val="000000"/>
          <w:sz w:val="28"/>
          <w:szCs w:val="28"/>
        </w:rPr>
        <w:t>Abstract</w:t>
      </w:r>
      <w:bookmarkEnd w:id="1"/>
    </w:p>
    <w:p w14:paraId="7C0453F1" w14:textId="77777777" w:rsidR="00165C9E" w:rsidRDefault="00000000">
      <w:pPr>
        <w:spacing w:line="400" w:lineRule="exact"/>
        <w:ind w:firstLineChars="200" w:firstLine="420"/>
      </w:pPr>
      <w:r>
        <w:t>Real estate is one of the pillars of national economic development. Economic growth depends on investment and development in the real estate industry. Real estate is a capital-intensive industry, its source of funds is dependent on the external financing cycle long and high investment characteristics. It is important to show that the status of funds in real estate development. Therefore, financing cost is an enterprise in the process of financing can not be ignored part, how to reduce the financing cost of real estate listed companies is crucial to enterprise development. Based on the relationship between Vanke's financing method and financing cost, this paper compares Vanke's debt financing mode and equity financing method respectively, and analyzes the factors influencing financing cost, from small and large, and discusses what kind of financing method is beneficial to reduce the financing cost of enterprises. And put forward some corresponding measures to reduce the financing cost</w:t>
      </w:r>
    </w:p>
    <w:p w14:paraId="4D154979" w14:textId="77777777" w:rsidR="00165C9E" w:rsidRDefault="00165C9E">
      <w:pPr>
        <w:spacing w:line="400" w:lineRule="exact"/>
        <w:ind w:firstLineChars="200" w:firstLine="428"/>
        <w:rPr>
          <w:b/>
          <w:bCs/>
        </w:rPr>
      </w:pPr>
    </w:p>
    <w:p w14:paraId="44B089A3" w14:textId="77777777" w:rsidR="00165C9E" w:rsidRDefault="00000000">
      <w:pPr>
        <w:spacing w:line="400" w:lineRule="exact"/>
        <w:rPr>
          <w:color w:val="FF0000"/>
          <w:sz w:val="24"/>
          <w:szCs w:val="24"/>
        </w:rPr>
      </w:pPr>
      <w:r>
        <w:rPr>
          <w:b/>
          <w:bCs/>
          <w:color w:val="000000"/>
          <w:sz w:val="28"/>
          <w:szCs w:val="28"/>
        </w:rPr>
        <w:t>Keywords:</w:t>
      </w:r>
      <w:r>
        <w:rPr>
          <w:rFonts w:hint="eastAsia"/>
          <w:color w:val="000000"/>
        </w:rPr>
        <w:t>financing theory;financing mode;financing cost;Vanke;real estate listed companies</w:t>
      </w:r>
    </w:p>
    <w:p w14:paraId="439D1485" w14:textId="77777777" w:rsidR="00165C9E" w:rsidRDefault="00165C9E">
      <w:pPr>
        <w:spacing w:line="400" w:lineRule="exact"/>
        <w:jc w:val="center"/>
        <w:rPr>
          <w:rFonts w:eastAsia="黑体"/>
          <w:b/>
          <w:bCs/>
          <w:color w:val="000000"/>
          <w:sz w:val="30"/>
          <w:szCs w:val="30"/>
        </w:rPr>
      </w:pPr>
    </w:p>
    <w:p w14:paraId="7C291824" w14:textId="77777777" w:rsidR="00165C9E" w:rsidRDefault="00165C9E">
      <w:pPr>
        <w:spacing w:line="400" w:lineRule="exact"/>
        <w:jc w:val="center"/>
        <w:rPr>
          <w:rFonts w:eastAsia="黑体"/>
          <w:b/>
          <w:bCs/>
          <w:color w:val="000000"/>
          <w:sz w:val="30"/>
          <w:szCs w:val="30"/>
        </w:rPr>
      </w:pPr>
    </w:p>
    <w:p w14:paraId="4F901783" w14:textId="77777777" w:rsidR="00165C9E" w:rsidRDefault="00165C9E">
      <w:pPr>
        <w:spacing w:line="400" w:lineRule="exact"/>
        <w:jc w:val="center"/>
        <w:rPr>
          <w:rFonts w:eastAsia="黑体"/>
          <w:b/>
          <w:bCs/>
          <w:color w:val="000000"/>
          <w:sz w:val="30"/>
          <w:szCs w:val="30"/>
        </w:rPr>
      </w:pPr>
    </w:p>
    <w:p w14:paraId="65E2CEC9" w14:textId="77777777" w:rsidR="00165C9E" w:rsidRDefault="00165C9E">
      <w:pPr>
        <w:spacing w:line="400" w:lineRule="exact"/>
        <w:jc w:val="center"/>
        <w:rPr>
          <w:rFonts w:eastAsia="黑体"/>
          <w:b/>
          <w:bCs/>
          <w:color w:val="000000"/>
          <w:sz w:val="30"/>
          <w:szCs w:val="30"/>
        </w:rPr>
      </w:pPr>
    </w:p>
    <w:p w14:paraId="4923D8D3" w14:textId="77777777" w:rsidR="00165C9E" w:rsidRDefault="00165C9E">
      <w:pPr>
        <w:spacing w:line="400" w:lineRule="exact"/>
        <w:jc w:val="center"/>
        <w:rPr>
          <w:rFonts w:eastAsia="黑体"/>
          <w:b/>
          <w:bCs/>
          <w:color w:val="000000"/>
          <w:sz w:val="30"/>
          <w:szCs w:val="30"/>
        </w:rPr>
        <w:sectPr w:rsidR="00165C9E">
          <w:headerReference w:type="default" r:id="rId13"/>
          <w:footerReference w:type="default" r:id="rId14"/>
          <w:pgSz w:w="11906" w:h="16838"/>
          <w:pgMar w:top="1440" w:right="1800" w:bottom="1440" w:left="1800" w:header="851" w:footer="992" w:gutter="0"/>
          <w:pgNumType w:fmt="upperRoman" w:start="2"/>
          <w:cols w:space="425"/>
          <w:docGrid w:type="lines" w:linePitch="312"/>
        </w:sectPr>
      </w:pPr>
    </w:p>
    <w:p w14:paraId="7F41EE64" w14:textId="77777777" w:rsidR="00165C9E" w:rsidRDefault="00165C9E">
      <w:pPr>
        <w:spacing w:line="400" w:lineRule="exact"/>
        <w:jc w:val="center"/>
        <w:rPr>
          <w:rFonts w:eastAsia="黑体"/>
          <w:b/>
          <w:bCs/>
          <w:color w:val="000000"/>
          <w:sz w:val="30"/>
          <w:szCs w:val="30"/>
        </w:rPr>
      </w:pPr>
    </w:p>
    <w:p w14:paraId="1F636712" w14:textId="77777777" w:rsidR="00165C9E" w:rsidRDefault="00165C9E">
      <w:pPr>
        <w:spacing w:line="400" w:lineRule="exact"/>
        <w:jc w:val="center"/>
        <w:rPr>
          <w:rFonts w:eastAsia="黑体"/>
          <w:b/>
          <w:bCs/>
          <w:color w:val="FF0000"/>
          <w:sz w:val="36"/>
          <w:szCs w:val="36"/>
        </w:rPr>
      </w:pPr>
    </w:p>
    <w:p w14:paraId="4375D0DD" w14:textId="77777777" w:rsidR="00165C9E" w:rsidRDefault="00000000">
      <w:pPr>
        <w:spacing w:line="400" w:lineRule="exact"/>
        <w:jc w:val="center"/>
        <w:rPr>
          <w:rFonts w:eastAsia="黑体"/>
          <w:b/>
          <w:bCs/>
          <w:color w:val="000000"/>
          <w:sz w:val="30"/>
          <w:szCs w:val="30"/>
        </w:rPr>
      </w:pPr>
      <w:r>
        <w:rPr>
          <w:rFonts w:eastAsia="黑体" w:cs="黑体" w:hint="eastAsia"/>
          <w:b/>
          <w:bCs/>
          <w:color w:val="000000"/>
          <w:sz w:val="36"/>
          <w:szCs w:val="36"/>
        </w:rPr>
        <w:t>目</w:t>
      </w:r>
      <w:r>
        <w:rPr>
          <w:rFonts w:eastAsia="黑体" w:cs="黑体" w:hint="eastAsia"/>
          <w:b/>
          <w:bCs/>
          <w:color w:val="000000"/>
          <w:sz w:val="36"/>
          <w:szCs w:val="36"/>
        </w:rPr>
        <w:t xml:space="preserve">    </w:t>
      </w:r>
      <w:r>
        <w:rPr>
          <w:rFonts w:eastAsia="黑体" w:cs="黑体" w:hint="eastAsia"/>
          <w:b/>
          <w:bCs/>
          <w:color w:val="000000"/>
          <w:sz w:val="36"/>
          <w:szCs w:val="36"/>
        </w:rPr>
        <w:t>录</w:t>
      </w:r>
    </w:p>
    <w:p w14:paraId="19DA9863" w14:textId="77777777" w:rsidR="00165C9E" w:rsidRDefault="00165C9E">
      <w:pPr>
        <w:spacing w:line="400" w:lineRule="exact"/>
        <w:jc w:val="center"/>
        <w:rPr>
          <w:rFonts w:eastAsia="黑体"/>
          <w:b/>
          <w:bCs/>
          <w:color w:val="FF0000"/>
          <w:sz w:val="36"/>
          <w:szCs w:val="36"/>
        </w:rPr>
      </w:pPr>
    </w:p>
    <w:p w14:paraId="7214C93B" w14:textId="77777777" w:rsidR="00165C9E" w:rsidRDefault="00000000">
      <w:pPr>
        <w:pStyle w:val="TOC1"/>
        <w:tabs>
          <w:tab w:val="right" w:leader="dot" w:pos="8306"/>
        </w:tabs>
      </w:pPr>
      <w:r>
        <w:rPr>
          <w:rFonts w:ascii="宋体" w:hAnsi="宋体" w:cs="宋体"/>
          <w:sz w:val="24"/>
          <w:szCs w:val="24"/>
        </w:rPr>
        <w:fldChar w:fldCharType="begin"/>
      </w:r>
      <w:r>
        <w:rPr>
          <w:rFonts w:ascii="宋体" w:hAnsi="宋体" w:cs="宋体"/>
          <w:sz w:val="24"/>
          <w:szCs w:val="24"/>
        </w:rPr>
        <w:instrText xml:space="preserve">TOC \o "1-3" \h \u </w:instrText>
      </w:r>
      <w:r>
        <w:rPr>
          <w:rFonts w:ascii="宋体" w:hAnsi="宋体" w:cs="宋体"/>
          <w:sz w:val="24"/>
          <w:szCs w:val="24"/>
        </w:rPr>
        <w:fldChar w:fldCharType="separate"/>
      </w:r>
      <w:hyperlink w:anchor="_Toc31887" w:history="1">
        <w:r>
          <w:rPr>
            <w:rFonts w:ascii="黑体" w:eastAsia="黑体" w:hAnsi="黑体" w:cs="黑体" w:hint="eastAsia"/>
            <w:szCs w:val="30"/>
          </w:rPr>
          <w:t>摘要</w:t>
        </w:r>
        <w:r>
          <w:tab/>
        </w:r>
        <w:fldSimple w:instr=" PAGEREF _Toc31887 ">
          <w:r>
            <w:t>I</w:t>
          </w:r>
        </w:fldSimple>
      </w:hyperlink>
    </w:p>
    <w:p w14:paraId="2278D046" w14:textId="77777777" w:rsidR="00165C9E" w:rsidRDefault="00000000">
      <w:pPr>
        <w:pStyle w:val="TOC1"/>
        <w:tabs>
          <w:tab w:val="right" w:leader="dot" w:pos="8306"/>
        </w:tabs>
      </w:pPr>
      <w:hyperlink w:anchor="_Toc3518" w:history="1">
        <w:r>
          <w:rPr>
            <w:rFonts w:eastAsia="黑体"/>
            <w:szCs w:val="28"/>
          </w:rPr>
          <w:t>Abstract</w:t>
        </w:r>
        <w:r>
          <w:tab/>
        </w:r>
        <w:fldSimple w:instr=" PAGEREF _Toc3518 ">
          <w:r>
            <w:t>II</w:t>
          </w:r>
        </w:fldSimple>
      </w:hyperlink>
    </w:p>
    <w:p w14:paraId="0FDAE03B" w14:textId="77777777" w:rsidR="00165C9E" w:rsidRDefault="00000000">
      <w:pPr>
        <w:pStyle w:val="TOC1"/>
        <w:tabs>
          <w:tab w:val="right" w:leader="dot" w:pos="8306"/>
        </w:tabs>
      </w:pPr>
      <w:hyperlink w:anchor="_Toc21001" w:history="1">
        <w:r>
          <w:rPr>
            <w:rFonts w:ascii="黑体" w:eastAsia="黑体" w:hAnsi="黑体" w:cs="黑体" w:hint="eastAsia"/>
            <w:szCs w:val="30"/>
          </w:rPr>
          <w:t>一、引言</w:t>
        </w:r>
        <w:r>
          <w:tab/>
        </w:r>
        <w:fldSimple w:instr=" PAGEREF _Toc21001 ">
          <w:r>
            <w:t>1</w:t>
          </w:r>
        </w:fldSimple>
      </w:hyperlink>
    </w:p>
    <w:p w14:paraId="5AD8DFE5" w14:textId="77777777" w:rsidR="00165C9E" w:rsidRDefault="00000000">
      <w:pPr>
        <w:pStyle w:val="TOC2"/>
        <w:tabs>
          <w:tab w:val="right" w:leader="dot" w:pos="8306"/>
        </w:tabs>
      </w:pPr>
      <w:hyperlink w:anchor="_Toc28118" w:history="1">
        <w:r>
          <w:rPr>
            <w:rFonts w:ascii="黑体" w:eastAsia="黑体" w:hAnsi="黑体" w:cs="黑体" w:hint="eastAsia"/>
            <w:szCs w:val="28"/>
          </w:rPr>
          <w:t>（一）相关行业界定</w:t>
        </w:r>
        <w:r>
          <w:tab/>
        </w:r>
        <w:fldSimple w:instr=" PAGEREF _Toc28118 ">
          <w:r>
            <w:t>1</w:t>
          </w:r>
        </w:fldSimple>
      </w:hyperlink>
    </w:p>
    <w:p w14:paraId="4D123154" w14:textId="77777777" w:rsidR="00165C9E" w:rsidRDefault="00000000">
      <w:pPr>
        <w:pStyle w:val="TOC2"/>
        <w:tabs>
          <w:tab w:val="right" w:leader="dot" w:pos="8306"/>
        </w:tabs>
      </w:pPr>
      <w:hyperlink w:anchor="_Toc12247" w:history="1">
        <w:r>
          <w:rPr>
            <w:rFonts w:ascii="黑体" w:eastAsia="黑体" w:hAnsi="黑体" w:cs="黑体" w:hint="eastAsia"/>
            <w:szCs w:val="28"/>
          </w:rPr>
          <w:t>（二）研究背景</w:t>
        </w:r>
        <w:r>
          <w:tab/>
        </w:r>
        <w:fldSimple w:instr=" PAGEREF _Toc12247 ">
          <w:r>
            <w:t>1</w:t>
          </w:r>
        </w:fldSimple>
      </w:hyperlink>
    </w:p>
    <w:p w14:paraId="4DFB34E3" w14:textId="77777777" w:rsidR="00165C9E" w:rsidRDefault="00000000">
      <w:pPr>
        <w:pStyle w:val="TOC2"/>
        <w:tabs>
          <w:tab w:val="right" w:leader="dot" w:pos="8306"/>
        </w:tabs>
      </w:pPr>
      <w:hyperlink w:anchor="_Toc31561" w:history="1">
        <w:r>
          <w:rPr>
            <w:rFonts w:ascii="黑体" w:eastAsia="黑体" w:hAnsi="黑体" w:cs="黑体" w:hint="eastAsia"/>
            <w:szCs w:val="28"/>
          </w:rPr>
          <w:t>（三）研究意义</w:t>
        </w:r>
        <w:r>
          <w:tab/>
        </w:r>
        <w:fldSimple w:instr=" PAGEREF _Toc31561 ">
          <w:r>
            <w:t>2</w:t>
          </w:r>
        </w:fldSimple>
      </w:hyperlink>
    </w:p>
    <w:p w14:paraId="3928CC58" w14:textId="77777777" w:rsidR="00165C9E" w:rsidRDefault="00000000">
      <w:pPr>
        <w:pStyle w:val="TOC3"/>
        <w:tabs>
          <w:tab w:val="right" w:leader="dot" w:pos="8306"/>
        </w:tabs>
      </w:pPr>
      <w:hyperlink w:anchor="_Toc12163" w:history="1">
        <w:r>
          <w:rPr>
            <w:rFonts w:ascii="黑体" w:eastAsia="黑体" w:hAnsi="黑体" w:cs="黑体"/>
            <w:szCs w:val="24"/>
          </w:rPr>
          <w:t>1.</w:t>
        </w:r>
        <w:r>
          <w:rPr>
            <w:rFonts w:ascii="黑体" w:eastAsia="黑体" w:hAnsi="黑体" w:cs="黑体" w:hint="eastAsia"/>
            <w:szCs w:val="24"/>
          </w:rPr>
          <w:t>理论意义</w:t>
        </w:r>
        <w:r>
          <w:tab/>
        </w:r>
        <w:fldSimple w:instr=" PAGEREF _Toc12163 ">
          <w:r>
            <w:t>2</w:t>
          </w:r>
        </w:fldSimple>
      </w:hyperlink>
    </w:p>
    <w:p w14:paraId="6D342AAD" w14:textId="77777777" w:rsidR="00165C9E" w:rsidRDefault="00000000">
      <w:pPr>
        <w:pStyle w:val="TOC3"/>
        <w:tabs>
          <w:tab w:val="right" w:leader="dot" w:pos="8306"/>
        </w:tabs>
      </w:pPr>
      <w:hyperlink w:anchor="_Toc11866" w:history="1">
        <w:r>
          <w:rPr>
            <w:rFonts w:ascii="黑体" w:eastAsia="黑体" w:hAnsi="黑体" w:cs="黑体" w:hint="eastAsia"/>
            <w:szCs w:val="24"/>
          </w:rPr>
          <w:t>2.现实意义</w:t>
        </w:r>
        <w:r>
          <w:tab/>
        </w:r>
        <w:fldSimple w:instr=" PAGEREF _Toc11866 ">
          <w:r>
            <w:t>2</w:t>
          </w:r>
        </w:fldSimple>
      </w:hyperlink>
    </w:p>
    <w:p w14:paraId="05561F78" w14:textId="77777777" w:rsidR="00165C9E" w:rsidRDefault="00000000">
      <w:pPr>
        <w:pStyle w:val="TOC1"/>
        <w:tabs>
          <w:tab w:val="right" w:leader="dot" w:pos="8306"/>
        </w:tabs>
      </w:pPr>
      <w:hyperlink w:anchor="_Toc434" w:history="1">
        <w:r>
          <w:rPr>
            <w:rFonts w:ascii="黑体" w:eastAsia="黑体" w:hAnsi="黑体" w:cs="黑体" w:hint="eastAsia"/>
            <w:szCs w:val="30"/>
          </w:rPr>
          <w:t>二、相关概念综述</w:t>
        </w:r>
        <w:r>
          <w:tab/>
        </w:r>
        <w:fldSimple w:instr=" PAGEREF _Toc434 ">
          <w:r>
            <w:t>2</w:t>
          </w:r>
        </w:fldSimple>
      </w:hyperlink>
    </w:p>
    <w:p w14:paraId="5401F25E" w14:textId="77777777" w:rsidR="00165C9E" w:rsidRDefault="00000000">
      <w:pPr>
        <w:pStyle w:val="TOC2"/>
        <w:tabs>
          <w:tab w:val="right" w:leader="dot" w:pos="8306"/>
        </w:tabs>
      </w:pPr>
      <w:hyperlink w:anchor="_Toc28864" w:history="1">
        <w:r>
          <w:rPr>
            <w:rFonts w:ascii="黑体" w:eastAsia="黑体" w:hAnsi="黑体" w:cs="黑体" w:hint="eastAsia"/>
            <w:szCs w:val="28"/>
          </w:rPr>
          <w:t>（一）文献综述</w:t>
        </w:r>
        <w:r>
          <w:tab/>
        </w:r>
        <w:fldSimple w:instr=" PAGEREF _Toc28864 ">
          <w:r>
            <w:t>2</w:t>
          </w:r>
        </w:fldSimple>
      </w:hyperlink>
    </w:p>
    <w:p w14:paraId="69BBEDB1" w14:textId="77777777" w:rsidR="00165C9E" w:rsidRDefault="00000000">
      <w:pPr>
        <w:pStyle w:val="TOC2"/>
        <w:tabs>
          <w:tab w:val="right" w:leader="dot" w:pos="8306"/>
        </w:tabs>
      </w:pPr>
      <w:hyperlink w:anchor="_Toc7750" w:history="1">
        <w:r>
          <w:rPr>
            <w:rFonts w:ascii="黑体" w:eastAsia="黑体" w:hAnsi="黑体" w:cs="黑体" w:hint="eastAsia"/>
            <w:szCs w:val="28"/>
          </w:rPr>
          <w:t>（二）房地产类上市公司融资成本分析与评价的理论基础</w:t>
        </w:r>
        <w:r>
          <w:tab/>
        </w:r>
        <w:fldSimple w:instr=" PAGEREF _Toc7750 ">
          <w:r>
            <w:t>3</w:t>
          </w:r>
        </w:fldSimple>
      </w:hyperlink>
    </w:p>
    <w:p w14:paraId="699A8E91" w14:textId="77777777" w:rsidR="00165C9E" w:rsidRDefault="00000000">
      <w:pPr>
        <w:pStyle w:val="TOC3"/>
        <w:tabs>
          <w:tab w:val="right" w:leader="dot" w:pos="8306"/>
        </w:tabs>
      </w:pPr>
      <w:hyperlink w:anchor="_Toc17358" w:history="1">
        <w:r>
          <w:rPr>
            <w:rFonts w:ascii="黑体" w:eastAsia="黑体" w:hAnsi="黑体" w:cs="黑体"/>
            <w:szCs w:val="24"/>
          </w:rPr>
          <w:t>1.</w:t>
        </w:r>
        <w:r>
          <w:rPr>
            <w:rFonts w:ascii="黑体" w:eastAsia="黑体" w:hAnsi="黑体" w:cs="黑体" w:hint="eastAsia"/>
            <w:szCs w:val="24"/>
          </w:rPr>
          <w:t>资本结构理论</w:t>
        </w:r>
        <w:r>
          <w:tab/>
        </w:r>
        <w:fldSimple w:instr=" PAGEREF _Toc17358 ">
          <w:r>
            <w:t>3</w:t>
          </w:r>
        </w:fldSimple>
      </w:hyperlink>
    </w:p>
    <w:p w14:paraId="695C46C3" w14:textId="77777777" w:rsidR="00165C9E" w:rsidRDefault="00000000">
      <w:pPr>
        <w:pStyle w:val="TOC3"/>
        <w:tabs>
          <w:tab w:val="right" w:leader="dot" w:pos="8306"/>
        </w:tabs>
      </w:pPr>
      <w:hyperlink w:anchor="_Toc11862" w:history="1">
        <w:r>
          <w:rPr>
            <w:rFonts w:ascii="黑体" w:eastAsia="黑体" w:hAnsi="黑体" w:cs="黑体"/>
            <w:szCs w:val="24"/>
          </w:rPr>
          <w:t>2.</w:t>
        </w:r>
        <w:r>
          <w:rPr>
            <w:rFonts w:ascii="黑体" w:eastAsia="黑体" w:hAnsi="黑体" w:cs="黑体" w:hint="eastAsia"/>
            <w:szCs w:val="24"/>
          </w:rPr>
          <w:t>优序融资理论</w:t>
        </w:r>
        <w:r>
          <w:tab/>
        </w:r>
        <w:fldSimple w:instr=" PAGEREF _Toc11862 ">
          <w:r>
            <w:t>4</w:t>
          </w:r>
        </w:fldSimple>
      </w:hyperlink>
    </w:p>
    <w:p w14:paraId="14138ADF" w14:textId="77777777" w:rsidR="00165C9E" w:rsidRDefault="00000000">
      <w:pPr>
        <w:pStyle w:val="TOC1"/>
        <w:tabs>
          <w:tab w:val="right" w:leader="dot" w:pos="8306"/>
        </w:tabs>
      </w:pPr>
      <w:hyperlink w:anchor="_Toc27918" w:history="1">
        <w:r>
          <w:rPr>
            <w:rFonts w:ascii="黑体" w:eastAsia="黑体" w:hAnsi="黑体" w:cs="黑体" w:hint="eastAsia"/>
            <w:szCs w:val="30"/>
          </w:rPr>
          <w:t>三、房地产类上市公司融资成本分析与评价概述</w:t>
        </w:r>
        <w:r>
          <w:tab/>
        </w:r>
        <w:fldSimple w:instr=" PAGEREF _Toc27918 ">
          <w:r>
            <w:t>4</w:t>
          </w:r>
        </w:fldSimple>
      </w:hyperlink>
    </w:p>
    <w:p w14:paraId="4CC3534B" w14:textId="77777777" w:rsidR="00165C9E" w:rsidRDefault="00000000">
      <w:pPr>
        <w:pStyle w:val="TOC1"/>
        <w:tabs>
          <w:tab w:val="right" w:leader="dot" w:pos="8306"/>
        </w:tabs>
      </w:pPr>
      <w:hyperlink w:anchor="_Toc18153" w:history="1">
        <w:r>
          <w:rPr>
            <w:rFonts w:ascii="黑体" w:eastAsia="黑体" w:hAnsi="黑体" w:cs="黑体" w:hint="eastAsia"/>
            <w:szCs w:val="30"/>
          </w:rPr>
          <w:t>四、房地产类上市公司融资成本分析与评价的必要性和可行性分析</w:t>
        </w:r>
        <w:r>
          <w:tab/>
        </w:r>
        <w:fldSimple w:instr=" PAGEREF _Toc18153 ">
          <w:r>
            <w:t>5</w:t>
          </w:r>
        </w:fldSimple>
      </w:hyperlink>
    </w:p>
    <w:p w14:paraId="7C5F4C9E" w14:textId="77777777" w:rsidR="00165C9E" w:rsidRDefault="00000000">
      <w:pPr>
        <w:pStyle w:val="TOC2"/>
        <w:tabs>
          <w:tab w:val="right" w:leader="dot" w:pos="8306"/>
        </w:tabs>
      </w:pPr>
      <w:hyperlink w:anchor="_Toc1156" w:history="1">
        <w:r>
          <w:rPr>
            <w:rFonts w:ascii="黑体" w:eastAsia="黑体" w:hAnsi="黑体" w:cs="黑体" w:hint="eastAsia"/>
            <w:szCs w:val="28"/>
          </w:rPr>
          <w:t>（二）房地产类上市公司融资成本分析与评价的必要性</w:t>
        </w:r>
        <w:r>
          <w:tab/>
        </w:r>
        <w:fldSimple w:instr=" PAGEREF _Toc1156 ">
          <w:r>
            <w:t>5</w:t>
          </w:r>
        </w:fldSimple>
      </w:hyperlink>
    </w:p>
    <w:p w14:paraId="6F0B4A92" w14:textId="77777777" w:rsidR="00165C9E" w:rsidRDefault="00000000">
      <w:pPr>
        <w:pStyle w:val="TOC2"/>
        <w:tabs>
          <w:tab w:val="right" w:leader="dot" w:pos="8306"/>
        </w:tabs>
      </w:pPr>
      <w:hyperlink w:anchor="_Toc672" w:history="1">
        <w:r>
          <w:rPr>
            <w:rFonts w:ascii="黑体" w:eastAsia="黑体" w:hAnsi="黑体" w:cs="黑体" w:hint="eastAsia"/>
            <w:szCs w:val="28"/>
          </w:rPr>
          <w:t>（三）房地产类上市公司融资成本分析与评价的可行性</w:t>
        </w:r>
        <w:r>
          <w:tab/>
        </w:r>
        <w:fldSimple w:instr=" PAGEREF _Toc672 ">
          <w:r>
            <w:t>5</w:t>
          </w:r>
        </w:fldSimple>
      </w:hyperlink>
    </w:p>
    <w:p w14:paraId="1F38C8F0" w14:textId="77777777" w:rsidR="00165C9E" w:rsidRDefault="00000000">
      <w:pPr>
        <w:pStyle w:val="TOC1"/>
        <w:tabs>
          <w:tab w:val="right" w:leader="dot" w:pos="8306"/>
        </w:tabs>
      </w:pPr>
      <w:hyperlink w:anchor="_Toc23089" w:history="1">
        <w:r>
          <w:rPr>
            <w:rFonts w:ascii="黑体" w:eastAsia="黑体" w:hAnsi="黑体" w:cs="黑体" w:hint="eastAsia"/>
            <w:szCs w:val="30"/>
          </w:rPr>
          <w:t>五、万科企业股份有限公司融资成本分析与评价</w:t>
        </w:r>
        <w:r>
          <w:tab/>
        </w:r>
        <w:fldSimple w:instr=" PAGEREF _Toc23089 ">
          <w:r>
            <w:t>6</w:t>
          </w:r>
        </w:fldSimple>
      </w:hyperlink>
    </w:p>
    <w:p w14:paraId="60816971" w14:textId="77777777" w:rsidR="00165C9E" w:rsidRDefault="00000000">
      <w:pPr>
        <w:pStyle w:val="TOC2"/>
        <w:tabs>
          <w:tab w:val="right" w:leader="dot" w:pos="8306"/>
        </w:tabs>
      </w:pPr>
      <w:hyperlink w:anchor="_Toc14780" w:history="1">
        <w:r>
          <w:rPr>
            <w:rFonts w:ascii="黑体" w:eastAsia="黑体" w:hAnsi="黑体" w:cs="黑体" w:hint="eastAsia"/>
            <w:szCs w:val="28"/>
          </w:rPr>
          <w:t>（一）万科企业股份有限公司概况</w:t>
        </w:r>
        <w:r>
          <w:tab/>
        </w:r>
        <w:fldSimple w:instr=" PAGEREF _Toc14780 ">
          <w:r>
            <w:t>6</w:t>
          </w:r>
        </w:fldSimple>
      </w:hyperlink>
    </w:p>
    <w:p w14:paraId="5FB6EE1D" w14:textId="77777777" w:rsidR="00165C9E" w:rsidRDefault="00000000">
      <w:pPr>
        <w:pStyle w:val="TOC2"/>
        <w:tabs>
          <w:tab w:val="right" w:leader="dot" w:pos="8306"/>
        </w:tabs>
      </w:pPr>
      <w:hyperlink w:anchor="_Toc5269" w:history="1">
        <w:r>
          <w:rPr>
            <w:rFonts w:ascii="黑体" w:eastAsia="黑体" w:hAnsi="黑体" w:cs="黑体" w:hint="eastAsia"/>
            <w:szCs w:val="28"/>
          </w:rPr>
          <w:t>（二）万科融资方式与融资成本关系对比分析</w:t>
        </w:r>
        <w:r>
          <w:tab/>
        </w:r>
        <w:fldSimple w:instr=" PAGEREF _Toc5269 ">
          <w:r>
            <w:t>7</w:t>
          </w:r>
        </w:fldSimple>
      </w:hyperlink>
    </w:p>
    <w:p w14:paraId="07D9B51E" w14:textId="77777777" w:rsidR="00165C9E" w:rsidRDefault="00000000">
      <w:pPr>
        <w:pStyle w:val="TOC1"/>
        <w:tabs>
          <w:tab w:val="right" w:leader="dot" w:pos="8306"/>
        </w:tabs>
      </w:pPr>
      <w:hyperlink w:anchor="_Toc21266" w:history="1">
        <w:r>
          <w:rPr>
            <w:rFonts w:ascii="黑体" w:eastAsia="黑体" w:hAnsi="黑体" w:cs="黑体" w:hint="eastAsia"/>
            <w:szCs w:val="30"/>
          </w:rPr>
          <w:t>六、影响万科企业股份有限公司融资成本的因素</w:t>
        </w:r>
        <w:r>
          <w:tab/>
        </w:r>
        <w:fldSimple w:instr=" PAGEREF _Toc21266 ">
          <w:r>
            <w:t>10</w:t>
          </w:r>
        </w:fldSimple>
      </w:hyperlink>
    </w:p>
    <w:p w14:paraId="4605E690" w14:textId="77777777" w:rsidR="00165C9E" w:rsidRDefault="00000000">
      <w:pPr>
        <w:pStyle w:val="TOC2"/>
        <w:tabs>
          <w:tab w:val="right" w:leader="dot" w:pos="8306"/>
        </w:tabs>
      </w:pPr>
      <w:hyperlink w:anchor="_Toc14388" w:history="1">
        <w:r>
          <w:rPr>
            <w:rFonts w:ascii="黑体" w:eastAsia="黑体" w:hAnsi="黑体" w:cs="黑体" w:hint="eastAsia"/>
            <w:szCs w:val="28"/>
          </w:rPr>
          <w:t>（一）债务融资方式对融资成本的影响因素</w:t>
        </w:r>
        <w:r>
          <w:tab/>
        </w:r>
        <w:fldSimple w:instr=" PAGEREF _Toc14388 ">
          <w:r>
            <w:t>10</w:t>
          </w:r>
        </w:fldSimple>
      </w:hyperlink>
    </w:p>
    <w:p w14:paraId="6B6AF1A9" w14:textId="77777777" w:rsidR="00165C9E" w:rsidRDefault="00000000">
      <w:pPr>
        <w:pStyle w:val="TOC3"/>
        <w:tabs>
          <w:tab w:val="right" w:leader="dot" w:pos="8306"/>
        </w:tabs>
      </w:pPr>
      <w:hyperlink w:anchor="_Toc15859" w:history="1">
        <w:r>
          <w:rPr>
            <w:rFonts w:ascii="黑体" w:eastAsia="黑体" w:hAnsi="黑体" w:cs="黑体" w:hint="eastAsia"/>
            <w:szCs w:val="24"/>
          </w:rPr>
          <w:t>1.盈利能力</w:t>
        </w:r>
        <w:r>
          <w:tab/>
        </w:r>
        <w:fldSimple w:instr=" PAGEREF _Toc15859 ">
          <w:r>
            <w:t>10</w:t>
          </w:r>
        </w:fldSimple>
      </w:hyperlink>
    </w:p>
    <w:p w14:paraId="00C5C7F3" w14:textId="77777777" w:rsidR="00165C9E" w:rsidRDefault="00000000">
      <w:pPr>
        <w:pStyle w:val="TOC3"/>
        <w:tabs>
          <w:tab w:val="right" w:leader="dot" w:pos="8306"/>
        </w:tabs>
      </w:pPr>
      <w:hyperlink w:anchor="_Toc2167" w:history="1">
        <w:r>
          <w:rPr>
            <w:rFonts w:ascii="黑体" w:eastAsia="黑体" w:hAnsi="黑体" w:cs="黑体" w:hint="eastAsia"/>
            <w:szCs w:val="24"/>
          </w:rPr>
          <w:t>2.会计稳健性</w:t>
        </w:r>
        <w:r>
          <w:tab/>
        </w:r>
        <w:fldSimple w:instr=" PAGEREF _Toc2167 ">
          <w:r>
            <w:t>11</w:t>
          </w:r>
        </w:fldSimple>
      </w:hyperlink>
    </w:p>
    <w:p w14:paraId="3E9469CD" w14:textId="77777777" w:rsidR="00165C9E" w:rsidRDefault="00000000">
      <w:pPr>
        <w:pStyle w:val="TOC2"/>
        <w:tabs>
          <w:tab w:val="right" w:leader="dot" w:pos="8306"/>
        </w:tabs>
      </w:pPr>
      <w:hyperlink w:anchor="_Toc25624" w:history="1">
        <w:r>
          <w:rPr>
            <w:rFonts w:ascii="黑体" w:eastAsia="黑体" w:hAnsi="黑体" w:cs="黑体" w:hint="eastAsia"/>
            <w:szCs w:val="28"/>
          </w:rPr>
          <w:t>（二）股权融资方式对融资成本影响因素</w:t>
        </w:r>
        <w:r>
          <w:tab/>
        </w:r>
        <w:fldSimple w:instr=" PAGEREF _Toc25624 ">
          <w:r>
            <w:t>11</w:t>
          </w:r>
        </w:fldSimple>
      </w:hyperlink>
    </w:p>
    <w:p w14:paraId="5EABC3F9" w14:textId="77777777" w:rsidR="00165C9E" w:rsidRDefault="00000000">
      <w:pPr>
        <w:pStyle w:val="TOC3"/>
        <w:tabs>
          <w:tab w:val="right" w:leader="dot" w:pos="8306"/>
        </w:tabs>
      </w:pPr>
      <w:hyperlink w:anchor="_Toc29789" w:history="1">
        <w:r>
          <w:rPr>
            <w:rFonts w:ascii="黑体" w:eastAsia="黑体" w:hAnsi="黑体" w:cs="黑体"/>
            <w:szCs w:val="24"/>
          </w:rPr>
          <w:t>1.</w:t>
        </w:r>
        <w:r>
          <w:rPr>
            <w:rFonts w:ascii="黑体" w:eastAsia="黑体" w:hAnsi="黑体" w:cs="黑体" w:hint="eastAsia"/>
            <w:szCs w:val="24"/>
          </w:rPr>
          <w:t>经营风险和财务风险</w:t>
        </w:r>
        <w:r>
          <w:tab/>
        </w:r>
        <w:fldSimple w:instr=" PAGEREF _Toc29789 ">
          <w:r>
            <w:t>11</w:t>
          </w:r>
        </w:fldSimple>
      </w:hyperlink>
    </w:p>
    <w:p w14:paraId="7E8A1F57" w14:textId="77777777" w:rsidR="00165C9E" w:rsidRDefault="00000000">
      <w:pPr>
        <w:pStyle w:val="TOC3"/>
        <w:tabs>
          <w:tab w:val="right" w:leader="dot" w:pos="8306"/>
        </w:tabs>
      </w:pPr>
      <w:hyperlink w:anchor="_Toc7174" w:history="1">
        <w:r>
          <w:rPr>
            <w:rFonts w:ascii="黑体" w:eastAsia="黑体" w:hAnsi="黑体" w:cs="黑体"/>
            <w:szCs w:val="24"/>
          </w:rPr>
          <w:t>2.</w:t>
        </w:r>
        <w:r>
          <w:rPr>
            <w:rFonts w:ascii="黑体" w:eastAsia="黑体" w:hAnsi="黑体" w:cs="黑体" w:hint="eastAsia"/>
            <w:szCs w:val="24"/>
          </w:rPr>
          <w:t>股票价格</w:t>
        </w:r>
        <w:r>
          <w:tab/>
        </w:r>
        <w:fldSimple w:instr=" PAGEREF _Toc7174 ">
          <w:r>
            <w:t>12</w:t>
          </w:r>
        </w:fldSimple>
      </w:hyperlink>
    </w:p>
    <w:p w14:paraId="13E13E6D" w14:textId="77777777" w:rsidR="00165C9E" w:rsidRDefault="00000000">
      <w:pPr>
        <w:pStyle w:val="TOC1"/>
        <w:tabs>
          <w:tab w:val="right" w:leader="dot" w:pos="8306"/>
        </w:tabs>
      </w:pPr>
      <w:hyperlink w:anchor="_Toc5585" w:history="1">
        <w:r>
          <w:rPr>
            <w:rFonts w:ascii="黑体" w:eastAsia="黑体" w:hAnsi="黑体" w:cs="黑体" w:hint="eastAsia"/>
            <w:szCs w:val="30"/>
          </w:rPr>
          <w:t>七、万科企业股份有限公司融资成本分析对房地产类上市公司的借鉴意义</w:t>
        </w:r>
        <w:r>
          <w:tab/>
        </w:r>
        <w:fldSimple w:instr=" PAGEREF _Toc5585 ">
          <w:r>
            <w:t>12</w:t>
          </w:r>
        </w:fldSimple>
      </w:hyperlink>
    </w:p>
    <w:p w14:paraId="43248BC7" w14:textId="77777777" w:rsidR="00165C9E" w:rsidRDefault="00000000">
      <w:pPr>
        <w:pStyle w:val="TOC3"/>
        <w:tabs>
          <w:tab w:val="right" w:leader="dot" w:pos="8306"/>
        </w:tabs>
      </w:pPr>
      <w:hyperlink w:anchor="_Toc10127" w:history="1">
        <w:r>
          <w:rPr>
            <w:rFonts w:ascii="黑体" w:eastAsia="黑体" w:hAnsi="黑体" w:cs="黑体" w:hint="eastAsia"/>
            <w:szCs w:val="24"/>
          </w:rPr>
          <w:t>1.提高公司盈利能力</w:t>
        </w:r>
        <w:r>
          <w:tab/>
        </w:r>
        <w:fldSimple w:instr=" PAGEREF _Toc10127 ">
          <w:r>
            <w:t>13</w:t>
          </w:r>
        </w:fldSimple>
      </w:hyperlink>
    </w:p>
    <w:p w14:paraId="6C132343" w14:textId="77777777" w:rsidR="00165C9E" w:rsidRDefault="00000000">
      <w:pPr>
        <w:pStyle w:val="TOC3"/>
        <w:tabs>
          <w:tab w:val="right" w:leader="dot" w:pos="8306"/>
        </w:tabs>
      </w:pPr>
      <w:hyperlink w:anchor="_Toc16551" w:history="1">
        <w:r>
          <w:rPr>
            <w:rFonts w:ascii="黑体" w:eastAsia="黑体" w:hAnsi="黑体" w:cs="黑体" w:hint="eastAsia"/>
            <w:szCs w:val="24"/>
          </w:rPr>
          <w:t>2.发展多种融资方式</w:t>
        </w:r>
        <w:r>
          <w:tab/>
        </w:r>
        <w:fldSimple w:instr=" PAGEREF _Toc16551 ">
          <w:r>
            <w:t>14</w:t>
          </w:r>
        </w:fldSimple>
      </w:hyperlink>
    </w:p>
    <w:p w14:paraId="353CB69B" w14:textId="77777777" w:rsidR="00165C9E" w:rsidRDefault="00000000">
      <w:pPr>
        <w:pStyle w:val="TOC3"/>
        <w:tabs>
          <w:tab w:val="right" w:leader="dot" w:pos="8306"/>
        </w:tabs>
      </w:pPr>
      <w:hyperlink w:anchor="_Toc26455" w:history="1">
        <w:r>
          <w:rPr>
            <w:rFonts w:ascii="黑体" w:eastAsia="黑体" w:hAnsi="黑体" w:cs="黑体" w:hint="eastAsia"/>
            <w:szCs w:val="24"/>
          </w:rPr>
          <w:t>3.保持良好企业和银行关系</w:t>
        </w:r>
        <w:r>
          <w:tab/>
        </w:r>
        <w:fldSimple w:instr=" PAGEREF _Toc26455 ">
          <w:r>
            <w:t>14</w:t>
          </w:r>
        </w:fldSimple>
      </w:hyperlink>
    </w:p>
    <w:p w14:paraId="7536161F" w14:textId="77777777" w:rsidR="00165C9E" w:rsidRDefault="00000000">
      <w:pPr>
        <w:pStyle w:val="TOC3"/>
        <w:tabs>
          <w:tab w:val="right" w:leader="dot" w:pos="8306"/>
        </w:tabs>
      </w:pPr>
      <w:hyperlink w:anchor="_Toc18061" w:history="1">
        <w:r>
          <w:rPr>
            <w:rFonts w:ascii="黑体" w:eastAsia="黑体" w:hAnsi="黑体" w:cs="黑体" w:hint="eastAsia"/>
            <w:szCs w:val="24"/>
          </w:rPr>
          <w:t>4.降低公司资产负债率</w:t>
        </w:r>
        <w:r>
          <w:tab/>
        </w:r>
        <w:fldSimple w:instr=" PAGEREF _Toc18061 ">
          <w:r>
            <w:t>14</w:t>
          </w:r>
        </w:fldSimple>
      </w:hyperlink>
    </w:p>
    <w:p w14:paraId="36FB9DD8" w14:textId="77777777" w:rsidR="00165C9E" w:rsidRDefault="00000000">
      <w:pPr>
        <w:pStyle w:val="TOC3"/>
        <w:tabs>
          <w:tab w:val="right" w:leader="dot" w:pos="8306"/>
        </w:tabs>
      </w:pPr>
      <w:hyperlink w:anchor="_Toc29575" w:history="1">
        <w:r>
          <w:rPr>
            <w:rFonts w:ascii="黑体" w:eastAsia="黑体" w:hAnsi="黑体" w:cs="黑体" w:hint="eastAsia"/>
            <w:szCs w:val="24"/>
          </w:rPr>
          <w:t>5.注重对会计稳健性运用</w:t>
        </w:r>
        <w:r>
          <w:tab/>
        </w:r>
        <w:fldSimple w:instr=" PAGEREF _Toc29575 ">
          <w:r>
            <w:t>14</w:t>
          </w:r>
        </w:fldSimple>
      </w:hyperlink>
    </w:p>
    <w:p w14:paraId="6DE34799" w14:textId="77777777" w:rsidR="00165C9E" w:rsidRDefault="00000000">
      <w:pPr>
        <w:pStyle w:val="TOC1"/>
        <w:tabs>
          <w:tab w:val="right" w:leader="dot" w:pos="8306"/>
        </w:tabs>
      </w:pPr>
      <w:hyperlink w:anchor="_Toc32626" w:history="1">
        <w:r>
          <w:rPr>
            <w:rFonts w:ascii="黑体" w:eastAsia="黑体" w:hAnsi="黑体" w:cs="黑体" w:hint="eastAsia"/>
            <w:szCs w:val="30"/>
          </w:rPr>
          <w:t>八、结论</w:t>
        </w:r>
        <w:r>
          <w:tab/>
        </w:r>
        <w:fldSimple w:instr=" PAGEREF _Toc32626 ">
          <w:r>
            <w:t>15</w:t>
          </w:r>
        </w:fldSimple>
      </w:hyperlink>
    </w:p>
    <w:p w14:paraId="433EBA82" w14:textId="77777777" w:rsidR="00165C9E" w:rsidRDefault="00000000">
      <w:pPr>
        <w:pStyle w:val="TOC1"/>
        <w:tabs>
          <w:tab w:val="right" w:leader="dot" w:pos="8306"/>
        </w:tabs>
      </w:pPr>
      <w:hyperlink w:anchor="_Toc2838" w:history="1">
        <w:r>
          <w:rPr>
            <w:rFonts w:ascii="黑体" w:eastAsia="黑体" w:hAnsi="黑体" w:cs="黑体" w:hint="eastAsia"/>
            <w:szCs w:val="30"/>
          </w:rPr>
          <w:t>参考文献</w:t>
        </w:r>
        <w:r>
          <w:tab/>
        </w:r>
        <w:fldSimple w:instr=" PAGEREF _Toc2838 ">
          <w:r>
            <w:t>16</w:t>
          </w:r>
        </w:fldSimple>
      </w:hyperlink>
    </w:p>
    <w:p w14:paraId="5885E5B7" w14:textId="77777777" w:rsidR="00165C9E" w:rsidRDefault="00000000">
      <w:pPr>
        <w:pStyle w:val="TOC1"/>
        <w:tabs>
          <w:tab w:val="right" w:leader="dot" w:pos="8306"/>
        </w:tabs>
      </w:pPr>
      <w:hyperlink w:anchor="_Toc25135" w:history="1">
        <w:r>
          <w:rPr>
            <w:rFonts w:ascii="黑体" w:eastAsia="黑体" w:hAnsi="黑体" w:cs="黑体" w:hint="eastAsia"/>
            <w:szCs w:val="30"/>
          </w:rPr>
          <w:t>致谢</w:t>
        </w:r>
        <w:r>
          <w:tab/>
        </w:r>
        <w:fldSimple w:instr=" PAGEREF _Toc25135 ">
          <w:r>
            <w:t>17</w:t>
          </w:r>
        </w:fldSimple>
      </w:hyperlink>
    </w:p>
    <w:p w14:paraId="23CA8B2D" w14:textId="77777777" w:rsidR="00165C9E" w:rsidRDefault="00000000">
      <w:pPr>
        <w:spacing w:line="400" w:lineRule="exact"/>
        <w:jc w:val="distribute"/>
        <w:rPr>
          <w:rFonts w:ascii="宋体"/>
          <w:sz w:val="24"/>
          <w:szCs w:val="24"/>
        </w:rPr>
      </w:pPr>
      <w:r>
        <w:rPr>
          <w:rFonts w:ascii="宋体" w:hAnsi="宋体" w:cs="宋体"/>
          <w:szCs w:val="24"/>
        </w:rPr>
        <w:fldChar w:fldCharType="end"/>
      </w:r>
    </w:p>
    <w:p w14:paraId="2C4A1431" w14:textId="77777777" w:rsidR="00165C9E" w:rsidRDefault="00165C9E">
      <w:pPr>
        <w:spacing w:line="400" w:lineRule="exact"/>
        <w:sectPr w:rsidR="00165C9E">
          <w:footerReference w:type="default" r:id="rId15"/>
          <w:pgSz w:w="11906" w:h="16838"/>
          <w:pgMar w:top="1440" w:right="1800" w:bottom="1440" w:left="1800" w:header="851" w:footer="992" w:gutter="0"/>
          <w:pgNumType w:start="1"/>
          <w:cols w:space="425"/>
          <w:docGrid w:type="lines" w:linePitch="312"/>
        </w:sectPr>
      </w:pPr>
    </w:p>
    <w:p w14:paraId="30F56349" w14:textId="77777777" w:rsidR="00165C9E" w:rsidRDefault="00165C9E">
      <w:pPr>
        <w:pStyle w:val="33"/>
        <w:spacing w:line="400" w:lineRule="exact"/>
        <w:jc w:val="center"/>
        <w:rPr>
          <w:rFonts w:ascii="黑体" w:eastAsia="黑体" w:hAnsi="黑体"/>
          <w:b/>
          <w:bCs/>
          <w:color w:val="FF0000"/>
          <w:sz w:val="30"/>
          <w:szCs w:val="30"/>
        </w:rPr>
      </w:pPr>
    </w:p>
    <w:p w14:paraId="50EEA5EF" w14:textId="77777777" w:rsidR="00165C9E" w:rsidRDefault="00000000">
      <w:pPr>
        <w:pStyle w:val="Heading10"/>
        <w:spacing w:afterLines="50" w:after="156"/>
        <w:ind w:firstLineChars="200" w:firstLine="612"/>
        <w:jc w:val="left"/>
        <w:rPr>
          <w:rFonts w:ascii="黑体" w:eastAsia="黑体" w:hAnsi="黑体"/>
          <w:color w:val="FF0000"/>
          <w:sz w:val="30"/>
          <w:szCs w:val="30"/>
        </w:rPr>
      </w:pPr>
      <w:bookmarkStart w:id="2" w:name="_Toc21001"/>
      <w:r>
        <w:rPr>
          <w:rFonts w:ascii="黑体" w:eastAsia="黑体" w:hAnsi="黑体" w:cs="黑体" w:hint="eastAsia"/>
          <w:sz w:val="30"/>
          <w:szCs w:val="30"/>
        </w:rPr>
        <w:t>一、引言</w:t>
      </w:r>
      <w:bookmarkEnd w:id="2"/>
    </w:p>
    <w:p w14:paraId="6E60A76D" w14:textId="77777777" w:rsidR="00165C9E" w:rsidRDefault="00000000">
      <w:pPr>
        <w:pStyle w:val="Heading20"/>
        <w:spacing w:line="400" w:lineRule="exact"/>
        <w:ind w:firstLineChars="200" w:firstLine="560"/>
        <w:jc w:val="left"/>
        <w:rPr>
          <w:rFonts w:ascii="黑体" w:eastAsia="黑体" w:hAnsi="黑体" w:cs="黑体"/>
          <w:b w:val="0"/>
          <w:bCs w:val="0"/>
          <w:sz w:val="28"/>
          <w:szCs w:val="28"/>
        </w:rPr>
      </w:pPr>
      <w:bookmarkStart w:id="3" w:name="_Toc28118"/>
      <w:r>
        <w:rPr>
          <w:rFonts w:ascii="黑体" w:eastAsia="黑体" w:hAnsi="黑体" w:cs="黑体" w:hint="eastAsia"/>
          <w:b w:val="0"/>
          <w:bCs w:val="0"/>
          <w:sz w:val="28"/>
          <w:szCs w:val="28"/>
        </w:rPr>
        <w:t>（一）相关行业界定</w:t>
      </w:r>
      <w:bookmarkEnd w:id="3"/>
    </w:p>
    <w:p w14:paraId="0D03E621" w14:textId="77777777" w:rsidR="00165C9E" w:rsidRDefault="00000000">
      <w:pPr>
        <w:tabs>
          <w:tab w:val="left" w:pos="360"/>
        </w:tabs>
        <w:spacing w:line="400" w:lineRule="exact"/>
        <w:ind w:firstLineChars="200" w:firstLine="480"/>
        <w:rPr>
          <w:rFonts w:cs="宋体"/>
          <w:sz w:val="24"/>
          <w:szCs w:val="24"/>
        </w:rPr>
      </w:pPr>
      <w:r>
        <w:rPr>
          <w:rFonts w:cs="宋体" w:hint="eastAsia"/>
          <w:sz w:val="24"/>
          <w:szCs w:val="24"/>
        </w:rPr>
        <w:t>在</w:t>
      </w:r>
      <w:r>
        <w:rPr>
          <w:rFonts w:cs="宋体" w:hint="eastAsia"/>
          <w:sz w:val="24"/>
          <w:szCs w:val="24"/>
        </w:rPr>
        <w:t>1985</w:t>
      </w:r>
      <w:r>
        <w:rPr>
          <w:rFonts w:cs="宋体" w:hint="eastAsia"/>
          <w:sz w:val="24"/>
          <w:szCs w:val="24"/>
        </w:rPr>
        <w:t>年《国家统计局关于建立第三统计报告》中已经明确——其划分方法与“国际经济与发展组织”大致上一样。但是，服务部门有两个主要部分，和四个层次。服务业的第二层是金融，保险，地质普查，房地产和公共事业。这表明房地产属于第三产业类别。从行业的角度来看，房地产是指从事开发、运营、管理、房屋建设、装饰和房地产业的劳务、中介、信托服务和其他经济活动的综合类。房地产是指覆盖土地并永久附着在土地上的一种有形物体，在经济学中也称为房地产。从法律的角度来看，房地产实质上是一种财产权，是指房地产实体中的各种权力。随着个人财产所有权的发展，房地产逐渐成为商业贸易的重要组成部分。</w:t>
      </w:r>
    </w:p>
    <w:p w14:paraId="69A03842" w14:textId="77777777" w:rsidR="00165C9E" w:rsidRDefault="00000000">
      <w:pPr>
        <w:pStyle w:val="Heading20"/>
        <w:spacing w:line="400" w:lineRule="exact"/>
        <w:ind w:firstLineChars="200" w:firstLine="560"/>
        <w:jc w:val="left"/>
        <w:rPr>
          <w:rFonts w:ascii="黑体" w:eastAsia="黑体" w:hAnsi="黑体" w:cs="黑体"/>
          <w:b w:val="0"/>
          <w:bCs w:val="0"/>
          <w:sz w:val="28"/>
          <w:szCs w:val="28"/>
        </w:rPr>
      </w:pPr>
      <w:bookmarkStart w:id="4" w:name="_Toc12247"/>
      <w:r>
        <w:rPr>
          <w:rFonts w:ascii="黑体" w:eastAsia="黑体" w:hAnsi="黑体" w:cs="黑体" w:hint="eastAsia"/>
          <w:b w:val="0"/>
          <w:bCs w:val="0"/>
          <w:sz w:val="28"/>
          <w:szCs w:val="28"/>
        </w:rPr>
        <w:t>（二）研究背景</w:t>
      </w:r>
      <w:bookmarkEnd w:id="4"/>
    </w:p>
    <w:p w14:paraId="429B25A0" w14:textId="77777777" w:rsidR="00165C9E" w:rsidRDefault="00000000">
      <w:pPr>
        <w:tabs>
          <w:tab w:val="left" w:pos="360"/>
        </w:tabs>
        <w:spacing w:line="400" w:lineRule="exact"/>
        <w:ind w:firstLineChars="200" w:firstLine="480"/>
        <w:rPr>
          <w:sz w:val="24"/>
          <w:szCs w:val="24"/>
        </w:rPr>
      </w:pPr>
      <w:r>
        <w:rPr>
          <w:rFonts w:cs="宋体" w:hint="eastAsia"/>
          <w:sz w:val="24"/>
          <w:szCs w:val="24"/>
        </w:rPr>
        <w:t>在计划经济时代，各类房地产和其他商品一样是通过政府、单位无偿提供得到的。由于房地产市场的价值是非常低的，房地产投资者（政府或单位）所需要的全部资金是完全可以自己提供的，也就是说它们没必要进行融资。但随着房地产价值的逐渐提高和我国国民经济的快速发展，邓老在</w:t>
      </w:r>
      <w:r>
        <w:rPr>
          <w:rFonts w:cs="宋体" w:hint="eastAsia"/>
          <w:sz w:val="24"/>
          <w:szCs w:val="24"/>
        </w:rPr>
        <w:t>1980</w:t>
      </w:r>
      <w:r>
        <w:rPr>
          <w:rFonts w:cs="宋体" w:hint="eastAsia"/>
          <w:sz w:val="24"/>
          <w:szCs w:val="24"/>
        </w:rPr>
        <w:t>年将房屋定义为商品。随着我国政策改革住房和土地的两者同时推进，我国的房地产正式属于工业类别。随着</w:t>
      </w:r>
      <w:r>
        <w:rPr>
          <w:rFonts w:cs="宋体" w:hint="eastAsia"/>
          <w:sz w:val="24"/>
          <w:szCs w:val="24"/>
        </w:rPr>
        <w:t>1984</w:t>
      </w:r>
      <w:r>
        <w:rPr>
          <w:rFonts w:cs="宋体" w:hint="eastAsia"/>
          <w:sz w:val="24"/>
          <w:szCs w:val="24"/>
        </w:rPr>
        <w:t>年房地产的黄金时代到来房地产规模逐渐扩大。</w:t>
      </w:r>
      <w:r>
        <w:rPr>
          <w:rFonts w:cs="宋体" w:hint="eastAsia"/>
          <w:sz w:val="24"/>
          <w:szCs w:val="24"/>
        </w:rPr>
        <w:t>1988</w:t>
      </w:r>
      <w:r>
        <w:rPr>
          <w:rFonts w:cs="宋体" w:hint="eastAsia"/>
          <w:sz w:val="24"/>
          <w:szCs w:val="24"/>
        </w:rPr>
        <w:t>年，海南凭借地理位置优势吸引一群人赶赴海南淘金。房地产泡沫时期正在蔓延：“要挣钱，到海南；要发财，炒楼花。”随着房地产价格的上涨，海南的房地产价格在</w:t>
      </w:r>
      <w:r>
        <w:rPr>
          <w:rFonts w:cs="宋体" w:hint="eastAsia"/>
          <w:sz w:val="24"/>
          <w:szCs w:val="24"/>
        </w:rPr>
        <w:t>1993</w:t>
      </w:r>
      <w:r>
        <w:rPr>
          <w:rFonts w:cs="宋体" w:hint="eastAsia"/>
          <w:sz w:val="24"/>
          <w:szCs w:val="24"/>
        </w:rPr>
        <w:t>年达到顶峰，造成剧烈增长的泡沫直至炸裂，引发全国房地产价格纷纷大跌，房地产市场被冰封。随着时间的推移，进入“九五”以后，从我国长期经济发展和增长的动力来看，房地产类建设作为经济增长点，因此，</w:t>
      </w:r>
      <w:r>
        <w:rPr>
          <w:rFonts w:cs="宋体" w:hint="eastAsia"/>
          <w:sz w:val="24"/>
          <w:szCs w:val="24"/>
        </w:rPr>
        <w:t>1998</w:t>
      </w:r>
      <w:r>
        <w:rPr>
          <w:rFonts w:cs="宋体" w:hint="eastAsia"/>
          <w:sz w:val="24"/>
          <w:szCs w:val="24"/>
        </w:rPr>
        <w:t>年</w:t>
      </w:r>
      <w:r>
        <w:rPr>
          <w:rFonts w:cs="宋体" w:hint="eastAsia"/>
          <w:sz w:val="24"/>
          <w:szCs w:val="24"/>
        </w:rPr>
        <w:t>7</w:t>
      </w:r>
      <w:r>
        <w:rPr>
          <w:rFonts w:cs="宋体" w:hint="eastAsia"/>
          <w:sz w:val="24"/>
          <w:szCs w:val="24"/>
        </w:rPr>
        <w:t>月</w:t>
      </w:r>
      <w:r>
        <w:rPr>
          <w:rFonts w:cs="宋体" w:hint="eastAsia"/>
          <w:sz w:val="24"/>
          <w:szCs w:val="24"/>
        </w:rPr>
        <w:t>3</w:t>
      </w:r>
      <w:r>
        <w:rPr>
          <w:rFonts w:cs="宋体" w:hint="eastAsia"/>
          <w:sz w:val="24"/>
          <w:szCs w:val="24"/>
        </w:rPr>
        <w:t>日，我国政府开始执行救市场相关措施，并且宣布终止福利住房分配。同时，住房分配正式开始货币化，房地产进入了黄金时代。根据</w:t>
      </w:r>
      <w:r>
        <w:rPr>
          <w:rFonts w:cs="宋体" w:hint="eastAsia"/>
          <w:sz w:val="24"/>
          <w:szCs w:val="24"/>
        </w:rPr>
        <w:t>2003</w:t>
      </w:r>
      <w:r>
        <w:rPr>
          <w:rFonts w:cs="宋体" w:hint="eastAsia"/>
          <w:sz w:val="24"/>
          <w:szCs w:val="24"/>
        </w:rPr>
        <w:t>年的国民经济形势，为了确保增</w:t>
      </w:r>
      <w:r>
        <w:rPr>
          <w:rFonts w:cs="宋体" w:hint="eastAsia"/>
          <w:color w:val="000000" w:themeColor="text1"/>
          <w:sz w:val="24"/>
          <w:szCs w:val="24"/>
        </w:rPr>
        <w:t>长</w:t>
      </w:r>
      <w:r>
        <w:rPr>
          <w:rFonts w:cs="宋体" w:hint="eastAsia"/>
          <w:color w:val="F79646" w:themeColor="accent6"/>
          <w:sz w:val="24"/>
          <w:szCs w:val="24"/>
        </w:rPr>
        <w:t>，</w:t>
      </w:r>
      <w:r>
        <w:rPr>
          <w:rFonts w:cs="宋体" w:hint="eastAsia"/>
          <w:sz w:val="24"/>
          <w:szCs w:val="24"/>
        </w:rPr>
        <w:t>住房和建设部发布了“第</w:t>
      </w:r>
      <w:r>
        <w:rPr>
          <w:rFonts w:cs="宋体" w:hint="eastAsia"/>
          <w:sz w:val="24"/>
          <w:szCs w:val="24"/>
        </w:rPr>
        <w:t>18</w:t>
      </w:r>
      <w:r>
        <w:rPr>
          <w:rFonts w:cs="宋体" w:hint="eastAsia"/>
          <w:sz w:val="24"/>
          <w:szCs w:val="24"/>
        </w:rPr>
        <w:t>号文件”，该文件与以前的第</w:t>
      </w:r>
      <w:r>
        <w:rPr>
          <w:rFonts w:cs="宋体" w:hint="eastAsia"/>
          <w:sz w:val="24"/>
          <w:szCs w:val="24"/>
        </w:rPr>
        <w:t>121</w:t>
      </w:r>
      <w:r>
        <w:rPr>
          <w:rFonts w:cs="宋体" w:hint="eastAsia"/>
          <w:sz w:val="24"/>
          <w:szCs w:val="24"/>
        </w:rPr>
        <w:t>号文件完全相反，并且将房地产开发视为实现经济增长的重要渠道。</w:t>
      </w:r>
      <w:r>
        <w:rPr>
          <w:rFonts w:cs="宋体" w:hint="eastAsia"/>
          <w:sz w:val="24"/>
          <w:szCs w:val="24"/>
        </w:rPr>
        <w:t>2015</w:t>
      </w:r>
      <w:r>
        <w:rPr>
          <w:rFonts w:cs="宋体" w:hint="eastAsia"/>
          <w:sz w:val="24"/>
          <w:szCs w:val="24"/>
        </w:rPr>
        <w:t>年，政府采取一些加强房地产投机行为治理措施，使房地产进入白银时代。监管政策不会在</w:t>
      </w:r>
      <w:r>
        <w:rPr>
          <w:rFonts w:cs="宋体" w:hint="eastAsia"/>
          <w:sz w:val="24"/>
          <w:szCs w:val="24"/>
        </w:rPr>
        <w:t>2018</w:t>
      </w:r>
      <w:r>
        <w:rPr>
          <w:rFonts w:cs="宋体" w:hint="eastAsia"/>
          <w:sz w:val="24"/>
          <w:szCs w:val="24"/>
        </w:rPr>
        <w:t>年放松，但它们将在一定程度上继续收紧，其核心是防止市场上下波动的“稳定”。过去，盲目追求高毛利润的模型导致库存积压模型不可持续，盲目追求高杠杆，快速周转并受到购贷限制和紧缩融资的控制。两种情况下如何追求“质量增长”提高资产回报率，因此在房地产在这样背景下，探究降低融资成本是重中之重。</w:t>
      </w:r>
    </w:p>
    <w:p w14:paraId="54FF494F" w14:textId="77777777" w:rsidR="00165C9E" w:rsidRDefault="00000000">
      <w:pPr>
        <w:pStyle w:val="Heading20"/>
        <w:spacing w:line="400" w:lineRule="exact"/>
        <w:ind w:firstLineChars="200" w:firstLine="560"/>
        <w:jc w:val="left"/>
        <w:rPr>
          <w:rFonts w:ascii="黑体" w:eastAsia="黑体" w:hAnsi="黑体" w:cs="黑体"/>
          <w:b w:val="0"/>
          <w:bCs w:val="0"/>
          <w:sz w:val="28"/>
          <w:szCs w:val="28"/>
        </w:rPr>
      </w:pPr>
      <w:bookmarkStart w:id="5" w:name="_Toc33871911"/>
      <w:bookmarkStart w:id="6" w:name="_Toc31561"/>
      <w:r>
        <w:rPr>
          <w:rFonts w:ascii="黑体" w:eastAsia="黑体" w:hAnsi="黑体" w:cs="黑体" w:hint="eastAsia"/>
          <w:b w:val="0"/>
          <w:bCs w:val="0"/>
          <w:sz w:val="28"/>
          <w:szCs w:val="28"/>
        </w:rPr>
        <w:lastRenderedPageBreak/>
        <w:t>（三）研究意义</w:t>
      </w:r>
      <w:bookmarkEnd w:id="5"/>
      <w:bookmarkEnd w:id="6"/>
    </w:p>
    <w:p w14:paraId="60AC41E6" w14:textId="77777777" w:rsidR="00165C9E" w:rsidRDefault="00000000">
      <w:pPr>
        <w:pStyle w:val="Heading30"/>
        <w:ind w:firstLineChars="200" w:firstLine="480"/>
        <w:rPr>
          <w:rFonts w:ascii="黑体" w:eastAsia="黑体" w:hAnsi="黑体" w:cs="黑体"/>
          <w:b w:val="0"/>
          <w:bCs w:val="0"/>
          <w:sz w:val="24"/>
          <w:szCs w:val="24"/>
        </w:rPr>
      </w:pPr>
      <w:bookmarkStart w:id="7" w:name="_Toc33871912"/>
      <w:bookmarkStart w:id="8" w:name="_Toc12163"/>
      <w:r>
        <w:rPr>
          <w:rFonts w:ascii="黑体" w:eastAsia="黑体" w:hAnsi="黑体" w:cs="黑体"/>
          <w:b w:val="0"/>
          <w:bCs w:val="0"/>
          <w:sz w:val="24"/>
          <w:szCs w:val="24"/>
        </w:rPr>
        <w:t>1.</w:t>
      </w:r>
      <w:r>
        <w:rPr>
          <w:rFonts w:ascii="黑体" w:eastAsia="黑体" w:hAnsi="黑体" w:cs="黑体" w:hint="eastAsia"/>
          <w:b w:val="0"/>
          <w:bCs w:val="0"/>
          <w:sz w:val="24"/>
          <w:szCs w:val="24"/>
        </w:rPr>
        <w:t>理论意义</w:t>
      </w:r>
      <w:bookmarkEnd w:id="7"/>
      <w:bookmarkEnd w:id="8"/>
    </w:p>
    <w:p w14:paraId="4B690B77" w14:textId="77777777" w:rsidR="00165C9E" w:rsidRDefault="00000000">
      <w:pPr>
        <w:spacing w:line="400" w:lineRule="exact"/>
        <w:ind w:firstLineChars="200" w:firstLine="480"/>
        <w:rPr>
          <w:rFonts w:ascii="宋体" w:hAnsi="宋体" w:cs="宋体"/>
          <w:sz w:val="24"/>
          <w:szCs w:val="24"/>
        </w:rPr>
      </w:pPr>
      <w:r>
        <w:rPr>
          <w:rFonts w:ascii="宋体" w:hAnsi="宋体" w:cs="宋体" w:hint="eastAsia"/>
          <w:sz w:val="24"/>
          <w:szCs w:val="24"/>
        </w:rPr>
        <w:t>房地产在建设方面耗费成本巨高，因此房地产类的发展离不开强大资金的支持。本研究从融资方式的角度出发，在过去相关研究的基础上以比较万科融资方式来分析与评价融资成本存在</w:t>
      </w:r>
      <w:r>
        <w:rPr>
          <w:rFonts w:ascii="宋体" w:hAnsi="宋体" w:cs="宋体" w:hint="eastAsia"/>
          <w:color w:val="000000" w:themeColor="text1"/>
          <w:sz w:val="24"/>
          <w:szCs w:val="24"/>
        </w:rPr>
        <w:t>高的</w:t>
      </w:r>
      <w:r>
        <w:rPr>
          <w:rFonts w:ascii="宋体" w:hAnsi="宋体" w:cs="宋体" w:hint="eastAsia"/>
          <w:sz w:val="24"/>
          <w:szCs w:val="24"/>
        </w:rPr>
        <w:t>问题及如何降低融资成本这视角出发，探究房地产类上市公司融资成本分析与评价，在某种程度上发展和丰富了房地产类相关的研究领域；本研究融资成本、融资方式、资本结构理论等相关理论支撑本文研究课题分析，可以为现有的相关理论尽一点力量。本课题主要深入研究万科融资成本，如何降低融资成本提出相关措施，同时为房地产类上市公司融资成本的问题提供借鉴意义。很多研究学者在这方面研究只是浅谈，本文进行归纳总结之前学者研究文献的成果、优势和不足之处，从而找到本文研究理论方向。希望为以后相关研究提供理论依据。</w:t>
      </w:r>
    </w:p>
    <w:p w14:paraId="17E9B830" w14:textId="77777777" w:rsidR="00165C9E" w:rsidRDefault="00000000">
      <w:pPr>
        <w:pStyle w:val="Heading30"/>
        <w:ind w:firstLineChars="200" w:firstLine="480"/>
        <w:rPr>
          <w:rFonts w:ascii="黑体" w:eastAsia="黑体" w:hAnsi="黑体" w:cs="黑体"/>
          <w:b w:val="0"/>
          <w:bCs w:val="0"/>
          <w:sz w:val="24"/>
          <w:szCs w:val="24"/>
        </w:rPr>
      </w:pPr>
      <w:bookmarkStart w:id="9" w:name="_Toc11866"/>
      <w:r>
        <w:rPr>
          <w:rFonts w:ascii="黑体" w:eastAsia="黑体" w:hAnsi="黑体" w:cs="黑体" w:hint="eastAsia"/>
          <w:b w:val="0"/>
          <w:bCs w:val="0"/>
          <w:sz w:val="24"/>
          <w:szCs w:val="24"/>
        </w:rPr>
        <w:t>2.现实意义</w:t>
      </w:r>
      <w:bookmarkEnd w:id="9"/>
    </w:p>
    <w:p w14:paraId="7C4BC8C0" w14:textId="77777777" w:rsidR="00165C9E" w:rsidRDefault="00000000">
      <w:pPr>
        <w:spacing w:line="400" w:lineRule="exact"/>
        <w:ind w:firstLineChars="200" w:firstLine="480"/>
        <w:rPr>
          <w:rFonts w:ascii="宋体" w:hAnsi="宋体" w:cs="宋体"/>
          <w:sz w:val="24"/>
          <w:szCs w:val="24"/>
        </w:rPr>
      </w:pPr>
      <w:r>
        <w:rPr>
          <w:rFonts w:ascii="宋体" w:hAnsi="宋体" w:cs="宋体" w:hint="eastAsia"/>
          <w:sz w:val="24"/>
          <w:szCs w:val="24"/>
        </w:rPr>
        <w:t>房地产需要高度密集资金，资金使用主要特点是需求量大、占用时间长等</w:t>
      </w:r>
      <w:r>
        <w:rPr>
          <w:rFonts w:ascii="宋体" w:hAnsi="宋体" w:cs="宋体" w:hint="eastAsia"/>
          <w:color w:val="C0504D" w:themeColor="accent2"/>
          <w:sz w:val="24"/>
          <w:szCs w:val="24"/>
        </w:rPr>
        <w:t>特点</w:t>
      </w:r>
      <w:r>
        <w:rPr>
          <w:rFonts w:ascii="宋体" w:hAnsi="宋体" w:cs="宋体" w:hint="eastAsia"/>
          <w:sz w:val="24"/>
          <w:szCs w:val="24"/>
        </w:rPr>
        <w:t>，一直以来房地产类上市公司受到资金来源、金融信贷、资金流动等因素制约。加上如今我国政府对房地产价格的严格控制，银行等金融机构也在相关的政策要求，对房地产类贷款量减少并且加强贷款审核，使房地产类融资难。在这样情况下，房地产类只能从其他渠道进行融资，这样加大了房地产类融资成本。房地产类在国民经济发展中具有重要作用，本文根据我国经济特点出发，选取万科企业股份公司代表，通过分析融资方式与融资成本关系，</w:t>
      </w:r>
      <w:r>
        <w:rPr>
          <w:rFonts w:ascii="宋体" w:hAnsi="宋体" w:cs="宋体" w:hint="eastAsia"/>
          <w:color w:val="C0504D" w:themeColor="accent2"/>
          <w:sz w:val="24"/>
          <w:szCs w:val="24"/>
        </w:rPr>
        <w:t>来</w:t>
      </w:r>
      <w:r>
        <w:rPr>
          <w:rFonts w:ascii="宋体" w:hAnsi="宋体" w:cs="宋体" w:hint="eastAsia"/>
          <w:sz w:val="24"/>
          <w:szCs w:val="24"/>
        </w:rPr>
        <w:t>进一步分析上市公司融资方式对融资成本影响，进而提出针对降低融资成本的相关及建议有一定的现实意义。最后，希望可以帮助房地产类上市公司降低融资成本。</w:t>
      </w:r>
    </w:p>
    <w:p w14:paraId="02615A40" w14:textId="77777777" w:rsidR="00165C9E" w:rsidRDefault="00165C9E">
      <w:pPr>
        <w:spacing w:line="400" w:lineRule="exact"/>
        <w:rPr>
          <w:rFonts w:ascii="宋体" w:hAnsi="宋体" w:cs="宋体"/>
          <w:sz w:val="24"/>
          <w:szCs w:val="24"/>
        </w:rPr>
      </w:pPr>
    </w:p>
    <w:p w14:paraId="6BCFFD53" w14:textId="77777777" w:rsidR="00165C9E" w:rsidRDefault="00000000">
      <w:pPr>
        <w:pStyle w:val="Heading10"/>
        <w:spacing w:afterLines="50" w:after="156"/>
        <w:ind w:firstLineChars="200" w:firstLine="612"/>
        <w:jc w:val="left"/>
        <w:rPr>
          <w:rFonts w:ascii="黑体" w:eastAsia="黑体" w:hAnsi="黑体" w:cs="黑体"/>
          <w:sz w:val="30"/>
          <w:szCs w:val="30"/>
        </w:rPr>
      </w:pPr>
      <w:bookmarkStart w:id="10" w:name="_Toc434"/>
      <w:r>
        <w:rPr>
          <w:rFonts w:ascii="黑体" w:eastAsia="黑体" w:hAnsi="黑体" w:cs="黑体" w:hint="eastAsia"/>
          <w:sz w:val="30"/>
          <w:szCs w:val="30"/>
        </w:rPr>
        <w:t>二、相关概念综述</w:t>
      </w:r>
      <w:bookmarkEnd w:id="10"/>
    </w:p>
    <w:p w14:paraId="25363C36" w14:textId="77777777" w:rsidR="00165C9E" w:rsidRDefault="00000000">
      <w:pPr>
        <w:pStyle w:val="Heading20"/>
        <w:spacing w:line="400" w:lineRule="exact"/>
        <w:ind w:firstLineChars="200" w:firstLine="560"/>
        <w:jc w:val="left"/>
        <w:rPr>
          <w:rFonts w:ascii="黑体" w:eastAsia="黑体" w:hAnsi="黑体" w:cs="黑体"/>
          <w:b w:val="0"/>
          <w:bCs w:val="0"/>
          <w:sz w:val="28"/>
          <w:szCs w:val="28"/>
        </w:rPr>
      </w:pPr>
      <w:bookmarkStart w:id="11" w:name="_Toc28864"/>
      <w:r>
        <w:rPr>
          <w:rFonts w:ascii="黑体" w:eastAsia="黑体" w:hAnsi="黑体" w:cs="黑体" w:hint="eastAsia"/>
          <w:b w:val="0"/>
          <w:bCs w:val="0"/>
          <w:sz w:val="28"/>
          <w:szCs w:val="28"/>
        </w:rPr>
        <w:t>（一）文献综述</w:t>
      </w:r>
      <w:bookmarkEnd w:id="11"/>
    </w:p>
    <w:p w14:paraId="2CB0B2F8" w14:textId="77777777" w:rsidR="00165C9E" w:rsidRDefault="00000000">
      <w:pPr>
        <w:spacing w:line="400" w:lineRule="exact"/>
        <w:ind w:firstLineChars="200" w:firstLine="480"/>
        <w:rPr>
          <w:rFonts w:ascii="宋体" w:hAnsi="宋体" w:cs="宋体"/>
          <w:sz w:val="24"/>
          <w:szCs w:val="24"/>
        </w:rPr>
      </w:pPr>
      <w:r>
        <w:rPr>
          <w:rFonts w:ascii="宋体" w:hAnsi="宋体" w:cs="宋体" w:hint="eastAsia"/>
          <w:sz w:val="24"/>
          <w:szCs w:val="24"/>
        </w:rPr>
        <w:t>房地产的发展，自然离不开资金支持，特别是最近这几年银行贷款门槛越来越高，使融资难上加难，然而如何降低房地产融资成本是一件特别棘手的事。研究表明，曾鸿杰（2018）主要是对万科集团的融资环境和模式进行案例分析，探究万科融资模式的问题，但在融资成本方式缺乏数据进行对比，只是简单罗列各种融资方式。王雪（2018）认为房地产业是一种资本密集型产业，企业在运行过程中离不开融资，她通过分析WK房地产公司融资的问题和成因，并针对融资存在问题提出解决措施。因此，有必要进一步探索存在高融资成本以及在集资过程中如何降低融资成本。武化（2019）主要是在国内房地产融资环境萎缩的背景下，</w:t>
      </w:r>
      <w:r>
        <w:rPr>
          <w:rFonts w:ascii="宋体" w:hAnsi="宋体" w:cs="宋体" w:hint="eastAsia"/>
          <w:sz w:val="24"/>
          <w:szCs w:val="24"/>
        </w:rPr>
        <w:lastRenderedPageBreak/>
        <w:t>一些房屋公司再次转向海外融资</w:t>
      </w:r>
      <w:r>
        <w:rPr>
          <w:rFonts w:ascii="宋体" w:hAnsi="宋体" w:cs="宋体" w:hint="eastAsia"/>
          <w:color w:val="4F81BD" w:themeColor="accent1"/>
          <w:sz w:val="24"/>
          <w:szCs w:val="24"/>
        </w:rPr>
        <w:t>，</w:t>
      </w:r>
      <w:r>
        <w:rPr>
          <w:rFonts w:ascii="宋体" w:hAnsi="宋体" w:cs="宋体" w:hint="eastAsia"/>
          <w:sz w:val="24"/>
          <w:szCs w:val="24"/>
        </w:rPr>
        <w:t>以分析海外融资趋势</w:t>
      </w:r>
      <w:r>
        <w:rPr>
          <w:rFonts w:ascii="宋体" w:hAnsi="宋体" w:cs="宋体" w:hint="eastAsia"/>
          <w:color w:val="4F81BD" w:themeColor="accent1"/>
          <w:sz w:val="24"/>
          <w:szCs w:val="24"/>
        </w:rPr>
        <w:t>。</w:t>
      </w:r>
      <w:r>
        <w:rPr>
          <w:rFonts w:ascii="宋体" w:hAnsi="宋体" w:cs="宋体" w:hint="eastAsia"/>
          <w:sz w:val="24"/>
          <w:szCs w:val="24"/>
        </w:rPr>
        <w:t>在此基础上探究融资成本分析是很有必要持续性。在钱琨（2018）研究直接与间接融资成本分析各种融资资本方式基础上，进一步探究比较融资方式对房地产类然后选择合适融资方式来降低融资成本是非常有意义的。不过钱琨研究融资资本更多只是使用文字列公司要说明，缺乏相对财务数据来佐证。薄庚申（2019）认为我国政府政策对房地产价格控制，造成房地产企业融资难，充分利用数据从不同时期分析万科融资策略分析与评价使用比较分析法、案例法等，但只是仅仅针对恒大房地产融资成本控制，帮助房地产企业解决融资难问题，并没有进一步详细深入研究怎么样降低房地产类融资成本的相关措施。综上所述，在有关房地产融资成本的文献中，国内外很多学者对此进行了研究，但许多学者偏向于融资策略和融资模式，相对比较少学者针对房地产类上市公司融资成本与评价深入研究融资成本高原因以及相对应的措施和建议。</w:t>
      </w:r>
    </w:p>
    <w:p w14:paraId="11CE9549" w14:textId="77777777" w:rsidR="00165C9E" w:rsidRDefault="00000000">
      <w:pPr>
        <w:pStyle w:val="Heading20"/>
        <w:spacing w:line="400" w:lineRule="exact"/>
        <w:ind w:firstLineChars="200" w:firstLine="560"/>
        <w:jc w:val="left"/>
        <w:rPr>
          <w:rFonts w:ascii="黑体" w:eastAsia="黑体" w:hAnsi="黑体" w:cs="黑体"/>
          <w:b w:val="0"/>
          <w:bCs w:val="0"/>
          <w:sz w:val="28"/>
          <w:szCs w:val="28"/>
        </w:rPr>
      </w:pPr>
      <w:bookmarkStart w:id="12" w:name="_Toc33871917"/>
      <w:bookmarkStart w:id="13" w:name="_Toc7750"/>
      <w:r>
        <w:rPr>
          <w:rFonts w:ascii="黑体" w:eastAsia="黑体" w:hAnsi="黑体" w:cs="黑体" w:hint="eastAsia"/>
          <w:b w:val="0"/>
          <w:bCs w:val="0"/>
          <w:sz w:val="28"/>
          <w:szCs w:val="28"/>
        </w:rPr>
        <w:t>（二）房地产类上市公司融资成本分析与评价的理论基础</w:t>
      </w:r>
      <w:bookmarkEnd w:id="12"/>
      <w:bookmarkEnd w:id="13"/>
    </w:p>
    <w:p w14:paraId="3D41C60B" w14:textId="77777777" w:rsidR="00165C9E" w:rsidRDefault="00000000">
      <w:pPr>
        <w:spacing w:line="400" w:lineRule="exact"/>
        <w:ind w:firstLineChars="200" w:firstLine="480"/>
        <w:rPr>
          <w:sz w:val="24"/>
          <w:szCs w:val="24"/>
        </w:rPr>
      </w:pPr>
      <w:r>
        <w:rPr>
          <w:rFonts w:cs="宋体" w:hint="eastAsia"/>
          <w:sz w:val="24"/>
          <w:szCs w:val="24"/>
        </w:rPr>
        <w:t>融资理论在财务管理中是一个特别重要的研究课题。本小节主要从房地产相关融资成本理论进行阐述为后面研究房地产类上市公司融资成本分析与评价提供理论基础和方法指导。从广义上看，房地产融资是指通过融资及相关服务（包括融资，使用和清算）在房地产开发、流通和消费过程中的一系列金融活动。从狭义上讲，房地产融资是房地产公司和房地产项目直接和间接融资的总和，包括房地产信贷和资本市场融资。</w:t>
      </w:r>
      <w:r>
        <w:rPr>
          <w:rFonts w:ascii="宋体" w:hAnsi="宋体" w:cs="宋体" w:hint="eastAsia"/>
          <w:sz w:val="24"/>
          <w:szCs w:val="24"/>
        </w:rPr>
        <w:t>即为企业募集和使用资金所支付的价格。对于企业来说，这是非常重要的财务指标。融资成本是指企业在筹集资金过程中使用各种融资方式的佣金，债券和股票的印刷费、担保费、发行费等；使用资金的成本支付给债务人的贷款利息、支付给股东的股利以及支付给其他债务人的各种利息成本等。</w:t>
      </w:r>
      <w:r>
        <w:rPr>
          <w:rFonts w:cs="宋体" w:hint="eastAsia"/>
          <w:sz w:val="24"/>
          <w:szCs w:val="24"/>
        </w:rPr>
        <w:t>资金与融资成本内在联系十分密切，而融资成本分析的意义在于：调整或改变融资方式从而降低融资总成本。</w:t>
      </w:r>
    </w:p>
    <w:p w14:paraId="1F577A80" w14:textId="77777777" w:rsidR="00165C9E" w:rsidRDefault="00000000">
      <w:pPr>
        <w:pStyle w:val="Heading30"/>
        <w:ind w:firstLineChars="200" w:firstLine="480"/>
        <w:rPr>
          <w:rFonts w:ascii="黑体" w:eastAsia="黑体" w:hAnsi="黑体"/>
          <w:b w:val="0"/>
          <w:bCs w:val="0"/>
          <w:sz w:val="24"/>
          <w:szCs w:val="24"/>
        </w:rPr>
      </w:pPr>
      <w:bookmarkStart w:id="14" w:name="_Toc17358"/>
      <w:r>
        <w:rPr>
          <w:rFonts w:ascii="黑体" w:eastAsia="黑体" w:hAnsi="黑体" w:cs="黑体"/>
          <w:b w:val="0"/>
          <w:bCs w:val="0"/>
          <w:sz w:val="24"/>
          <w:szCs w:val="24"/>
        </w:rPr>
        <w:t>1.</w:t>
      </w:r>
      <w:r>
        <w:rPr>
          <w:rFonts w:ascii="黑体" w:eastAsia="黑体" w:hAnsi="黑体" w:cs="黑体" w:hint="eastAsia"/>
          <w:b w:val="0"/>
          <w:bCs w:val="0"/>
          <w:sz w:val="24"/>
          <w:szCs w:val="24"/>
        </w:rPr>
        <w:t>资本结构理论</w:t>
      </w:r>
      <w:bookmarkEnd w:id="14"/>
    </w:p>
    <w:p w14:paraId="7A03468E" w14:textId="77777777" w:rsidR="00165C9E" w:rsidRDefault="00000000">
      <w:pPr>
        <w:spacing w:line="400" w:lineRule="exact"/>
        <w:ind w:firstLineChars="200" w:firstLine="480"/>
        <w:rPr>
          <w:rFonts w:cs="宋体"/>
          <w:sz w:val="24"/>
          <w:szCs w:val="24"/>
        </w:rPr>
      </w:pPr>
      <w:r>
        <w:rPr>
          <w:rFonts w:cs="宋体" w:hint="eastAsia"/>
          <w:sz w:val="24"/>
          <w:szCs w:val="24"/>
        </w:rPr>
        <w:t>企业的资本结构是所有权资本和债务资本构成比例或“结构”，它反映的是公司债务与股权的关系，企业追求的是低成本高收益，因此是企业进行企业筹资决策的核心要点，直接决定企业融资成本。从理论演进的历史来看，经济学家研究结构基本上都是从</w:t>
      </w:r>
      <w:r>
        <w:rPr>
          <w:rFonts w:cs="宋体" w:hint="eastAsia"/>
          <w:sz w:val="24"/>
          <w:szCs w:val="24"/>
        </w:rPr>
        <w:t>MM</w:t>
      </w:r>
      <w:r>
        <w:rPr>
          <w:rFonts w:cs="宋体" w:hint="eastAsia"/>
          <w:sz w:val="24"/>
          <w:szCs w:val="24"/>
        </w:rPr>
        <w:t>定理、契约关系和信息经济学这三方面进行探讨。</w:t>
      </w:r>
    </w:p>
    <w:p w14:paraId="6AB6AF6B" w14:textId="77777777" w:rsidR="00165C9E" w:rsidRDefault="00000000">
      <w:pPr>
        <w:spacing w:line="400" w:lineRule="exact"/>
        <w:ind w:firstLineChars="200" w:firstLine="480"/>
        <w:rPr>
          <w:rFonts w:cs="宋体"/>
          <w:sz w:val="24"/>
          <w:szCs w:val="24"/>
        </w:rPr>
      </w:pPr>
      <w:r>
        <w:rPr>
          <w:rFonts w:cs="宋体" w:hint="eastAsia"/>
          <w:sz w:val="24"/>
          <w:szCs w:val="24"/>
        </w:rPr>
        <w:t>第一方面，</w:t>
      </w:r>
      <w:r>
        <w:rPr>
          <w:rFonts w:cs="宋体" w:hint="eastAsia"/>
          <w:sz w:val="24"/>
          <w:szCs w:val="24"/>
        </w:rPr>
        <w:t>1958</w:t>
      </w:r>
      <w:r>
        <w:rPr>
          <w:rFonts w:cs="宋体" w:hint="eastAsia"/>
          <w:sz w:val="24"/>
          <w:szCs w:val="24"/>
        </w:rPr>
        <w:t>年，</w:t>
      </w:r>
      <w:r>
        <w:rPr>
          <w:rFonts w:cs="宋体" w:hint="eastAsia"/>
          <w:sz w:val="24"/>
          <w:szCs w:val="24"/>
        </w:rPr>
        <w:t>Mogliani</w:t>
      </w:r>
      <w:r>
        <w:rPr>
          <w:rFonts w:cs="宋体" w:hint="eastAsia"/>
          <w:sz w:val="24"/>
          <w:szCs w:val="24"/>
        </w:rPr>
        <w:t>和</w:t>
      </w:r>
      <w:r>
        <w:rPr>
          <w:rFonts w:cs="宋体" w:hint="eastAsia"/>
          <w:sz w:val="24"/>
          <w:szCs w:val="24"/>
        </w:rPr>
        <w:t>Miller</w:t>
      </w:r>
      <w:r>
        <w:rPr>
          <w:rFonts w:cs="宋体" w:hint="eastAsia"/>
          <w:sz w:val="24"/>
          <w:szCs w:val="24"/>
        </w:rPr>
        <w:t>共同发表了《资本成本，公司财务和投资理论》一文，并提出了“不相关定理”，也称为“</w:t>
      </w:r>
      <w:r>
        <w:rPr>
          <w:rFonts w:cs="宋体" w:hint="eastAsia"/>
          <w:sz w:val="24"/>
          <w:szCs w:val="24"/>
        </w:rPr>
        <w:t>MM</w:t>
      </w:r>
      <w:r>
        <w:rPr>
          <w:rFonts w:cs="宋体" w:hint="eastAsia"/>
          <w:sz w:val="24"/>
          <w:szCs w:val="24"/>
        </w:rPr>
        <w:t>定理”，这意味着公司是筹集债务还是股权资本，不会影响公司总市值。假设公司优先选择债务融资。随着公司杠杆的增加，债务的比例也会增加，并且公司风险将在不同的投资者类别之间转移，企业风险也会在不同投资者之间转移。显然，股价将下跌。因此企</w:t>
      </w:r>
      <w:r>
        <w:rPr>
          <w:rFonts w:cs="宋体" w:hint="eastAsia"/>
          <w:sz w:val="24"/>
          <w:szCs w:val="24"/>
        </w:rPr>
        <w:lastRenderedPageBreak/>
        <w:t>业在债务上筹资的优势会抵消在股价下降上亏损，最终并没有改变企业价值总额。</w:t>
      </w:r>
    </w:p>
    <w:p w14:paraId="7D74830B" w14:textId="77777777" w:rsidR="00165C9E" w:rsidRDefault="00000000">
      <w:pPr>
        <w:spacing w:line="400" w:lineRule="exact"/>
        <w:ind w:firstLineChars="200" w:firstLine="480"/>
        <w:rPr>
          <w:rFonts w:cs="宋体"/>
          <w:sz w:val="24"/>
          <w:szCs w:val="24"/>
        </w:rPr>
      </w:pPr>
      <w:r>
        <w:rPr>
          <w:rFonts w:cs="宋体" w:hint="eastAsia"/>
          <w:sz w:val="24"/>
          <w:szCs w:val="24"/>
        </w:rPr>
        <w:t>第二方面，代理成本主要是指由于代理问题而引起的损失以及为解决代理问题而发生的成本。最优资本结构应基于对股权融资和债务融资利弊的分析，最大程度地降低总代理成本。根据股权融资代理成本和债务融资代理成本的分析，最优资本结构是所有融资方式的边际代理成本相等的。</w:t>
      </w:r>
    </w:p>
    <w:p w14:paraId="79D441C4" w14:textId="77777777" w:rsidR="00165C9E" w:rsidRDefault="00000000">
      <w:pPr>
        <w:spacing w:line="400" w:lineRule="exact"/>
        <w:ind w:firstLineChars="200" w:firstLine="480"/>
        <w:rPr>
          <w:rFonts w:cs="宋体"/>
          <w:sz w:val="24"/>
          <w:szCs w:val="24"/>
        </w:rPr>
      </w:pPr>
      <w:r>
        <w:rPr>
          <w:rFonts w:cs="宋体" w:hint="eastAsia"/>
          <w:sz w:val="24"/>
          <w:szCs w:val="24"/>
        </w:rPr>
        <w:t>第三方面，随着经济学的发展，许多研究学者从信息不对称的角度进行研究资本结构问题，但没有进一步分析融资成本存在</w:t>
      </w:r>
      <w:r>
        <w:rPr>
          <w:rFonts w:cs="宋体" w:hint="eastAsia"/>
          <w:color w:val="000000" w:themeColor="text1"/>
          <w:sz w:val="24"/>
          <w:szCs w:val="24"/>
        </w:rPr>
        <w:t>高的</w:t>
      </w:r>
      <w:r>
        <w:rPr>
          <w:rFonts w:cs="宋体" w:hint="eastAsia"/>
          <w:sz w:val="24"/>
          <w:szCs w:val="24"/>
        </w:rPr>
        <w:t>问题进行研究。在信息不对称的情况下，企业的市场价值与其资本结构有关，企业的质量越高其债务比率就越高，反之亦然。在这种情况下，投资者不能准确地了解有关公司的内部信息，而只能通过债务比率传递的信号正确地评估公司的市场价值。</w:t>
      </w:r>
    </w:p>
    <w:p w14:paraId="5EEBF74F" w14:textId="77777777" w:rsidR="00165C9E" w:rsidRDefault="00000000">
      <w:pPr>
        <w:spacing w:line="400" w:lineRule="exact"/>
        <w:ind w:firstLineChars="200" w:firstLine="480"/>
        <w:rPr>
          <w:sz w:val="24"/>
          <w:szCs w:val="24"/>
        </w:rPr>
      </w:pPr>
      <w:r>
        <w:rPr>
          <w:rFonts w:cs="宋体" w:hint="eastAsia"/>
          <w:sz w:val="24"/>
          <w:szCs w:val="24"/>
        </w:rPr>
        <w:t>综上所述，随着资本结构理论的不断发展和丰富，有利于金融理论的发展。</w:t>
      </w:r>
    </w:p>
    <w:p w14:paraId="1D7B7C53" w14:textId="77777777" w:rsidR="00165C9E" w:rsidRDefault="00000000">
      <w:pPr>
        <w:pStyle w:val="Heading30"/>
        <w:ind w:firstLineChars="200" w:firstLine="480"/>
        <w:rPr>
          <w:rFonts w:ascii="黑体" w:eastAsia="黑体" w:hAnsi="黑体"/>
          <w:b w:val="0"/>
          <w:bCs w:val="0"/>
          <w:sz w:val="24"/>
          <w:szCs w:val="24"/>
        </w:rPr>
      </w:pPr>
      <w:bookmarkStart w:id="15" w:name="_Toc11862"/>
      <w:r>
        <w:rPr>
          <w:rFonts w:ascii="黑体" w:eastAsia="黑体" w:hAnsi="黑体" w:cs="黑体"/>
          <w:b w:val="0"/>
          <w:bCs w:val="0"/>
          <w:sz w:val="24"/>
          <w:szCs w:val="24"/>
        </w:rPr>
        <w:t>2.</w:t>
      </w:r>
      <w:r>
        <w:rPr>
          <w:rFonts w:ascii="黑体" w:eastAsia="黑体" w:hAnsi="黑体" w:cs="黑体" w:hint="eastAsia"/>
          <w:b w:val="0"/>
          <w:bCs w:val="0"/>
          <w:sz w:val="24"/>
          <w:szCs w:val="24"/>
        </w:rPr>
        <w:t>优序融资理论</w:t>
      </w:r>
      <w:bookmarkEnd w:id="15"/>
    </w:p>
    <w:p w14:paraId="255D41D6" w14:textId="77777777" w:rsidR="00165C9E" w:rsidRDefault="00000000">
      <w:pPr>
        <w:spacing w:line="400" w:lineRule="exact"/>
        <w:ind w:firstLineChars="200" w:firstLine="480"/>
        <w:rPr>
          <w:rFonts w:cs="宋体"/>
          <w:sz w:val="24"/>
          <w:szCs w:val="24"/>
        </w:rPr>
      </w:pPr>
      <w:r>
        <w:rPr>
          <w:rFonts w:cs="宋体" w:hint="eastAsia"/>
          <w:sz w:val="24"/>
          <w:szCs w:val="24"/>
        </w:rPr>
        <w:t>Myers</w:t>
      </w:r>
      <w:r>
        <w:rPr>
          <w:rFonts w:cs="宋体" w:hint="eastAsia"/>
          <w:sz w:val="24"/>
          <w:szCs w:val="24"/>
        </w:rPr>
        <w:t>和</w:t>
      </w:r>
      <w:r>
        <w:rPr>
          <w:rFonts w:cs="宋体" w:hint="eastAsia"/>
          <w:sz w:val="24"/>
          <w:szCs w:val="24"/>
        </w:rPr>
        <w:t>Majluf</w:t>
      </w:r>
      <w:r>
        <w:rPr>
          <w:rFonts w:cs="宋体" w:hint="eastAsia"/>
          <w:sz w:val="24"/>
          <w:szCs w:val="24"/>
        </w:rPr>
        <w:t>（</w:t>
      </w:r>
      <w:r>
        <w:rPr>
          <w:rFonts w:cs="宋体" w:hint="eastAsia"/>
          <w:sz w:val="24"/>
          <w:szCs w:val="24"/>
        </w:rPr>
        <w:t>1984</w:t>
      </w:r>
      <w:r>
        <w:rPr>
          <w:rFonts w:cs="宋体" w:hint="eastAsia"/>
          <w:sz w:val="24"/>
          <w:szCs w:val="24"/>
        </w:rPr>
        <w:t>）首先基于信号传输原理提出了优序融资理论，它放宽了</w:t>
      </w:r>
      <w:r>
        <w:rPr>
          <w:rFonts w:cs="宋体" w:hint="eastAsia"/>
          <w:sz w:val="24"/>
          <w:szCs w:val="24"/>
        </w:rPr>
        <w:t>MM</w:t>
      </w:r>
      <w:r>
        <w:rPr>
          <w:rFonts w:cs="宋体" w:hint="eastAsia"/>
          <w:sz w:val="24"/>
          <w:szCs w:val="24"/>
        </w:rPr>
        <w:t>理论的完整信息假设，并指出尽管管理层发现投资项目对企业的净投资收益具有实际价值，由于金融市场是完全的但信息是不对称的，投资者无法得到真正的真实信息，造成股东与管理者之间存在判断差异。毕竟，当公司管理层向市场传播时，它更倾向于公司的强大实力和未来发展前景。这样，外界获得的信息就是管理能力。最终，投资者将不相信管理层所说的话并最终进行投资。在没有信息不对称的情况下，发行新股的估值低于均衡价格。因此，当企业需要融资时偏向选择内源融资，通常只有当内源融资不能满足企业投资规模条件时，则会选择债务融资。因为股息的发放是具有粘性，企业应通过降低股息发放来降低企业融资成本</w:t>
      </w:r>
      <w:r>
        <w:rPr>
          <w:rFonts w:cs="宋体" w:hint="eastAsia"/>
          <w:sz w:val="24"/>
          <w:szCs w:val="24"/>
        </w:rPr>
        <w:t>,</w:t>
      </w:r>
      <w:r>
        <w:rPr>
          <w:rFonts w:cs="宋体" w:hint="eastAsia"/>
          <w:sz w:val="24"/>
          <w:szCs w:val="24"/>
        </w:rPr>
        <w:t>股权融资一般是最后考虑进行的融资方式。</w:t>
      </w:r>
    </w:p>
    <w:p w14:paraId="05B385BD" w14:textId="77777777" w:rsidR="00165C9E" w:rsidRDefault="00165C9E">
      <w:pPr>
        <w:spacing w:line="400" w:lineRule="exact"/>
        <w:rPr>
          <w:rFonts w:ascii="宋体" w:hAnsi="宋体" w:cs="宋体"/>
          <w:sz w:val="24"/>
          <w:szCs w:val="24"/>
        </w:rPr>
      </w:pPr>
    </w:p>
    <w:p w14:paraId="531E52B7" w14:textId="77777777" w:rsidR="00165C9E" w:rsidRDefault="00000000">
      <w:pPr>
        <w:pStyle w:val="Heading10"/>
        <w:spacing w:afterLines="50" w:after="156"/>
        <w:ind w:firstLineChars="200" w:firstLine="612"/>
        <w:jc w:val="left"/>
        <w:rPr>
          <w:rFonts w:ascii="黑体" w:eastAsia="黑体" w:hAnsi="黑体" w:cs="黑体"/>
          <w:sz w:val="30"/>
          <w:szCs w:val="30"/>
        </w:rPr>
      </w:pPr>
      <w:bookmarkStart w:id="16" w:name="_Toc27918"/>
      <w:r>
        <w:rPr>
          <w:rFonts w:ascii="黑体" w:eastAsia="黑体" w:hAnsi="黑体" w:cs="黑体" w:hint="eastAsia"/>
          <w:sz w:val="30"/>
          <w:szCs w:val="30"/>
        </w:rPr>
        <w:t>三、房地产类上市公司融资成本分析与评价概述</w:t>
      </w:r>
      <w:bookmarkEnd w:id="16"/>
    </w:p>
    <w:p w14:paraId="4D581304" w14:textId="77777777" w:rsidR="00165C9E" w:rsidRDefault="00000000">
      <w:pPr>
        <w:spacing w:line="400" w:lineRule="exact"/>
        <w:ind w:firstLineChars="200" w:firstLine="480"/>
        <w:rPr>
          <w:rFonts w:ascii="宋体" w:hAnsi="宋体" w:cs="宋体"/>
          <w:sz w:val="24"/>
          <w:szCs w:val="24"/>
        </w:rPr>
      </w:pPr>
      <w:r>
        <w:rPr>
          <w:rFonts w:ascii="宋体" w:hAnsi="宋体" w:cs="宋体" w:hint="eastAsia"/>
          <w:sz w:val="24"/>
          <w:szCs w:val="24"/>
        </w:rPr>
        <w:t>根据中国房地产业协会和上海房地产学会中国房地产评估中心的数据，联合发布了《2019年中国房地产上市公司评估研究报告》，表明评估对象在2019年评估中，有125家在上海和深圳上市的房地产公司。2018年，房地产上市公司平均总资产1121.51亿元，同比增长28.4％；平均净利润为25.62，同比增长13.82％；平均资产负债率68.09％，同比提高3.04个百分点。平均净债务比率同比增长2.65个百分点至92.52％。</w:t>
      </w:r>
    </w:p>
    <w:p w14:paraId="46DE66CE" w14:textId="77777777" w:rsidR="00165C9E" w:rsidRDefault="00165C9E">
      <w:pPr>
        <w:spacing w:line="400" w:lineRule="exact"/>
        <w:ind w:firstLineChars="200" w:firstLine="480"/>
        <w:rPr>
          <w:rFonts w:ascii="宋体" w:hAnsi="宋体" w:cs="宋体"/>
          <w:sz w:val="24"/>
          <w:szCs w:val="24"/>
        </w:rPr>
      </w:pPr>
    </w:p>
    <w:p w14:paraId="5D1ACB52" w14:textId="77777777" w:rsidR="00165C9E" w:rsidRDefault="00165C9E">
      <w:pPr>
        <w:spacing w:line="400" w:lineRule="exact"/>
        <w:ind w:firstLineChars="200" w:firstLine="480"/>
        <w:rPr>
          <w:rFonts w:ascii="宋体" w:hAnsi="宋体" w:cs="宋体"/>
          <w:sz w:val="24"/>
          <w:szCs w:val="24"/>
        </w:rPr>
      </w:pPr>
    </w:p>
    <w:p w14:paraId="67F6E480" w14:textId="77777777" w:rsidR="00165C9E" w:rsidRDefault="00165C9E">
      <w:pPr>
        <w:spacing w:line="400" w:lineRule="exact"/>
        <w:ind w:firstLineChars="200" w:firstLine="480"/>
        <w:rPr>
          <w:rFonts w:ascii="宋体" w:hAnsi="宋体" w:cs="宋体"/>
          <w:sz w:val="24"/>
          <w:szCs w:val="24"/>
        </w:rPr>
      </w:pPr>
    </w:p>
    <w:p w14:paraId="05A8E8EE" w14:textId="77777777" w:rsidR="00165C9E" w:rsidRDefault="00165C9E">
      <w:pPr>
        <w:spacing w:line="360" w:lineRule="exact"/>
        <w:ind w:leftChars="171" w:left="359" w:firstLineChars="300" w:firstLine="720"/>
        <w:jc w:val="center"/>
        <w:rPr>
          <w:rFonts w:asciiTheme="minorEastAsia" w:eastAsiaTheme="minorEastAsia" w:hAnsiTheme="minorEastAsia" w:cs="宋体"/>
          <w:sz w:val="24"/>
          <w:szCs w:val="24"/>
        </w:rPr>
      </w:pPr>
    </w:p>
    <w:p w14:paraId="3BFCB18D" w14:textId="77777777" w:rsidR="00165C9E" w:rsidRDefault="00000000">
      <w:pPr>
        <w:spacing w:line="360" w:lineRule="exact"/>
        <w:ind w:leftChars="171" w:left="359" w:firstLineChars="300" w:firstLine="720"/>
        <w:jc w:val="center"/>
        <w:rPr>
          <w:rFonts w:asciiTheme="minorEastAsia" w:eastAsiaTheme="minorEastAsia" w:hAnsiTheme="minorEastAsia"/>
          <w:sz w:val="24"/>
          <w:szCs w:val="24"/>
        </w:rPr>
      </w:pPr>
      <w:r>
        <w:rPr>
          <w:rFonts w:asciiTheme="minorEastAsia" w:eastAsiaTheme="minorEastAsia" w:hAnsiTheme="minorEastAsia" w:cs="宋体" w:hint="eastAsia"/>
          <w:sz w:val="24"/>
          <w:szCs w:val="24"/>
        </w:rPr>
        <w:lastRenderedPageBreak/>
        <w:t>表</w:t>
      </w:r>
      <w:r>
        <w:rPr>
          <w:rFonts w:asciiTheme="minorEastAsia" w:eastAsiaTheme="minorEastAsia" w:hAnsiTheme="minorEastAsia" w:cs="Calibri"/>
          <w:sz w:val="24"/>
          <w:szCs w:val="24"/>
        </w:rPr>
        <w:t>3-1</w:t>
      </w:r>
      <w:r>
        <w:rPr>
          <w:rFonts w:asciiTheme="minorEastAsia" w:eastAsiaTheme="minorEastAsia" w:hAnsiTheme="minorEastAsia" w:cs="宋体" w:hint="eastAsia"/>
          <w:sz w:val="24"/>
          <w:szCs w:val="24"/>
        </w:rPr>
        <w:t>房地产类实际到位融资资金分析</w:t>
      </w:r>
    </w:p>
    <w:tbl>
      <w:tblPr>
        <w:tblW w:w="9276" w:type="dxa"/>
        <w:tblInd w:w="-106" w:type="dxa"/>
        <w:tblLook w:val="04A0" w:firstRow="1" w:lastRow="0" w:firstColumn="1" w:lastColumn="0" w:noHBand="0" w:noVBand="1"/>
      </w:tblPr>
      <w:tblGrid>
        <w:gridCol w:w="1858"/>
        <w:gridCol w:w="1210"/>
        <w:gridCol w:w="1210"/>
        <w:gridCol w:w="1210"/>
        <w:gridCol w:w="1210"/>
        <w:gridCol w:w="1210"/>
        <w:gridCol w:w="1368"/>
      </w:tblGrid>
      <w:tr w:rsidR="00165C9E" w14:paraId="42EA0CC9" w14:textId="77777777">
        <w:trPr>
          <w:trHeight w:val="395"/>
        </w:trPr>
        <w:tc>
          <w:tcPr>
            <w:tcW w:w="1858" w:type="dxa"/>
            <w:tcBorders>
              <w:top w:val="single" w:sz="4" w:space="0" w:color="000000"/>
              <w:left w:val="nil"/>
              <w:bottom w:val="single" w:sz="4" w:space="0" w:color="000000"/>
              <w:right w:val="nil"/>
            </w:tcBorders>
            <w:noWrap/>
            <w:vAlign w:val="center"/>
          </w:tcPr>
          <w:p w14:paraId="683445D0" w14:textId="77777777" w:rsidR="00165C9E" w:rsidRDefault="00000000">
            <w:pPr>
              <w:widowControl/>
              <w:spacing w:line="360" w:lineRule="exact"/>
              <w:ind w:firstLineChars="200" w:firstLine="306"/>
              <w:jc w:val="center"/>
              <w:rPr>
                <w:rFonts w:ascii="宋体" w:hAnsi="Calibri"/>
                <w:b/>
                <w:bCs/>
                <w:color w:val="000000"/>
                <w:kern w:val="0"/>
                <w:sz w:val="15"/>
                <w:szCs w:val="15"/>
              </w:rPr>
            </w:pPr>
            <w:r>
              <w:rPr>
                <w:rFonts w:ascii="宋体" w:hAnsi="宋体" w:cs="宋体" w:hint="eastAsia"/>
                <w:b/>
                <w:bCs/>
                <w:color w:val="000000"/>
                <w:kern w:val="0"/>
                <w:sz w:val="15"/>
                <w:szCs w:val="15"/>
              </w:rPr>
              <w:t>名称</w:t>
            </w:r>
          </w:p>
        </w:tc>
        <w:tc>
          <w:tcPr>
            <w:tcW w:w="1210" w:type="dxa"/>
            <w:tcBorders>
              <w:top w:val="single" w:sz="4" w:space="0" w:color="000000"/>
              <w:left w:val="nil"/>
              <w:bottom w:val="single" w:sz="8" w:space="0" w:color="E3E3E3"/>
              <w:right w:val="nil"/>
            </w:tcBorders>
            <w:shd w:val="clear" w:color="000000" w:fill="F6F6F6"/>
            <w:noWrap/>
            <w:vAlign w:val="center"/>
          </w:tcPr>
          <w:p w14:paraId="3867235D" w14:textId="77777777" w:rsidR="00165C9E" w:rsidRDefault="00000000">
            <w:pPr>
              <w:widowControl/>
              <w:spacing w:line="360" w:lineRule="exact"/>
              <w:ind w:firstLineChars="200" w:firstLine="306"/>
              <w:jc w:val="center"/>
              <w:rPr>
                <w:rFonts w:ascii="宋体" w:hAnsi="Calibri"/>
                <w:b/>
                <w:bCs/>
                <w:color w:val="000000"/>
                <w:kern w:val="0"/>
                <w:sz w:val="15"/>
                <w:szCs w:val="15"/>
              </w:rPr>
            </w:pPr>
            <w:r>
              <w:rPr>
                <w:rFonts w:ascii="宋体" w:hAnsi="宋体" w:cs="宋体"/>
                <w:b/>
                <w:bCs/>
                <w:color w:val="000000"/>
                <w:kern w:val="0"/>
                <w:sz w:val="15"/>
                <w:szCs w:val="15"/>
              </w:rPr>
              <w:t>2013</w:t>
            </w:r>
            <w:r>
              <w:rPr>
                <w:rFonts w:ascii="宋体" w:hAnsi="宋体" w:cs="宋体" w:hint="eastAsia"/>
                <w:b/>
                <w:bCs/>
                <w:color w:val="000000"/>
                <w:kern w:val="0"/>
                <w:sz w:val="15"/>
                <w:szCs w:val="15"/>
              </w:rPr>
              <w:t>年</w:t>
            </w:r>
          </w:p>
        </w:tc>
        <w:tc>
          <w:tcPr>
            <w:tcW w:w="1210" w:type="dxa"/>
            <w:tcBorders>
              <w:top w:val="single" w:sz="4" w:space="0" w:color="000000"/>
              <w:left w:val="nil"/>
              <w:bottom w:val="single" w:sz="8" w:space="0" w:color="E3E3E3"/>
              <w:right w:val="nil"/>
            </w:tcBorders>
            <w:shd w:val="clear" w:color="000000" w:fill="F6F6F6"/>
            <w:noWrap/>
            <w:vAlign w:val="center"/>
          </w:tcPr>
          <w:p w14:paraId="67C488B7" w14:textId="77777777" w:rsidR="00165C9E" w:rsidRDefault="00000000">
            <w:pPr>
              <w:widowControl/>
              <w:spacing w:line="360" w:lineRule="exact"/>
              <w:ind w:firstLineChars="200" w:firstLine="306"/>
              <w:jc w:val="center"/>
              <w:rPr>
                <w:rFonts w:ascii="宋体" w:hAnsi="Calibri"/>
                <w:b/>
                <w:bCs/>
                <w:color w:val="000000"/>
                <w:kern w:val="0"/>
                <w:sz w:val="15"/>
                <w:szCs w:val="15"/>
              </w:rPr>
            </w:pPr>
            <w:r>
              <w:rPr>
                <w:rFonts w:ascii="宋体" w:hAnsi="宋体" w:cs="宋体"/>
                <w:b/>
                <w:bCs/>
                <w:color w:val="000000"/>
                <w:kern w:val="0"/>
                <w:sz w:val="15"/>
                <w:szCs w:val="15"/>
              </w:rPr>
              <w:t>2014</w:t>
            </w:r>
            <w:r>
              <w:rPr>
                <w:rFonts w:ascii="宋体" w:hAnsi="宋体" w:cs="宋体" w:hint="eastAsia"/>
                <w:b/>
                <w:bCs/>
                <w:color w:val="000000"/>
                <w:kern w:val="0"/>
                <w:sz w:val="15"/>
                <w:szCs w:val="15"/>
              </w:rPr>
              <w:t>年</w:t>
            </w:r>
          </w:p>
        </w:tc>
        <w:tc>
          <w:tcPr>
            <w:tcW w:w="1210" w:type="dxa"/>
            <w:tcBorders>
              <w:top w:val="single" w:sz="4" w:space="0" w:color="000000"/>
              <w:left w:val="nil"/>
              <w:bottom w:val="single" w:sz="8" w:space="0" w:color="E3E3E3"/>
              <w:right w:val="nil"/>
            </w:tcBorders>
            <w:shd w:val="clear" w:color="000000" w:fill="F6F6F6"/>
            <w:noWrap/>
            <w:vAlign w:val="center"/>
          </w:tcPr>
          <w:p w14:paraId="79BDBDD4" w14:textId="77777777" w:rsidR="00165C9E" w:rsidRDefault="00000000">
            <w:pPr>
              <w:widowControl/>
              <w:spacing w:line="360" w:lineRule="exact"/>
              <w:ind w:firstLineChars="200" w:firstLine="306"/>
              <w:jc w:val="center"/>
              <w:rPr>
                <w:rFonts w:ascii="宋体" w:hAnsi="Calibri"/>
                <w:b/>
                <w:bCs/>
                <w:color w:val="000000"/>
                <w:kern w:val="0"/>
                <w:sz w:val="15"/>
                <w:szCs w:val="15"/>
              </w:rPr>
            </w:pPr>
            <w:r>
              <w:rPr>
                <w:rFonts w:ascii="宋体" w:hAnsi="宋体" w:cs="宋体"/>
                <w:b/>
                <w:bCs/>
                <w:color w:val="000000"/>
                <w:kern w:val="0"/>
                <w:sz w:val="15"/>
                <w:szCs w:val="15"/>
              </w:rPr>
              <w:t>2015</w:t>
            </w:r>
            <w:r>
              <w:rPr>
                <w:rFonts w:ascii="宋体" w:hAnsi="宋体" w:cs="宋体" w:hint="eastAsia"/>
                <w:b/>
                <w:bCs/>
                <w:color w:val="000000"/>
                <w:kern w:val="0"/>
                <w:sz w:val="15"/>
                <w:szCs w:val="15"/>
              </w:rPr>
              <w:t>年</w:t>
            </w:r>
          </w:p>
        </w:tc>
        <w:tc>
          <w:tcPr>
            <w:tcW w:w="1210" w:type="dxa"/>
            <w:tcBorders>
              <w:top w:val="single" w:sz="4" w:space="0" w:color="000000"/>
              <w:left w:val="nil"/>
              <w:bottom w:val="single" w:sz="8" w:space="0" w:color="E3E3E3"/>
              <w:right w:val="nil"/>
            </w:tcBorders>
            <w:shd w:val="clear" w:color="000000" w:fill="F6F6F6"/>
            <w:noWrap/>
            <w:vAlign w:val="center"/>
          </w:tcPr>
          <w:p w14:paraId="7F2856B0" w14:textId="77777777" w:rsidR="00165C9E" w:rsidRDefault="00000000">
            <w:pPr>
              <w:widowControl/>
              <w:spacing w:line="360" w:lineRule="exact"/>
              <w:ind w:firstLineChars="200" w:firstLine="306"/>
              <w:jc w:val="center"/>
              <w:rPr>
                <w:rFonts w:ascii="宋体" w:hAnsi="Calibri"/>
                <w:b/>
                <w:bCs/>
                <w:color w:val="000000"/>
                <w:kern w:val="0"/>
                <w:sz w:val="15"/>
                <w:szCs w:val="15"/>
              </w:rPr>
            </w:pPr>
            <w:r>
              <w:rPr>
                <w:rFonts w:ascii="宋体" w:hAnsi="宋体" w:cs="宋体"/>
                <w:b/>
                <w:bCs/>
                <w:color w:val="000000"/>
                <w:kern w:val="0"/>
                <w:sz w:val="15"/>
                <w:szCs w:val="15"/>
              </w:rPr>
              <w:t>2016</w:t>
            </w:r>
            <w:r>
              <w:rPr>
                <w:rFonts w:ascii="宋体" w:hAnsi="宋体" w:cs="宋体" w:hint="eastAsia"/>
                <w:b/>
                <w:bCs/>
                <w:color w:val="000000"/>
                <w:kern w:val="0"/>
                <w:sz w:val="15"/>
                <w:szCs w:val="15"/>
              </w:rPr>
              <w:t>年</w:t>
            </w:r>
          </w:p>
        </w:tc>
        <w:tc>
          <w:tcPr>
            <w:tcW w:w="1210" w:type="dxa"/>
            <w:tcBorders>
              <w:top w:val="single" w:sz="4" w:space="0" w:color="000000"/>
              <w:left w:val="nil"/>
              <w:bottom w:val="single" w:sz="8" w:space="0" w:color="E3E3E3"/>
              <w:right w:val="nil"/>
            </w:tcBorders>
            <w:shd w:val="clear" w:color="000000" w:fill="F6F6F6"/>
            <w:noWrap/>
            <w:vAlign w:val="center"/>
          </w:tcPr>
          <w:p w14:paraId="499294B3" w14:textId="77777777" w:rsidR="00165C9E" w:rsidRDefault="00000000">
            <w:pPr>
              <w:widowControl/>
              <w:spacing w:line="360" w:lineRule="exact"/>
              <w:ind w:firstLineChars="200" w:firstLine="306"/>
              <w:jc w:val="center"/>
              <w:rPr>
                <w:rFonts w:ascii="宋体" w:hAnsi="Calibri"/>
                <w:b/>
                <w:bCs/>
                <w:color w:val="000000"/>
                <w:kern w:val="0"/>
                <w:sz w:val="15"/>
                <w:szCs w:val="15"/>
              </w:rPr>
            </w:pPr>
            <w:r>
              <w:rPr>
                <w:rFonts w:ascii="宋体" w:hAnsi="宋体" w:cs="宋体"/>
                <w:b/>
                <w:bCs/>
                <w:color w:val="000000"/>
                <w:kern w:val="0"/>
                <w:sz w:val="15"/>
                <w:szCs w:val="15"/>
              </w:rPr>
              <w:t>2017</w:t>
            </w:r>
            <w:r>
              <w:rPr>
                <w:rFonts w:ascii="宋体" w:hAnsi="宋体" w:cs="宋体" w:hint="eastAsia"/>
                <w:b/>
                <w:bCs/>
                <w:color w:val="000000"/>
                <w:kern w:val="0"/>
                <w:sz w:val="15"/>
                <w:szCs w:val="15"/>
              </w:rPr>
              <w:t>年</w:t>
            </w:r>
          </w:p>
        </w:tc>
        <w:tc>
          <w:tcPr>
            <w:tcW w:w="1368" w:type="dxa"/>
            <w:tcBorders>
              <w:top w:val="single" w:sz="4" w:space="0" w:color="000000"/>
              <w:left w:val="nil"/>
              <w:bottom w:val="single" w:sz="8" w:space="0" w:color="E3E3E3"/>
              <w:right w:val="nil"/>
            </w:tcBorders>
            <w:shd w:val="clear" w:color="000000" w:fill="F6F6F6"/>
            <w:noWrap/>
            <w:vAlign w:val="center"/>
          </w:tcPr>
          <w:p w14:paraId="175F6D1F" w14:textId="77777777" w:rsidR="00165C9E" w:rsidRDefault="00000000">
            <w:pPr>
              <w:widowControl/>
              <w:spacing w:line="360" w:lineRule="exact"/>
              <w:ind w:firstLineChars="200" w:firstLine="306"/>
              <w:jc w:val="center"/>
              <w:rPr>
                <w:rFonts w:ascii="宋体" w:hAnsi="Calibri"/>
                <w:b/>
                <w:bCs/>
                <w:color w:val="000000"/>
                <w:kern w:val="0"/>
                <w:sz w:val="15"/>
                <w:szCs w:val="15"/>
              </w:rPr>
            </w:pPr>
            <w:r>
              <w:rPr>
                <w:rFonts w:ascii="宋体" w:hAnsi="宋体" w:cs="宋体"/>
                <w:b/>
                <w:bCs/>
                <w:color w:val="000000"/>
                <w:kern w:val="0"/>
                <w:sz w:val="15"/>
                <w:szCs w:val="15"/>
              </w:rPr>
              <w:t>2018</w:t>
            </w:r>
            <w:r>
              <w:rPr>
                <w:rFonts w:ascii="宋体" w:hAnsi="宋体" w:cs="宋体" w:hint="eastAsia"/>
                <w:b/>
                <w:bCs/>
                <w:color w:val="000000"/>
                <w:kern w:val="0"/>
                <w:sz w:val="15"/>
                <w:szCs w:val="15"/>
              </w:rPr>
              <w:t>年</w:t>
            </w:r>
          </w:p>
        </w:tc>
      </w:tr>
      <w:tr w:rsidR="00165C9E" w14:paraId="2FD85CCE" w14:textId="77777777">
        <w:trPr>
          <w:trHeight w:val="525"/>
        </w:trPr>
        <w:tc>
          <w:tcPr>
            <w:tcW w:w="1858" w:type="dxa"/>
            <w:tcBorders>
              <w:top w:val="nil"/>
              <w:left w:val="nil"/>
              <w:bottom w:val="nil"/>
              <w:right w:val="nil"/>
            </w:tcBorders>
            <w:shd w:val="clear" w:color="D9D9D9" w:fill="D9D9D9"/>
            <w:vAlign w:val="center"/>
          </w:tcPr>
          <w:p w14:paraId="27F962A6" w14:textId="77777777" w:rsidR="00165C9E" w:rsidRDefault="00000000">
            <w:pPr>
              <w:widowControl/>
              <w:spacing w:line="360" w:lineRule="exact"/>
              <w:ind w:firstLineChars="200" w:firstLine="300"/>
              <w:jc w:val="center"/>
              <w:rPr>
                <w:rFonts w:ascii="宋体" w:hAnsi="Calibri"/>
                <w:color w:val="000000"/>
                <w:kern w:val="0"/>
                <w:sz w:val="15"/>
                <w:szCs w:val="15"/>
              </w:rPr>
            </w:pPr>
            <w:r>
              <w:rPr>
                <w:rFonts w:ascii="宋体" w:hAnsi="宋体" w:cs="宋体" w:hint="eastAsia"/>
                <w:color w:val="000000"/>
                <w:kern w:val="0"/>
                <w:sz w:val="15"/>
                <w:szCs w:val="15"/>
              </w:rPr>
              <w:t>房地产开发企业实际到位融资资金（亿元）</w:t>
            </w:r>
          </w:p>
        </w:tc>
        <w:tc>
          <w:tcPr>
            <w:tcW w:w="1210" w:type="dxa"/>
            <w:tcBorders>
              <w:top w:val="nil"/>
              <w:left w:val="nil"/>
              <w:bottom w:val="single" w:sz="8" w:space="0" w:color="E3E3E3"/>
              <w:right w:val="nil"/>
            </w:tcBorders>
            <w:shd w:val="clear" w:color="000000" w:fill="FFFFFF"/>
            <w:noWrap/>
            <w:vAlign w:val="center"/>
          </w:tcPr>
          <w:p w14:paraId="254A35CD" w14:textId="77777777" w:rsidR="00165C9E" w:rsidRDefault="00000000">
            <w:pPr>
              <w:widowControl/>
              <w:spacing w:line="360" w:lineRule="exact"/>
              <w:ind w:firstLineChars="200" w:firstLine="300"/>
              <w:jc w:val="center"/>
              <w:rPr>
                <w:rFonts w:ascii="宋体" w:hAnsi="宋体" w:cs="宋体"/>
                <w:color w:val="000000"/>
                <w:kern w:val="0"/>
                <w:sz w:val="15"/>
                <w:szCs w:val="15"/>
              </w:rPr>
            </w:pPr>
            <w:r>
              <w:rPr>
                <w:rFonts w:ascii="宋体" w:hAnsi="宋体" w:cs="宋体"/>
                <w:color w:val="000000"/>
                <w:kern w:val="0"/>
                <w:sz w:val="15"/>
                <w:szCs w:val="15"/>
              </w:rPr>
              <w:t>122122.47</w:t>
            </w:r>
          </w:p>
        </w:tc>
        <w:tc>
          <w:tcPr>
            <w:tcW w:w="1210" w:type="dxa"/>
            <w:tcBorders>
              <w:top w:val="nil"/>
              <w:left w:val="nil"/>
              <w:bottom w:val="single" w:sz="8" w:space="0" w:color="E3E3E3"/>
              <w:right w:val="nil"/>
            </w:tcBorders>
            <w:shd w:val="clear" w:color="000000" w:fill="FFFFFF"/>
            <w:noWrap/>
            <w:vAlign w:val="center"/>
          </w:tcPr>
          <w:p w14:paraId="2AFEB57E" w14:textId="77777777" w:rsidR="00165C9E" w:rsidRDefault="00000000">
            <w:pPr>
              <w:widowControl/>
              <w:spacing w:line="360" w:lineRule="exact"/>
              <w:ind w:firstLineChars="200" w:firstLine="300"/>
              <w:jc w:val="center"/>
              <w:rPr>
                <w:rFonts w:ascii="宋体" w:hAnsi="宋体" w:cs="宋体"/>
                <w:color w:val="000000"/>
                <w:kern w:val="0"/>
                <w:sz w:val="15"/>
                <w:szCs w:val="15"/>
              </w:rPr>
            </w:pPr>
            <w:r>
              <w:rPr>
                <w:rFonts w:ascii="宋体" w:hAnsi="宋体" w:cs="宋体"/>
                <w:color w:val="000000"/>
                <w:kern w:val="0"/>
                <w:sz w:val="15"/>
                <w:szCs w:val="15"/>
              </w:rPr>
              <w:t>121991.48</w:t>
            </w:r>
          </w:p>
        </w:tc>
        <w:tc>
          <w:tcPr>
            <w:tcW w:w="1210" w:type="dxa"/>
            <w:tcBorders>
              <w:top w:val="nil"/>
              <w:left w:val="nil"/>
              <w:bottom w:val="single" w:sz="8" w:space="0" w:color="E3E3E3"/>
              <w:right w:val="nil"/>
            </w:tcBorders>
            <w:shd w:val="clear" w:color="000000" w:fill="FFFFFF"/>
            <w:noWrap/>
            <w:vAlign w:val="center"/>
          </w:tcPr>
          <w:p w14:paraId="08856936" w14:textId="77777777" w:rsidR="00165C9E" w:rsidRDefault="00000000">
            <w:pPr>
              <w:widowControl/>
              <w:spacing w:line="360" w:lineRule="exact"/>
              <w:ind w:firstLineChars="200" w:firstLine="300"/>
              <w:jc w:val="center"/>
              <w:rPr>
                <w:rFonts w:ascii="宋体" w:hAnsi="宋体" w:cs="宋体"/>
                <w:color w:val="000000"/>
                <w:kern w:val="0"/>
                <w:sz w:val="15"/>
                <w:szCs w:val="15"/>
              </w:rPr>
            </w:pPr>
            <w:r>
              <w:rPr>
                <w:rFonts w:ascii="宋体" w:hAnsi="宋体" w:cs="宋体"/>
                <w:color w:val="000000"/>
                <w:kern w:val="0"/>
                <w:sz w:val="15"/>
                <w:szCs w:val="15"/>
              </w:rPr>
              <w:t>125203.06</w:t>
            </w:r>
          </w:p>
        </w:tc>
        <w:tc>
          <w:tcPr>
            <w:tcW w:w="1210" w:type="dxa"/>
            <w:tcBorders>
              <w:top w:val="nil"/>
              <w:left w:val="nil"/>
              <w:bottom w:val="single" w:sz="8" w:space="0" w:color="E3E3E3"/>
              <w:right w:val="nil"/>
            </w:tcBorders>
            <w:shd w:val="clear" w:color="000000" w:fill="FFFFFF"/>
            <w:noWrap/>
            <w:vAlign w:val="center"/>
          </w:tcPr>
          <w:p w14:paraId="0121E635" w14:textId="77777777" w:rsidR="00165C9E" w:rsidRDefault="00000000">
            <w:pPr>
              <w:widowControl/>
              <w:spacing w:line="360" w:lineRule="exact"/>
              <w:ind w:firstLineChars="200" w:firstLine="300"/>
              <w:jc w:val="center"/>
              <w:rPr>
                <w:rFonts w:ascii="宋体" w:hAnsi="宋体" w:cs="宋体"/>
                <w:color w:val="000000"/>
                <w:kern w:val="0"/>
                <w:sz w:val="15"/>
                <w:szCs w:val="15"/>
              </w:rPr>
            </w:pPr>
            <w:r>
              <w:rPr>
                <w:rFonts w:ascii="宋体" w:hAnsi="宋体" w:cs="宋体"/>
                <w:color w:val="000000"/>
                <w:kern w:val="0"/>
                <w:sz w:val="15"/>
                <w:szCs w:val="15"/>
              </w:rPr>
              <w:t>144214.05</w:t>
            </w:r>
          </w:p>
        </w:tc>
        <w:tc>
          <w:tcPr>
            <w:tcW w:w="1210" w:type="dxa"/>
            <w:tcBorders>
              <w:top w:val="nil"/>
              <w:left w:val="nil"/>
              <w:bottom w:val="single" w:sz="8" w:space="0" w:color="E3E3E3"/>
              <w:right w:val="nil"/>
            </w:tcBorders>
            <w:shd w:val="clear" w:color="000000" w:fill="FFFFFF"/>
            <w:noWrap/>
            <w:vAlign w:val="center"/>
          </w:tcPr>
          <w:p w14:paraId="0C892B77" w14:textId="77777777" w:rsidR="00165C9E" w:rsidRDefault="00000000">
            <w:pPr>
              <w:widowControl/>
              <w:spacing w:line="360" w:lineRule="exact"/>
              <w:ind w:firstLineChars="200" w:firstLine="300"/>
              <w:jc w:val="center"/>
              <w:rPr>
                <w:rFonts w:ascii="宋体" w:hAnsi="宋体" w:cs="宋体"/>
                <w:color w:val="000000"/>
                <w:kern w:val="0"/>
                <w:sz w:val="15"/>
                <w:szCs w:val="15"/>
              </w:rPr>
            </w:pPr>
            <w:r>
              <w:rPr>
                <w:rFonts w:ascii="宋体" w:hAnsi="宋体" w:cs="宋体"/>
                <w:color w:val="000000"/>
                <w:kern w:val="0"/>
                <w:sz w:val="15"/>
                <w:szCs w:val="15"/>
              </w:rPr>
              <w:t>156052.62</w:t>
            </w:r>
          </w:p>
        </w:tc>
        <w:tc>
          <w:tcPr>
            <w:tcW w:w="1368" w:type="dxa"/>
            <w:tcBorders>
              <w:top w:val="nil"/>
              <w:left w:val="nil"/>
              <w:bottom w:val="single" w:sz="8" w:space="0" w:color="E3E3E3"/>
              <w:right w:val="nil"/>
            </w:tcBorders>
            <w:shd w:val="clear" w:color="000000" w:fill="FFFFFF"/>
            <w:noWrap/>
            <w:vAlign w:val="center"/>
          </w:tcPr>
          <w:p w14:paraId="05552E28" w14:textId="77777777" w:rsidR="00165C9E" w:rsidRDefault="00000000">
            <w:pPr>
              <w:widowControl/>
              <w:spacing w:line="360" w:lineRule="exact"/>
              <w:ind w:firstLineChars="200" w:firstLine="300"/>
              <w:jc w:val="center"/>
              <w:rPr>
                <w:rFonts w:ascii="宋体" w:hAnsi="宋体" w:cs="宋体"/>
                <w:color w:val="000000"/>
                <w:kern w:val="0"/>
                <w:sz w:val="15"/>
                <w:szCs w:val="15"/>
              </w:rPr>
            </w:pPr>
            <w:r>
              <w:rPr>
                <w:rFonts w:ascii="宋体" w:hAnsi="宋体" w:cs="宋体"/>
                <w:color w:val="000000"/>
                <w:kern w:val="0"/>
                <w:sz w:val="15"/>
                <w:szCs w:val="15"/>
              </w:rPr>
              <w:t>165962.89</w:t>
            </w:r>
          </w:p>
        </w:tc>
      </w:tr>
      <w:tr w:rsidR="00165C9E" w14:paraId="4CA82218" w14:textId="77777777">
        <w:trPr>
          <w:trHeight w:val="395"/>
        </w:trPr>
        <w:tc>
          <w:tcPr>
            <w:tcW w:w="1858" w:type="dxa"/>
            <w:tcBorders>
              <w:top w:val="nil"/>
              <w:left w:val="nil"/>
              <w:bottom w:val="nil"/>
              <w:right w:val="nil"/>
            </w:tcBorders>
            <w:noWrap/>
            <w:vAlign w:val="center"/>
          </w:tcPr>
          <w:p w14:paraId="1A6D29BC" w14:textId="77777777" w:rsidR="00165C9E" w:rsidRDefault="00000000">
            <w:pPr>
              <w:widowControl/>
              <w:spacing w:line="360" w:lineRule="exact"/>
              <w:ind w:firstLineChars="200" w:firstLine="300"/>
              <w:jc w:val="center"/>
              <w:rPr>
                <w:rFonts w:ascii="宋体" w:hAnsi="Calibri"/>
                <w:color w:val="000000"/>
                <w:kern w:val="0"/>
                <w:sz w:val="15"/>
                <w:szCs w:val="15"/>
              </w:rPr>
            </w:pPr>
            <w:r>
              <w:rPr>
                <w:rFonts w:ascii="宋体" w:hAnsi="宋体" w:cs="宋体" w:hint="eastAsia"/>
                <w:color w:val="000000"/>
                <w:kern w:val="0"/>
                <w:sz w:val="15"/>
                <w:szCs w:val="15"/>
              </w:rPr>
              <w:t>社会融资规模（亿元）</w:t>
            </w:r>
          </w:p>
        </w:tc>
        <w:tc>
          <w:tcPr>
            <w:tcW w:w="1210" w:type="dxa"/>
            <w:tcBorders>
              <w:top w:val="nil"/>
              <w:left w:val="nil"/>
              <w:bottom w:val="single" w:sz="8" w:space="0" w:color="E3E3E3"/>
              <w:right w:val="nil"/>
            </w:tcBorders>
            <w:shd w:val="clear" w:color="000000" w:fill="FFFFFF"/>
            <w:noWrap/>
            <w:vAlign w:val="center"/>
          </w:tcPr>
          <w:p w14:paraId="68E6D9CA" w14:textId="77777777" w:rsidR="00165C9E" w:rsidRDefault="00000000">
            <w:pPr>
              <w:widowControl/>
              <w:spacing w:line="360" w:lineRule="exact"/>
              <w:ind w:firstLineChars="200" w:firstLine="300"/>
              <w:jc w:val="center"/>
              <w:rPr>
                <w:rFonts w:ascii="宋体" w:hAnsi="宋体" w:cs="宋体"/>
                <w:color w:val="000000"/>
                <w:kern w:val="0"/>
                <w:sz w:val="15"/>
                <w:szCs w:val="15"/>
              </w:rPr>
            </w:pPr>
            <w:r>
              <w:rPr>
                <w:rFonts w:ascii="宋体" w:hAnsi="宋体" w:cs="宋体"/>
                <w:color w:val="000000"/>
                <w:kern w:val="0"/>
                <w:sz w:val="15"/>
                <w:szCs w:val="15"/>
              </w:rPr>
              <w:t>173169</w:t>
            </w:r>
          </w:p>
        </w:tc>
        <w:tc>
          <w:tcPr>
            <w:tcW w:w="1210" w:type="dxa"/>
            <w:tcBorders>
              <w:top w:val="nil"/>
              <w:left w:val="nil"/>
              <w:bottom w:val="single" w:sz="8" w:space="0" w:color="E3E3E3"/>
              <w:right w:val="nil"/>
            </w:tcBorders>
            <w:shd w:val="clear" w:color="000000" w:fill="FFFFFF"/>
            <w:noWrap/>
            <w:vAlign w:val="center"/>
          </w:tcPr>
          <w:p w14:paraId="7B3DFD53" w14:textId="77777777" w:rsidR="00165C9E" w:rsidRDefault="00000000">
            <w:pPr>
              <w:widowControl/>
              <w:spacing w:line="360" w:lineRule="exact"/>
              <w:ind w:firstLineChars="200" w:firstLine="300"/>
              <w:jc w:val="center"/>
              <w:rPr>
                <w:rFonts w:ascii="宋体" w:hAnsi="宋体" w:cs="宋体"/>
                <w:color w:val="000000"/>
                <w:kern w:val="0"/>
                <w:sz w:val="15"/>
                <w:szCs w:val="15"/>
              </w:rPr>
            </w:pPr>
            <w:r>
              <w:rPr>
                <w:rFonts w:ascii="宋体" w:hAnsi="宋体" w:cs="宋体"/>
                <w:color w:val="000000"/>
                <w:kern w:val="0"/>
                <w:sz w:val="15"/>
                <w:szCs w:val="15"/>
              </w:rPr>
              <w:t>158761</w:t>
            </w:r>
          </w:p>
        </w:tc>
        <w:tc>
          <w:tcPr>
            <w:tcW w:w="1210" w:type="dxa"/>
            <w:tcBorders>
              <w:top w:val="nil"/>
              <w:left w:val="nil"/>
              <w:bottom w:val="single" w:sz="8" w:space="0" w:color="E3E3E3"/>
              <w:right w:val="nil"/>
            </w:tcBorders>
            <w:shd w:val="clear" w:color="000000" w:fill="FFFFFF"/>
            <w:noWrap/>
            <w:vAlign w:val="center"/>
          </w:tcPr>
          <w:p w14:paraId="142C40B5" w14:textId="77777777" w:rsidR="00165C9E" w:rsidRDefault="00000000">
            <w:pPr>
              <w:widowControl/>
              <w:spacing w:line="360" w:lineRule="exact"/>
              <w:ind w:firstLineChars="200" w:firstLine="300"/>
              <w:jc w:val="center"/>
              <w:rPr>
                <w:rFonts w:ascii="宋体" w:hAnsi="宋体" w:cs="宋体"/>
                <w:color w:val="000000"/>
                <w:kern w:val="0"/>
                <w:sz w:val="15"/>
                <w:szCs w:val="15"/>
              </w:rPr>
            </w:pPr>
            <w:r>
              <w:rPr>
                <w:rFonts w:ascii="宋体" w:hAnsi="宋体" w:cs="宋体"/>
                <w:color w:val="000000"/>
                <w:kern w:val="0"/>
                <w:sz w:val="15"/>
                <w:szCs w:val="15"/>
              </w:rPr>
              <w:t>154063</w:t>
            </w:r>
          </w:p>
        </w:tc>
        <w:tc>
          <w:tcPr>
            <w:tcW w:w="1210" w:type="dxa"/>
            <w:tcBorders>
              <w:top w:val="nil"/>
              <w:left w:val="nil"/>
              <w:bottom w:val="single" w:sz="8" w:space="0" w:color="E3E3E3"/>
              <w:right w:val="nil"/>
            </w:tcBorders>
            <w:shd w:val="clear" w:color="000000" w:fill="FFFFFF"/>
            <w:noWrap/>
            <w:vAlign w:val="center"/>
          </w:tcPr>
          <w:p w14:paraId="00BB1448" w14:textId="77777777" w:rsidR="00165C9E" w:rsidRDefault="00000000">
            <w:pPr>
              <w:widowControl/>
              <w:spacing w:line="360" w:lineRule="exact"/>
              <w:ind w:firstLineChars="200" w:firstLine="300"/>
              <w:jc w:val="center"/>
              <w:rPr>
                <w:rFonts w:ascii="宋体" w:hAnsi="宋体" w:cs="宋体"/>
                <w:color w:val="000000"/>
                <w:kern w:val="0"/>
                <w:sz w:val="15"/>
                <w:szCs w:val="15"/>
              </w:rPr>
            </w:pPr>
            <w:r>
              <w:rPr>
                <w:rFonts w:ascii="宋体" w:hAnsi="宋体" w:cs="宋体"/>
                <w:color w:val="000000"/>
                <w:kern w:val="0"/>
                <w:sz w:val="15"/>
                <w:szCs w:val="15"/>
              </w:rPr>
              <w:t>178159</w:t>
            </w:r>
          </w:p>
        </w:tc>
        <w:tc>
          <w:tcPr>
            <w:tcW w:w="1210" w:type="dxa"/>
            <w:tcBorders>
              <w:top w:val="nil"/>
              <w:left w:val="nil"/>
              <w:bottom w:val="single" w:sz="8" w:space="0" w:color="E3E3E3"/>
              <w:right w:val="nil"/>
            </w:tcBorders>
            <w:shd w:val="clear" w:color="000000" w:fill="FFFFFF"/>
            <w:noWrap/>
            <w:vAlign w:val="center"/>
          </w:tcPr>
          <w:p w14:paraId="2405CE4C" w14:textId="77777777" w:rsidR="00165C9E" w:rsidRDefault="00000000">
            <w:pPr>
              <w:widowControl/>
              <w:spacing w:line="360" w:lineRule="exact"/>
              <w:ind w:firstLineChars="200" w:firstLine="300"/>
              <w:jc w:val="center"/>
              <w:rPr>
                <w:rFonts w:ascii="宋体" w:hAnsi="宋体" w:cs="宋体"/>
                <w:color w:val="000000"/>
                <w:kern w:val="0"/>
                <w:sz w:val="15"/>
                <w:szCs w:val="15"/>
              </w:rPr>
            </w:pPr>
            <w:r>
              <w:rPr>
                <w:rFonts w:ascii="宋体" w:hAnsi="宋体" w:cs="宋体"/>
                <w:color w:val="000000"/>
                <w:kern w:val="0"/>
                <w:sz w:val="15"/>
                <w:szCs w:val="15"/>
              </w:rPr>
              <w:t>194445</w:t>
            </w:r>
          </w:p>
        </w:tc>
        <w:tc>
          <w:tcPr>
            <w:tcW w:w="1368" w:type="dxa"/>
            <w:tcBorders>
              <w:top w:val="nil"/>
              <w:left w:val="nil"/>
              <w:bottom w:val="single" w:sz="8" w:space="0" w:color="E3E3E3"/>
              <w:right w:val="nil"/>
            </w:tcBorders>
            <w:shd w:val="clear" w:color="000000" w:fill="FFFFFF"/>
            <w:noWrap/>
            <w:vAlign w:val="center"/>
          </w:tcPr>
          <w:p w14:paraId="0DC7FFAC" w14:textId="77777777" w:rsidR="00165C9E" w:rsidRDefault="00000000">
            <w:pPr>
              <w:widowControl/>
              <w:spacing w:line="360" w:lineRule="exact"/>
              <w:ind w:firstLineChars="200" w:firstLine="300"/>
              <w:jc w:val="center"/>
              <w:rPr>
                <w:rFonts w:ascii="宋体" w:hAnsi="宋体" w:cs="宋体"/>
                <w:color w:val="000000"/>
                <w:kern w:val="0"/>
                <w:sz w:val="15"/>
                <w:szCs w:val="15"/>
              </w:rPr>
            </w:pPr>
            <w:r>
              <w:rPr>
                <w:rFonts w:ascii="宋体" w:hAnsi="宋体" w:cs="宋体"/>
                <w:color w:val="000000"/>
                <w:kern w:val="0"/>
                <w:sz w:val="15"/>
                <w:szCs w:val="15"/>
              </w:rPr>
              <w:t>192584</w:t>
            </w:r>
          </w:p>
        </w:tc>
      </w:tr>
      <w:tr w:rsidR="00165C9E" w14:paraId="1C479796" w14:textId="77777777">
        <w:trPr>
          <w:trHeight w:val="1124"/>
        </w:trPr>
        <w:tc>
          <w:tcPr>
            <w:tcW w:w="1858" w:type="dxa"/>
            <w:tcBorders>
              <w:top w:val="nil"/>
              <w:left w:val="nil"/>
              <w:bottom w:val="single" w:sz="4" w:space="0" w:color="000000"/>
              <w:right w:val="nil"/>
            </w:tcBorders>
            <w:shd w:val="clear" w:color="D9D9D9" w:fill="D9D9D9"/>
            <w:vAlign w:val="center"/>
          </w:tcPr>
          <w:p w14:paraId="6930C22E" w14:textId="77777777" w:rsidR="00165C9E" w:rsidRDefault="00000000">
            <w:pPr>
              <w:widowControl/>
              <w:spacing w:line="360" w:lineRule="exact"/>
              <w:ind w:firstLineChars="200" w:firstLine="300"/>
              <w:jc w:val="center"/>
              <w:rPr>
                <w:rFonts w:ascii="宋体" w:hAnsi="Calibri"/>
                <w:color w:val="000000"/>
                <w:kern w:val="0"/>
                <w:sz w:val="15"/>
                <w:szCs w:val="15"/>
              </w:rPr>
            </w:pPr>
            <w:r>
              <w:rPr>
                <w:rFonts w:ascii="宋体" w:hAnsi="宋体" w:cs="宋体" w:hint="eastAsia"/>
                <w:color w:val="000000"/>
                <w:kern w:val="0"/>
                <w:sz w:val="15"/>
                <w:szCs w:val="15"/>
              </w:rPr>
              <w:t>房地产开发企业实际到位融资资金</w:t>
            </w:r>
            <w:r>
              <w:rPr>
                <w:rFonts w:ascii="宋体" w:hAnsi="宋体" w:cs="宋体"/>
                <w:color w:val="000000"/>
                <w:kern w:val="0"/>
                <w:sz w:val="15"/>
                <w:szCs w:val="15"/>
              </w:rPr>
              <w:t>/</w:t>
            </w:r>
            <w:r>
              <w:rPr>
                <w:rFonts w:ascii="宋体" w:hAnsi="宋体" w:cs="宋体" w:hint="eastAsia"/>
                <w:color w:val="000000"/>
                <w:kern w:val="0"/>
                <w:sz w:val="15"/>
                <w:szCs w:val="15"/>
              </w:rPr>
              <w:t>社会融资规模</w:t>
            </w:r>
          </w:p>
        </w:tc>
        <w:tc>
          <w:tcPr>
            <w:tcW w:w="1210" w:type="dxa"/>
            <w:tcBorders>
              <w:top w:val="nil"/>
              <w:left w:val="nil"/>
              <w:bottom w:val="single" w:sz="4" w:space="0" w:color="000000"/>
              <w:right w:val="nil"/>
            </w:tcBorders>
            <w:shd w:val="clear" w:color="D9D9D9" w:fill="D9D9D9"/>
            <w:noWrap/>
            <w:vAlign w:val="center"/>
          </w:tcPr>
          <w:p w14:paraId="0E963D93" w14:textId="77777777" w:rsidR="00165C9E" w:rsidRDefault="00000000">
            <w:pPr>
              <w:widowControl/>
              <w:spacing w:line="360" w:lineRule="exact"/>
              <w:ind w:firstLineChars="200" w:firstLine="300"/>
              <w:jc w:val="center"/>
              <w:rPr>
                <w:rFonts w:ascii="宋体" w:hAnsi="宋体" w:cs="宋体"/>
                <w:color w:val="000000"/>
                <w:kern w:val="0"/>
                <w:sz w:val="15"/>
                <w:szCs w:val="15"/>
              </w:rPr>
            </w:pPr>
            <w:r>
              <w:rPr>
                <w:rFonts w:ascii="宋体" w:hAnsi="宋体" w:cs="宋体"/>
                <w:color w:val="000000"/>
                <w:kern w:val="0"/>
                <w:sz w:val="15"/>
                <w:szCs w:val="15"/>
              </w:rPr>
              <w:t>70.52%</w:t>
            </w:r>
          </w:p>
        </w:tc>
        <w:tc>
          <w:tcPr>
            <w:tcW w:w="1210" w:type="dxa"/>
            <w:tcBorders>
              <w:top w:val="nil"/>
              <w:left w:val="nil"/>
              <w:bottom w:val="single" w:sz="4" w:space="0" w:color="000000"/>
              <w:right w:val="nil"/>
            </w:tcBorders>
            <w:shd w:val="clear" w:color="D9D9D9" w:fill="D9D9D9"/>
            <w:noWrap/>
            <w:vAlign w:val="center"/>
          </w:tcPr>
          <w:p w14:paraId="34C4E23B" w14:textId="77777777" w:rsidR="00165C9E" w:rsidRDefault="00000000">
            <w:pPr>
              <w:widowControl/>
              <w:spacing w:line="360" w:lineRule="exact"/>
              <w:ind w:firstLineChars="200" w:firstLine="300"/>
              <w:jc w:val="center"/>
              <w:rPr>
                <w:rFonts w:ascii="宋体" w:hAnsi="宋体" w:cs="宋体"/>
                <w:color w:val="000000"/>
                <w:kern w:val="0"/>
                <w:sz w:val="15"/>
                <w:szCs w:val="15"/>
              </w:rPr>
            </w:pPr>
            <w:r>
              <w:rPr>
                <w:rFonts w:ascii="宋体" w:hAnsi="宋体" w:cs="宋体"/>
                <w:color w:val="000000"/>
                <w:kern w:val="0"/>
                <w:sz w:val="15"/>
                <w:szCs w:val="15"/>
              </w:rPr>
              <w:t>76.84%</w:t>
            </w:r>
          </w:p>
        </w:tc>
        <w:tc>
          <w:tcPr>
            <w:tcW w:w="1210" w:type="dxa"/>
            <w:tcBorders>
              <w:top w:val="nil"/>
              <w:left w:val="nil"/>
              <w:bottom w:val="single" w:sz="4" w:space="0" w:color="000000"/>
              <w:right w:val="nil"/>
            </w:tcBorders>
            <w:shd w:val="clear" w:color="D9D9D9" w:fill="D9D9D9"/>
            <w:noWrap/>
            <w:vAlign w:val="center"/>
          </w:tcPr>
          <w:p w14:paraId="0027C342" w14:textId="77777777" w:rsidR="00165C9E" w:rsidRDefault="00000000">
            <w:pPr>
              <w:widowControl/>
              <w:spacing w:line="360" w:lineRule="exact"/>
              <w:ind w:firstLineChars="200" w:firstLine="300"/>
              <w:jc w:val="center"/>
              <w:rPr>
                <w:rFonts w:ascii="宋体" w:hAnsi="宋体" w:cs="宋体"/>
                <w:color w:val="000000"/>
                <w:kern w:val="0"/>
                <w:sz w:val="15"/>
                <w:szCs w:val="15"/>
              </w:rPr>
            </w:pPr>
            <w:r>
              <w:rPr>
                <w:rFonts w:ascii="宋体" w:hAnsi="宋体" w:cs="宋体"/>
                <w:color w:val="000000"/>
                <w:kern w:val="0"/>
                <w:sz w:val="15"/>
                <w:szCs w:val="15"/>
              </w:rPr>
              <w:t>81.27%</w:t>
            </w:r>
          </w:p>
        </w:tc>
        <w:tc>
          <w:tcPr>
            <w:tcW w:w="1210" w:type="dxa"/>
            <w:tcBorders>
              <w:top w:val="nil"/>
              <w:left w:val="nil"/>
              <w:bottom w:val="single" w:sz="4" w:space="0" w:color="000000"/>
              <w:right w:val="nil"/>
            </w:tcBorders>
            <w:shd w:val="clear" w:color="D9D9D9" w:fill="D9D9D9"/>
            <w:noWrap/>
            <w:vAlign w:val="center"/>
          </w:tcPr>
          <w:p w14:paraId="107A7BF1" w14:textId="77777777" w:rsidR="00165C9E" w:rsidRDefault="00000000">
            <w:pPr>
              <w:widowControl/>
              <w:spacing w:line="360" w:lineRule="exact"/>
              <w:ind w:firstLineChars="200" w:firstLine="300"/>
              <w:jc w:val="center"/>
              <w:rPr>
                <w:rFonts w:ascii="宋体" w:hAnsi="宋体" w:cs="宋体"/>
                <w:color w:val="000000"/>
                <w:kern w:val="0"/>
                <w:sz w:val="15"/>
                <w:szCs w:val="15"/>
              </w:rPr>
            </w:pPr>
            <w:r>
              <w:rPr>
                <w:rFonts w:ascii="宋体" w:hAnsi="宋体" w:cs="宋体"/>
                <w:color w:val="000000"/>
                <w:kern w:val="0"/>
                <w:sz w:val="15"/>
                <w:szCs w:val="15"/>
              </w:rPr>
              <w:t>80.95%</w:t>
            </w:r>
          </w:p>
        </w:tc>
        <w:tc>
          <w:tcPr>
            <w:tcW w:w="1210" w:type="dxa"/>
            <w:tcBorders>
              <w:top w:val="nil"/>
              <w:left w:val="nil"/>
              <w:bottom w:val="single" w:sz="4" w:space="0" w:color="000000"/>
              <w:right w:val="nil"/>
            </w:tcBorders>
            <w:shd w:val="clear" w:color="D9D9D9" w:fill="D9D9D9"/>
            <w:noWrap/>
            <w:vAlign w:val="center"/>
          </w:tcPr>
          <w:p w14:paraId="45F19289" w14:textId="77777777" w:rsidR="00165C9E" w:rsidRDefault="00000000">
            <w:pPr>
              <w:widowControl/>
              <w:spacing w:line="360" w:lineRule="auto"/>
              <w:ind w:firstLineChars="200" w:firstLine="300"/>
              <w:jc w:val="center"/>
              <w:rPr>
                <w:rFonts w:ascii="宋体" w:hAnsi="宋体" w:cs="宋体"/>
                <w:color w:val="000000"/>
                <w:kern w:val="0"/>
                <w:sz w:val="15"/>
                <w:szCs w:val="15"/>
              </w:rPr>
            </w:pPr>
            <w:r>
              <w:rPr>
                <w:rFonts w:ascii="宋体" w:hAnsi="宋体" w:cs="宋体"/>
                <w:color w:val="000000"/>
                <w:kern w:val="0"/>
                <w:sz w:val="15"/>
                <w:szCs w:val="15"/>
              </w:rPr>
              <w:t>80.26%</w:t>
            </w:r>
          </w:p>
        </w:tc>
        <w:tc>
          <w:tcPr>
            <w:tcW w:w="1368" w:type="dxa"/>
            <w:tcBorders>
              <w:top w:val="nil"/>
              <w:left w:val="nil"/>
              <w:bottom w:val="single" w:sz="4" w:space="0" w:color="000000"/>
              <w:right w:val="nil"/>
            </w:tcBorders>
            <w:shd w:val="clear" w:color="D9D9D9" w:fill="D9D9D9"/>
            <w:noWrap/>
            <w:vAlign w:val="center"/>
          </w:tcPr>
          <w:p w14:paraId="5F8F6CA3" w14:textId="77777777" w:rsidR="00165C9E" w:rsidRDefault="00000000">
            <w:pPr>
              <w:widowControl/>
              <w:spacing w:line="360" w:lineRule="exact"/>
              <w:ind w:firstLineChars="200" w:firstLine="300"/>
              <w:jc w:val="center"/>
              <w:rPr>
                <w:rFonts w:ascii="宋体" w:hAnsi="宋体" w:cs="宋体"/>
                <w:color w:val="000000"/>
                <w:kern w:val="0"/>
                <w:sz w:val="15"/>
                <w:szCs w:val="15"/>
              </w:rPr>
            </w:pPr>
            <w:r>
              <w:rPr>
                <w:rFonts w:ascii="宋体" w:hAnsi="宋体" w:cs="宋体"/>
                <w:color w:val="000000"/>
                <w:kern w:val="0"/>
                <w:sz w:val="15"/>
                <w:szCs w:val="15"/>
              </w:rPr>
              <w:t>86.18%</w:t>
            </w:r>
          </w:p>
        </w:tc>
      </w:tr>
    </w:tbl>
    <w:p w14:paraId="018F1E54" w14:textId="77777777" w:rsidR="00165C9E" w:rsidRDefault="00000000">
      <w:pPr>
        <w:spacing w:line="400" w:lineRule="exact"/>
        <w:ind w:firstLineChars="200" w:firstLine="420"/>
        <w:jc w:val="left"/>
        <w:rPr>
          <w:rFonts w:ascii="黑体" w:eastAsia="黑体" w:hAnsi="黑体" w:cs="宋体"/>
        </w:rPr>
      </w:pPr>
      <w:r>
        <w:rPr>
          <w:rFonts w:ascii="黑体" w:eastAsia="黑体" w:hAnsi="黑体" w:cs="宋体" w:hint="eastAsia"/>
        </w:rPr>
        <w:t>数据来源：data国家数据，中华人民共和国国家统计局（</w:t>
      </w:r>
      <w:hyperlink r:id="rId16" w:history="1">
        <w:r>
          <w:t>http://data.stats.gov.cn/easyquery.htm?cn=C01</w:t>
        </w:r>
      </w:hyperlink>
      <w:r>
        <w:rPr>
          <w:rFonts w:ascii="黑体" w:eastAsia="黑体" w:hAnsi="黑体" w:cs="宋体"/>
        </w:rPr>
        <w:t>）</w:t>
      </w:r>
    </w:p>
    <w:p w14:paraId="6A8B1EE8" w14:textId="77777777" w:rsidR="00165C9E" w:rsidRDefault="00000000">
      <w:pPr>
        <w:spacing w:line="400" w:lineRule="exact"/>
        <w:ind w:firstLineChars="200" w:firstLine="480"/>
        <w:rPr>
          <w:rFonts w:ascii="宋体" w:hAnsi="宋体" w:cs="宋体"/>
          <w:sz w:val="24"/>
          <w:szCs w:val="24"/>
        </w:rPr>
      </w:pPr>
      <w:r>
        <w:rPr>
          <w:rFonts w:ascii="宋体" w:hAnsi="宋体" w:cs="宋体" w:hint="eastAsia"/>
          <w:sz w:val="24"/>
          <w:szCs w:val="24"/>
        </w:rPr>
        <w:t>如表格所示房地产开发企业占社会融资规模</w:t>
      </w:r>
      <w:r>
        <w:rPr>
          <w:rFonts w:ascii="宋体" w:hAnsi="宋体" w:cs="宋体"/>
          <w:sz w:val="24"/>
          <w:szCs w:val="24"/>
        </w:rPr>
        <w:t>70%</w:t>
      </w:r>
      <w:r>
        <w:rPr>
          <w:rFonts w:ascii="宋体" w:hAnsi="宋体" w:cs="宋体" w:hint="eastAsia"/>
          <w:sz w:val="24"/>
          <w:szCs w:val="24"/>
        </w:rPr>
        <w:t>以上而且逐年增加，由此可见融资资金对企业越来越重要。在保持规模的同时，诸如债务比率上升和运营效率下降之类的风险仍在继续累积。在房地产监管不放松，企业融资困难的情况下，可想而知如果资金缺乏的房地产类上市公司不转变融资方式从而降低融资成本，即将会面对被市场淘汰或者被吞并状态。而强大的企业，会在融资方面优势将会更加明显展示，最终向着中国恒大发展。</w:t>
      </w:r>
    </w:p>
    <w:p w14:paraId="762D926E" w14:textId="77777777" w:rsidR="00165C9E" w:rsidRDefault="00165C9E">
      <w:pPr>
        <w:spacing w:line="400" w:lineRule="exact"/>
        <w:ind w:firstLineChars="200" w:firstLine="480"/>
        <w:rPr>
          <w:rFonts w:ascii="宋体" w:hAnsi="宋体" w:cs="宋体"/>
          <w:sz w:val="24"/>
          <w:szCs w:val="24"/>
        </w:rPr>
      </w:pPr>
    </w:p>
    <w:p w14:paraId="4D577DB2" w14:textId="77777777" w:rsidR="00165C9E" w:rsidRDefault="00000000">
      <w:pPr>
        <w:pStyle w:val="Heading10"/>
        <w:spacing w:afterLines="50" w:after="156"/>
        <w:ind w:firstLineChars="200" w:firstLine="612"/>
        <w:jc w:val="left"/>
        <w:rPr>
          <w:rFonts w:ascii="黑体" w:eastAsia="黑体" w:hAnsi="黑体" w:cs="黑体"/>
          <w:sz w:val="30"/>
          <w:szCs w:val="30"/>
        </w:rPr>
      </w:pPr>
      <w:bookmarkStart w:id="17" w:name="_Toc18153"/>
      <w:r>
        <w:rPr>
          <w:rFonts w:ascii="黑体" w:eastAsia="黑体" w:hAnsi="黑体" w:cs="黑体" w:hint="eastAsia"/>
          <w:sz w:val="30"/>
          <w:szCs w:val="30"/>
        </w:rPr>
        <w:t>四、房地产类上市公司融资成本分析与评价的必要性和可行性分析</w:t>
      </w:r>
      <w:bookmarkEnd w:id="17"/>
    </w:p>
    <w:p w14:paraId="307DF98B" w14:textId="77777777" w:rsidR="00165C9E" w:rsidRDefault="00000000">
      <w:pPr>
        <w:pStyle w:val="Heading20"/>
        <w:spacing w:line="400" w:lineRule="exact"/>
        <w:ind w:firstLineChars="200" w:firstLine="560"/>
        <w:jc w:val="left"/>
        <w:rPr>
          <w:rFonts w:ascii="黑体" w:eastAsia="黑体" w:hAnsi="黑体" w:cs="黑体"/>
          <w:b w:val="0"/>
          <w:bCs w:val="0"/>
          <w:sz w:val="28"/>
          <w:szCs w:val="28"/>
        </w:rPr>
      </w:pPr>
      <w:bookmarkStart w:id="18" w:name="_Toc1156"/>
      <w:r>
        <w:rPr>
          <w:rFonts w:ascii="黑体" w:eastAsia="黑体" w:hAnsi="黑体" w:cs="黑体" w:hint="eastAsia"/>
          <w:b w:val="0"/>
          <w:bCs w:val="0"/>
          <w:sz w:val="28"/>
          <w:szCs w:val="28"/>
        </w:rPr>
        <w:t>（二）房地产类上市公司融资成本分析与评价的必要性</w:t>
      </w:r>
      <w:bookmarkEnd w:id="18"/>
    </w:p>
    <w:p w14:paraId="6BDB2834" w14:textId="77777777" w:rsidR="00165C9E" w:rsidRDefault="00000000">
      <w:pPr>
        <w:spacing w:line="400" w:lineRule="exact"/>
        <w:ind w:firstLineChars="200" w:firstLine="480"/>
        <w:rPr>
          <w:rFonts w:cs="宋体"/>
          <w:sz w:val="24"/>
          <w:szCs w:val="24"/>
        </w:rPr>
      </w:pPr>
      <w:r>
        <w:rPr>
          <w:rFonts w:cs="宋体" w:hint="eastAsia"/>
          <w:sz w:val="24"/>
          <w:szCs w:val="24"/>
        </w:rPr>
        <w:t>从宏观角度分析，为了取得最高的经济效益，筹资以最低的成本促进社会剩余资金向需求者的流动。这是促进社会资源优化配置的最重要机制之一从微观看房地产类融资指的资本融通表现形式。本文所指的房地产类上市公司融资成本指的是企业应该怎么样降低融资成本为企业谋求更大的利润。</w:t>
      </w:r>
    </w:p>
    <w:p w14:paraId="51A24382" w14:textId="77777777" w:rsidR="00165C9E" w:rsidRDefault="00000000">
      <w:pPr>
        <w:spacing w:line="400" w:lineRule="exact"/>
        <w:ind w:firstLineChars="200" w:firstLine="480"/>
        <w:rPr>
          <w:sz w:val="24"/>
          <w:szCs w:val="24"/>
        </w:rPr>
      </w:pPr>
      <w:r>
        <w:rPr>
          <w:rFonts w:cs="宋体" w:hint="eastAsia"/>
          <w:sz w:val="24"/>
          <w:szCs w:val="24"/>
        </w:rPr>
        <w:t>当然，房地产类上市公司融资方面具有明显的优缺点。比如房地产融资推广比较困难主要是因为融资成本高和融资过程长，而且与房地产融资项目规模特点有关，同时与政府优惠财政政策息息相关，政府政策可以简化项目融资步骤手续，缩短为房地产开发项目融资的时间。不同的融资方式也存在不同的融资成本，当企业改变或者调整融资结构融资成本必然会随之改变。</w:t>
      </w:r>
    </w:p>
    <w:p w14:paraId="5904AC5D" w14:textId="77777777" w:rsidR="00165C9E" w:rsidRDefault="00000000">
      <w:pPr>
        <w:pStyle w:val="Heading20"/>
        <w:spacing w:line="400" w:lineRule="exact"/>
        <w:ind w:firstLineChars="200" w:firstLine="560"/>
        <w:jc w:val="left"/>
        <w:rPr>
          <w:rFonts w:ascii="黑体" w:eastAsia="黑体" w:hAnsi="黑体" w:cs="黑体"/>
          <w:b w:val="0"/>
          <w:bCs w:val="0"/>
          <w:sz w:val="28"/>
          <w:szCs w:val="28"/>
        </w:rPr>
      </w:pPr>
      <w:bookmarkStart w:id="19" w:name="_Toc672"/>
      <w:r>
        <w:rPr>
          <w:rFonts w:ascii="黑体" w:eastAsia="黑体" w:hAnsi="黑体" w:cs="黑体" w:hint="eastAsia"/>
          <w:b w:val="0"/>
          <w:bCs w:val="0"/>
          <w:sz w:val="28"/>
          <w:szCs w:val="28"/>
        </w:rPr>
        <w:t>（三）房地产类上市公司融资成本分析与评价的可行性</w:t>
      </w:r>
      <w:bookmarkEnd w:id="19"/>
    </w:p>
    <w:p w14:paraId="23555955" w14:textId="77777777" w:rsidR="00165C9E" w:rsidRDefault="00000000">
      <w:pPr>
        <w:spacing w:line="400" w:lineRule="exact"/>
        <w:ind w:firstLineChars="200" w:firstLine="480"/>
        <w:rPr>
          <w:rFonts w:cs="宋体"/>
          <w:sz w:val="24"/>
          <w:szCs w:val="24"/>
        </w:rPr>
      </w:pPr>
      <w:r>
        <w:rPr>
          <w:rFonts w:cs="宋体" w:hint="eastAsia"/>
          <w:sz w:val="24"/>
          <w:szCs w:val="24"/>
        </w:rPr>
        <w:t>通常我们认为，经济增长和建设项目的是同比增长的。对房地产开发企业融资资金的深入研究，有利于提高企业融资效率并达到最终降低融资成本效果</w:t>
      </w:r>
    </w:p>
    <w:p w14:paraId="1C50DAC9" w14:textId="77777777" w:rsidR="00165C9E" w:rsidRDefault="00165C9E">
      <w:pPr>
        <w:spacing w:line="400" w:lineRule="exact"/>
        <w:ind w:firstLineChars="200" w:firstLine="480"/>
        <w:rPr>
          <w:rFonts w:cs="宋体"/>
          <w:sz w:val="24"/>
          <w:szCs w:val="24"/>
        </w:rPr>
      </w:pPr>
    </w:p>
    <w:p w14:paraId="64E620BE" w14:textId="77777777" w:rsidR="00165C9E" w:rsidRDefault="00165C9E">
      <w:pPr>
        <w:spacing w:line="400" w:lineRule="exact"/>
        <w:ind w:firstLineChars="200" w:firstLine="480"/>
        <w:rPr>
          <w:rFonts w:cs="宋体"/>
          <w:sz w:val="24"/>
          <w:szCs w:val="24"/>
        </w:rPr>
      </w:pPr>
    </w:p>
    <w:p w14:paraId="6B82FD0D" w14:textId="77777777" w:rsidR="00165C9E" w:rsidRDefault="00165C9E">
      <w:pPr>
        <w:spacing w:line="400" w:lineRule="exact"/>
        <w:ind w:firstLineChars="200" w:firstLine="480"/>
        <w:rPr>
          <w:rFonts w:cs="宋体"/>
          <w:sz w:val="24"/>
          <w:szCs w:val="24"/>
        </w:rPr>
      </w:pPr>
    </w:p>
    <w:p w14:paraId="1B32C85F" w14:textId="77777777" w:rsidR="00165C9E" w:rsidRDefault="00165C9E">
      <w:pPr>
        <w:spacing w:line="400" w:lineRule="exact"/>
        <w:ind w:firstLineChars="200" w:firstLine="480"/>
        <w:rPr>
          <w:rFonts w:cs="宋体"/>
          <w:sz w:val="24"/>
          <w:szCs w:val="24"/>
        </w:rPr>
      </w:pPr>
    </w:p>
    <w:p w14:paraId="063DA687" w14:textId="77777777" w:rsidR="00165C9E" w:rsidRDefault="00165C9E">
      <w:pPr>
        <w:spacing w:line="400" w:lineRule="exact"/>
        <w:ind w:firstLineChars="200" w:firstLine="480"/>
        <w:rPr>
          <w:rFonts w:cs="宋体"/>
          <w:sz w:val="24"/>
          <w:szCs w:val="24"/>
        </w:rPr>
      </w:pPr>
    </w:p>
    <w:p w14:paraId="062A3D7F" w14:textId="77777777" w:rsidR="00165C9E" w:rsidRDefault="00165C9E">
      <w:pPr>
        <w:spacing w:line="400" w:lineRule="exact"/>
        <w:ind w:firstLineChars="200" w:firstLine="480"/>
        <w:rPr>
          <w:sz w:val="24"/>
          <w:szCs w:val="24"/>
        </w:rPr>
      </w:pPr>
    </w:p>
    <w:p w14:paraId="1D85EA4F" w14:textId="77777777" w:rsidR="00165C9E" w:rsidRDefault="00165C9E">
      <w:pPr>
        <w:spacing w:line="400" w:lineRule="exact"/>
        <w:ind w:firstLineChars="200" w:firstLine="480"/>
        <w:rPr>
          <w:sz w:val="24"/>
          <w:szCs w:val="24"/>
        </w:rPr>
      </w:pPr>
    </w:p>
    <w:p w14:paraId="357AA2E1" w14:textId="77777777" w:rsidR="00165C9E" w:rsidRDefault="00165C9E">
      <w:pPr>
        <w:spacing w:line="400" w:lineRule="exact"/>
        <w:ind w:firstLineChars="200" w:firstLine="480"/>
        <w:rPr>
          <w:sz w:val="24"/>
          <w:szCs w:val="24"/>
        </w:rPr>
      </w:pPr>
    </w:p>
    <w:p w14:paraId="3CC764D6" w14:textId="77777777" w:rsidR="00165C9E" w:rsidRDefault="00165C9E">
      <w:pPr>
        <w:spacing w:line="400" w:lineRule="exact"/>
        <w:ind w:firstLineChars="200" w:firstLine="480"/>
        <w:rPr>
          <w:sz w:val="24"/>
          <w:szCs w:val="24"/>
        </w:rPr>
      </w:pPr>
    </w:p>
    <w:p w14:paraId="48742A14" w14:textId="77777777" w:rsidR="00165C9E" w:rsidRDefault="00165C9E">
      <w:pPr>
        <w:spacing w:line="400" w:lineRule="exact"/>
        <w:ind w:firstLineChars="200" w:firstLine="480"/>
        <w:rPr>
          <w:sz w:val="24"/>
          <w:szCs w:val="24"/>
        </w:rPr>
      </w:pPr>
    </w:p>
    <w:p w14:paraId="2B7F0DEB" w14:textId="77777777" w:rsidR="00165C9E" w:rsidRDefault="00165C9E">
      <w:pPr>
        <w:spacing w:line="400" w:lineRule="exact"/>
        <w:ind w:firstLineChars="200" w:firstLine="480"/>
        <w:rPr>
          <w:sz w:val="24"/>
          <w:szCs w:val="24"/>
        </w:rPr>
      </w:pPr>
    </w:p>
    <w:p w14:paraId="4445C33E" w14:textId="77777777" w:rsidR="00165C9E" w:rsidRDefault="00165C9E">
      <w:pPr>
        <w:spacing w:line="400" w:lineRule="exact"/>
        <w:ind w:firstLineChars="200" w:firstLine="480"/>
        <w:rPr>
          <w:sz w:val="24"/>
          <w:szCs w:val="24"/>
        </w:rPr>
      </w:pPr>
    </w:p>
    <w:p w14:paraId="435FF751" w14:textId="77777777" w:rsidR="00165C9E" w:rsidRDefault="00165C9E">
      <w:pPr>
        <w:spacing w:line="400" w:lineRule="exact"/>
        <w:ind w:firstLineChars="200" w:firstLine="480"/>
        <w:rPr>
          <w:sz w:val="24"/>
          <w:szCs w:val="24"/>
        </w:rPr>
      </w:pPr>
    </w:p>
    <w:p w14:paraId="539FB771" w14:textId="77777777" w:rsidR="00165C9E" w:rsidRDefault="00165C9E">
      <w:pPr>
        <w:spacing w:line="400" w:lineRule="exact"/>
        <w:ind w:firstLineChars="200" w:firstLine="480"/>
        <w:rPr>
          <w:sz w:val="24"/>
          <w:szCs w:val="24"/>
        </w:rPr>
      </w:pPr>
    </w:p>
    <w:p w14:paraId="314D3BCC" w14:textId="77777777" w:rsidR="00165C9E" w:rsidRDefault="00165C9E">
      <w:pPr>
        <w:spacing w:line="400" w:lineRule="exact"/>
        <w:ind w:firstLineChars="200" w:firstLine="480"/>
        <w:rPr>
          <w:sz w:val="24"/>
          <w:szCs w:val="24"/>
        </w:rPr>
      </w:pPr>
    </w:p>
    <w:p w14:paraId="7AFBE177" w14:textId="77777777" w:rsidR="00165C9E" w:rsidRDefault="00165C9E">
      <w:pPr>
        <w:spacing w:line="400" w:lineRule="exact"/>
        <w:ind w:firstLineChars="200" w:firstLine="480"/>
        <w:rPr>
          <w:sz w:val="24"/>
          <w:szCs w:val="24"/>
        </w:rPr>
      </w:pPr>
    </w:p>
    <w:p w14:paraId="2C0582B3" w14:textId="77777777" w:rsidR="00165C9E" w:rsidRDefault="00000000">
      <w:pPr>
        <w:spacing w:line="400" w:lineRule="exact"/>
        <w:ind w:firstLineChars="200" w:firstLine="420"/>
        <w:rPr>
          <w:sz w:val="24"/>
          <w:szCs w:val="24"/>
        </w:rPr>
      </w:pPr>
      <w:r>
        <w:rPr>
          <w:noProof/>
        </w:rPr>
        <w:drawing>
          <wp:anchor distT="0" distB="0" distL="114300" distR="114300" simplePos="0" relativeHeight="251658240" behindDoc="1" locked="0" layoutInCell="1" allowOverlap="1" wp14:anchorId="27ECA01C" wp14:editId="3BC72D5C">
            <wp:simplePos x="0" y="0"/>
            <wp:positionH relativeFrom="column">
              <wp:posOffset>264160</wp:posOffset>
            </wp:positionH>
            <wp:positionV relativeFrom="paragraph">
              <wp:posOffset>-2499995</wp:posOffset>
            </wp:positionV>
            <wp:extent cx="4540250" cy="2703195"/>
            <wp:effectExtent l="0" t="0" r="0" b="1905"/>
            <wp:wrapNone/>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a:xfrm>
                      <a:off x="0" y="0"/>
                      <a:ext cx="4540250" cy="2703195"/>
                    </a:xfrm>
                    <a:prstGeom prst="rect">
                      <a:avLst/>
                    </a:prstGeom>
                    <a:noFill/>
                    <a:ln>
                      <a:noFill/>
                    </a:ln>
                  </pic:spPr>
                </pic:pic>
              </a:graphicData>
            </a:graphic>
          </wp:anchor>
        </w:drawing>
      </w:r>
    </w:p>
    <w:p w14:paraId="6A73D93A" w14:textId="77777777" w:rsidR="00165C9E" w:rsidRDefault="00000000">
      <w:pPr>
        <w:spacing w:line="400" w:lineRule="exact"/>
        <w:ind w:firstLineChars="200" w:firstLine="420"/>
        <w:rPr>
          <w:rFonts w:ascii="黑体" w:eastAsia="黑体" w:hAnsi="黑体" w:cs="宋体"/>
        </w:rPr>
      </w:pPr>
      <w:r>
        <w:rPr>
          <w:rFonts w:ascii="黑体" w:eastAsia="黑体" w:hAnsi="黑体" w:cs="宋体" w:hint="eastAsia"/>
        </w:rPr>
        <w:t>图3-1房地产开发企业本年实际到位资金</w:t>
      </w:r>
      <w:r>
        <w:rPr>
          <w:rStyle w:val="af6"/>
          <w:rFonts w:ascii="黑体" w:eastAsia="黑体" w:hAnsi="黑体" w:cs="宋体"/>
        </w:rPr>
        <w:footnoteReference w:id="1"/>
      </w:r>
    </w:p>
    <w:p w14:paraId="79617BDB" w14:textId="77777777" w:rsidR="00165C9E" w:rsidRDefault="00000000">
      <w:pPr>
        <w:spacing w:line="400" w:lineRule="exact"/>
        <w:ind w:firstLineChars="200" w:firstLine="420"/>
        <w:jc w:val="left"/>
        <w:rPr>
          <w:rFonts w:ascii="黑体" w:eastAsia="黑体" w:hAnsi="黑体" w:cs="宋体"/>
        </w:rPr>
      </w:pPr>
      <w:r>
        <w:rPr>
          <w:rFonts w:ascii="黑体" w:eastAsia="黑体" w:hAnsi="黑体" w:cs="宋体" w:hint="eastAsia"/>
        </w:rPr>
        <w:t>数据来源：data国家数据，中华人民共和国国家统计局（</w:t>
      </w:r>
      <w:hyperlink r:id="rId18" w:history="1">
        <w:r>
          <w:rPr>
            <w:rStyle w:val="af4"/>
            <w:rFonts w:ascii="黑体" w:eastAsia="黑体" w:hAnsi="黑体" w:cs="宋体" w:hint="eastAsia"/>
          </w:rPr>
          <w:t>http://data.stats.gov.cn/easyquery.htm?cn=C01</w:t>
        </w:r>
      </w:hyperlink>
      <w:r>
        <w:rPr>
          <w:rFonts w:ascii="黑体" w:eastAsia="黑体" w:hAnsi="黑体" w:cs="宋体" w:hint="eastAsia"/>
        </w:rPr>
        <w:t>）</w:t>
      </w:r>
    </w:p>
    <w:p w14:paraId="2BD96F14" w14:textId="77777777" w:rsidR="00165C9E" w:rsidRDefault="00000000">
      <w:pPr>
        <w:spacing w:line="400" w:lineRule="exact"/>
        <w:ind w:firstLineChars="200" w:firstLine="480"/>
        <w:rPr>
          <w:rFonts w:cs="宋体"/>
          <w:sz w:val="24"/>
          <w:szCs w:val="24"/>
        </w:rPr>
      </w:pPr>
      <w:r>
        <w:rPr>
          <w:rFonts w:cs="宋体" w:hint="eastAsia"/>
          <w:sz w:val="24"/>
          <w:szCs w:val="24"/>
        </w:rPr>
        <w:t>如上图所示，由于</w:t>
      </w:r>
      <w:r>
        <w:rPr>
          <w:rFonts w:cs="宋体" w:hint="eastAsia"/>
          <w:sz w:val="24"/>
          <w:szCs w:val="24"/>
        </w:rPr>
        <w:t>2013-2014</w:t>
      </w:r>
      <w:r>
        <w:rPr>
          <w:rFonts w:cs="宋体" w:hint="eastAsia"/>
          <w:sz w:val="24"/>
          <w:szCs w:val="24"/>
        </w:rPr>
        <w:t>年在这两年的房地产市场不景气，企业开发实际到位资金基本上没有发生变化，但在</w:t>
      </w:r>
      <w:r>
        <w:rPr>
          <w:rFonts w:cs="宋体"/>
          <w:sz w:val="24"/>
          <w:szCs w:val="24"/>
        </w:rPr>
        <w:t>2015</w:t>
      </w:r>
      <w:r>
        <w:rPr>
          <w:rFonts w:cs="宋体" w:hint="eastAsia"/>
          <w:sz w:val="24"/>
          <w:szCs w:val="24"/>
        </w:rPr>
        <w:t>年，中央和地方政府对房地产的控制减弱，中央银行连续五次继续降准和五次降息（包括双降）是不容忽视，使得货币政策的持续放松为房地产市场注入了更多活力。从那以后，房地产市场逐渐恢复，从那以后行业投资一直在增加。从图中可以看到房地产类开发需要筹集大量实际到位资金，然而在筹集资金过程中科学利用融资方式达到降低企业融资成本是可行性的。本文融资成本分析的作用在于分析改变或调整融资方式带来总的成本是减少还是增加的，即它是否会增加或减少企业的税后利润，从而合理选择融资方式来改变或者调整融资成本。</w:t>
      </w:r>
    </w:p>
    <w:p w14:paraId="4F87291B" w14:textId="77777777" w:rsidR="00165C9E" w:rsidRDefault="00165C9E">
      <w:pPr>
        <w:spacing w:line="400" w:lineRule="exact"/>
        <w:ind w:firstLineChars="200" w:firstLine="480"/>
        <w:rPr>
          <w:rFonts w:cs="宋体"/>
          <w:sz w:val="24"/>
          <w:szCs w:val="24"/>
        </w:rPr>
      </w:pPr>
    </w:p>
    <w:p w14:paraId="0F40DEA8" w14:textId="77777777" w:rsidR="00165C9E" w:rsidRDefault="00000000">
      <w:pPr>
        <w:pStyle w:val="Heading10"/>
        <w:spacing w:afterLines="50" w:after="156"/>
        <w:ind w:firstLineChars="200" w:firstLine="612"/>
        <w:jc w:val="left"/>
        <w:rPr>
          <w:rFonts w:ascii="黑体" w:eastAsia="黑体" w:hAnsi="黑体" w:cs="黑体"/>
          <w:sz w:val="30"/>
          <w:szCs w:val="30"/>
        </w:rPr>
      </w:pPr>
      <w:bookmarkStart w:id="20" w:name="_Toc23089"/>
      <w:r>
        <w:rPr>
          <w:rFonts w:ascii="黑体" w:eastAsia="黑体" w:hAnsi="黑体" w:cs="黑体" w:hint="eastAsia"/>
          <w:sz w:val="30"/>
          <w:szCs w:val="30"/>
        </w:rPr>
        <w:t>五、万科企业股份有限公司融资成本分析与评价</w:t>
      </w:r>
      <w:bookmarkEnd w:id="20"/>
    </w:p>
    <w:p w14:paraId="46AA9172" w14:textId="77777777" w:rsidR="00165C9E" w:rsidRDefault="00000000">
      <w:pPr>
        <w:pStyle w:val="Heading20"/>
        <w:spacing w:line="400" w:lineRule="exact"/>
        <w:ind w:firstLineChars="200" w:firstLine="560"/>
        <w:jc w:val="left"/>
        <w:rPr>
          <w:rFonts w:ascii="黑体" w:eastAsia="黑体" w:hAnsi="黑体" w:cs="黑体"/>
          <w:b w:val="0"/>
          <w:bCs w:val="0"/>
          <w:sz w:val="28"/>
          <w:szCs w:val="28"/>
        </w:rPr>
      </w:pPr>
      <w:bookmarkStart w:id="21" w:name="_Toc33871923"/>
      <w:bookmarkStart w:id="22" w:name="_Toc14780"/>
      <w:r>
        <w:rPr>
          <w:rFonts w:ascii="黑体" w:eastAsia="黑体" w:hAnsi="黑体" w:cs="黑体" w:hint="eastAsia"/>
          <w:b w:val="0"/>
          <w:bCs w:val="0"/>
          <w:sz w:val="28"/>
          <w:szCs w:val="28"/>
        </w:rPr>
        <w:t>（一）万科企业股份有限公司概况</w:t>
      </w:r>
      <w:bookmarkEnd w:id="21"/>
      <w:bookmarkEnd w:id="22"/>
    </w:p>
    <w:p w14:paraId="189AA805" w14:textId="77777777" w:rsidR="00165C9E" w:rsidRDefault="00000000">
      <w:pPr>
        <w:spacing w:line="400" w:lineRule="exact"/>
        <w:ind w:firstLineChars="200" w:firstLine="480"/>
        <w:rPr>
          <w:sz w:val="24"/>
          <w:szCs w:val="24"/>
        </w:rPr>
      </w:pPr>
      <w:r>
        <w:rPr>
          <w:rFonts w:cs="宋体" w:hint="eastAsia"/>
          <w:sz w:val="24"/>
          <w:szCs w:val="24"/>
        </w:rPr>
        <w:t>万科于</w:t>
      </w:r>
      <w:r>
        <w:rPr>
          <w:rFonts w:cs="宋体" w:hint="eastAsia"/>
          <w:sz w:val="24"/>
          <w:szCs w:val="24"/>
        </w:rPr>
        <w:t>1984</w:t>
      </w:r>
      <w:r>
        <w:rPr>
          <w:rFonts w:cs="宋体" w:hint="eastAsia"/>
          <w:sz w:val="24"/>
          <w:szCs w:val="24"/>
        </w:rPr>
        <w:t>年在深圳成立。经过数年的发展，</w:t>
      </w:r>
      <w:r>
        <w:rPr>
          <w:rFonts w:cs="宋体" w:hint="eastAsia"/>
          <w:sz w:val="24"/>
          <w:szCs w:val="24"/>
        </w:rPr>
        <w:t>A</w:t>
      </w:r>
      <w:r>
        <w:rPr>
          <w:rFonts w:cs="宋体" w:hint="eastAsia"/>
          <w:sz w:val="24"/>
          <w:szCs w:val="24"/>
        </w:rPr>
        <w:t>股于</w:t>
      </w:r>
      <w:r>
        <w:rPr>
          <w:rFonts w:cs="宋体" w:hint="eastAsia"/>
          <w:sz w:val="24"/>
          <w:szCs w:val="24"/>
        </w:rPr>
        <w:t>1991</w:t>
      </w:r>
      <w:r>
        <w:rPr>
          <w:rFonts w:cs="宋体" w:hint="eastAsia"/>
          <w:sz w:val="24"/>
          <w:szCs w:val="24"/>
        </w:rPr>
        <w:t>年在深圳证券交易所上市。这也是中国最早的房地产上市公司。随后在</w:t>
      </w:r>
      <w:r>
        <w:rPr>
          <w:rFonts w:cs="宋体" w:hint="eastAsia"/>
          <w:sz w:val="24"/>
          <w:szCs w:val="24"/>
        </w:rPr>
        <w:t>1993</w:t>
      </w:r>
      <w:r>
        <w:rPr>
          <w:rFonts w:cs="宋体" w:hint="eastAsia"/>
          <w:sz w:val="24"/>
          <w:szCs w:val="24"/>
        </w:rPr>
        <w:t>年，</w:t>
      </w:r>
      <w:r>
        <w:rPr>
          <w:rFonts w:cs="宋体" w:hint="eastAsia"/>
          <w:sz w:val="24"/>
          <w:szCs w:val="24"/>
        </w:rPr>
        <w:t>B</w:t>
      </w:r>
      <w:r>
        <w:rPr>
          <w:rFonts w:cs="宋体" w:hint="eastAsia"/>
          <w:sz w:val="24"/>
          <w:szCs w:val="24"/>
        </w:rPr>
        <w:t>股也在深圳</w:t>
      </w:r>
      <w:r>
        <w:rPr>
          <w:rFonts w:cs="宋体" w:hint="eastAsia"/>
          <w:sz w:val="24"/>
          <w:szCs w:val="24"/>
        </w:rPr>
        <w:lastRenderedPageBreak/>
        <w:t>证券交易所上市，同时将公司更名为“万科企业有限公司”。在</w:t>
      </w:r>
      <w:r>
        <w:rPr>
          <w:rFonts w:cs="宋体" w:hint="eastAsia"/>
          <w:sz w:val="24"/>
          <w:szCs w:val="24"/>
        </w:rPr>
        <w:t>2008</w:t>
      </w:r>
      <w:r>
        <w:rPr>
          <w:rFonts w:cs="宋体" w:hint="eastAsia"/>
          <w:sz w:val="24"/>
          <w:szCs w:val="24"/>
        </w:rPr>
        <w:t>年时候，当中国房地产类上市公司依然采用银行贷款融资方式时，万科率先采用“股权融资</w:t>
      </w:r>
      <w:r>
        <w:rPr>
          <w:rFonts w:cs="宋体" w:hint="eastAsia"/>
          <w:sz w:val="24"/>
          <w:szCs w:val="24"/>
        </w:rPr>
        <w:t>+</w:t>
      </w:r>
      <w:r>
        <w:rPr>
          <w:rFonts w:cs="宋体" w:hint="eastAsia"/>
          <w:sz w:val="24"/>
          <w:szCs w:val="24"/>
        </w:rPr>
        <w:t>银行信贷”的融资方式。直到至今，万科逐渐发展多样化融资方式，灵活运用国家政策来选择融资方式。在发展新型融资方式中更突出。如今万科在融资方式和资金运营方面比国内其他房地产类上市公司要好，得益于该企业上市比较早。而且万科还借助自身优势不仅仅在</w:t>
      </w:r>
      <w:r>
        <w:rPr>
          <w:rFonts w:cs="宋体" w:hint="eastAsia"/>
          <w:sz w:val="24"/>
          <w:szCs w:val="24"/>
        </w:rPr>
        <w:t>A</w:t>
      </w:r>
      <w:r>
        <w:rPr>
          <w:rFonts w:cs="宋体" w:hint="eastAsia"/>
          <w:sz w:val="24"/>
          <w:szCs w:val="24"/>
        </w:rPr>
        <w:t>股市场上直接进行融资还采取大量的资金筹集措施。如今万科通过</w:t>
      </w:r>
      <w:r>
        <w:rPr>
          <w:rFonts w:cs="宋体" w:hint="eastAsia"/>
          <w:sz w:val="24"/>
          <w:szCs w:val="24"/>
        </w:rPr>
        <w:t>30</w:t>
      </w:r>
      <w:r>
        <w:rPr>
          <w:rFonts w:cs="宋体" w:hint="eastAsia"/>
          <w:sz w:val="24"/>
          <w:szCs w:val="24"/>
        </w:rPr>
        <w:t>多年的发展，根据在“</w:t>
      </w:r>
      <w:r>
        <w:rPr>
          <w:rFonts w:cs="宋体" w:hint="eastAsia"/>
          <w:sz w:val="24"/>
          <w:szCs w:val="24"/>
        </w:rPr>
        <w:t>2019</w:t>
      </w:r>
      <w:r>
        <w:rPr>
          <w:rFonts w:cs="宋体" w:hint="eastAsia"/>
          <w:sz w:val="24"/>
          <w:szCs w:val="24"/>
        </w:rPr>
        <w:t>年中国房地产百强企业”名单中万科靠第三名，算是国内规模比较大的房企，对整个房产市场发展具有重要作用。万科企业有限公司在</w:t>
      </w:r>
      <w:r>
        <w:rPr>
          <w:rFonts w:cs="宋体" w:hint="eastAsia"/>
          <w:sz w:val="24"/>
          <w:szCs w:val="24"/>
        </w:rPr>
        <w:t>2018</w:t>
      </w:r>
      <w:r>
        <w:rPr>
          <w:rFonts w:cs="宋体" w:hint="eastAsia"/>
          <w:sz w:val="24"/>
          <w:szCs w:val="24"/>
        </w:rPr>
        <w:t>年《财富》全球</w:t>
      </w:r>
      <w:r>
        <w:rPr>
          <w:rFonts w:cs="宋体" w:hint="eastAsia"/>
          <w:sz w:val="24"/>
          <w:szCs w:val="24"/>
        </w:rPr>
        <w:t>500</w:t>
      </w:r>
      <w:r>
        <w:rPr>
          <w:rFonts w:cs="宋体" w:hint="eastAsia"/>
          <w:sz w:val="24"/>
          <w:szCs w:val="24"/>
        </w:rPr>
        <w:t>强排名中排名</w:t>
      </w:r>
      <w:r>
        <w:rPr>
          <w:rFonts w:cs="宋体" w:hint="eastAsia"/>
          <w:sz w:val="24"/>
          <w:szCs w:val="24"/>
        </w:rPr>
        <w:t>332</w:t>
      </w:r>
    </w:p>
    <w:p w14:paraId="002C86FC" w14:textId="77777777" w:rsidR="00165C9E" w:rsidRDefault="00000000">
      <w:pPr>
        <w:pStyle w:val="Heading20"/>
        <w:spacing w:line="400" w:lineRule="exact"/>
        <w:ind w:firstLineChars="200" w:firstLine="560"/>
        <w:jc w:val="left"/>
        <w:rPr>
          <w:rFonts w:ascii="黑体" w:eastAsia="黑体" w:hAnsi="黑体" w:cs="黑体"/>
          <w:b w:val="0"/>
          <w:bCs w:val="0"/>
          <w:sz w:val="28"/>
          <w:szCs w:val="28"/>
        </w:rPr>
      </w:pPr>
      <w:bookmarkStart w:id="23" w:name="_Toc5269"/>
      <w:r>
        <w:rPr>
          <w:rFonts w:ascii="黑体" w:eastAsia="黑体" w:hAnsi="黑体" w:cs="黑体" w:hint="eastAsia"/>
          <w:b w:val="0"/>
          <w:bCs w:val="0"/>
          <w:sz w:val="28"/>
          <w:szCs w:val="28"/>
        </w:rPr>
        <w:t>（二）万科融资方式与融资成本关系对比分析</w:t>
      </w:r>
      <w:bookmarkEnd w:id="23"/>
    </w:p>
    <w:p w14:paraId="474329BE" w14:textId="77777777" w:rsidR="00165C9E" w:rsidRDefault="00000000">
      <w:pPr>
        <w:pStyle w:val="af1"/>
        <w:shd w:val="clear" w:color="auto" w:fill="FFFFFF"/>
        <w:spacing w:before="0" w:beforeAutospacing="0" w:after="0" w:afterAutospacing="0"/>
      </w:pPr>
      <w:r>
        <w:rPr>
          <w:rFonts w:hint="eastAsia"/>
        </w:rPr>
        <w:t>如图所示万科融资方式概况</w:t>
      </w:r>
    </w:p>
    <w:p w14:paraId="76A540B4" w14:textId="77777777" w:rsidR="00165C9E" w:rsidRDefault="00000000">
      <w:pPr>
        <w:pStyle w:val="af1"/>
        <w:shd w:val="clear" w:color="auto" w:fill="FFFFFF"/>
        <w:spacing w:before="0" w:beforeAutospacing="0" w:after="0" w:afterAutospacing="0"/>
        <w:rPr>
          <w:rFonts w:cs="Times New Roman"/>
          <w:color w:val="000000"/>
          <w:sz w:val="18"/>
          <w:szCs w:val="18"/>
        </w:rPr>
      </w:pPr>
      <w:r>
        <w:rPr>
          <w:noProof/>
        </w:rPr>
        <mc:AlternateContent>
          <mc:Choice Requires="wps">
            <w:drawing>
              <wp:anchor distT="0" distB="0" distL="114300" distR="114300" simplePos="0" relativeHeight="251676672" behindDoc="0" locked="0" layoutInCell="1" allowOverlap="1" wp14:anchorId="6323FE6F" wp14:editId="76E4C442">
                <wp:simplePos x="0" y="0"/>
                <wp:positionH relativeFrom="column">
                  <wp:posOffset>2164080</wp:posOffset>
                </wp:positionH>
                <wp:positionV relativeFrom="paragraph">
                  <wp:posOffset>24130</wp:posOffset>
                </wp:positionV>
                <wp:extent cx="1188720" cy="325755"/>
                <wp:effectExtent l="11430" t="5080" r="9525" b="12065"/>
                <wp:wrapNone/>
                <wp:docPr id="24" name="矩形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8720" cy="325755"/>
                        </a:xfrm>
                        <a:prstGeom prst="rect">
                          <a:avLst/>
                        </a:prstGeom>
                        <a:solidFill>
                          <a:srgbClr val="FFFFFF"/>
                        </a:solidFill>
                        <a:ln w="9525">
                          <a:solidFill>
                            <a:srgbClr val="4F81BD"/>
                          </a:solidFill>
                          <a:miter lim="800000"/>
                        </a:ln>
                      </wps:spPr>
                      <wps:txbx>
                        <w:txbxContent>
                          <w:p w14:paraId="4A6A70A1" w14:textId="77777777" w:rsidR="00165C9E" w:rsidRDefault="00000000">
                            <w:pPr>
                              <w:jc w:val="center"/>
                              <w:rPr>
                                <w:sz w:val="24"/>
                                <w:szCs w:val="24"/>
                              </w:rPr>
                            </w:pPr>
                            <w:r>
                              <w:rPr>
                                <w:rFonts w:hint="eastAsia"/>
                                <w:sz w:val="24"/>
                                <w:szCs w:val="24"/>
                              </w:rPr>
                              <w:t>现金</w:t>
                            </w:r>
                          </w:p>
                        </w:txbxContent>
                      </wps:txbx>
                      <wps:bodyPr rot="0" vert="horz" wrap="square" lIns="91440" tIns="45720" rIns="91440" bIns="45720" anchor="ctr" anchorCtr="0" upright="1"/>
                    </wps:wsp>
                  </a:graphicData>
                </a:graphic>
              </wp:anchor>
            </w:drawing>
          </mc:Choice>
          <mc:Fallback>
            <w:pict>
              <v:shapetype id="_x0000_t202" coordsize="21600,21600" o:spt="202" path="m,l,21600r21600,l21600,xe">
                <v:stroke joinstyle="miter"/>
                <v:path gradientshapeok="t" o:connecttype="rect"/>
              </v:shapetype>
              <v:shape id="矩形 42" o:spid="_x0000_s1027" type="#_x0000_t202" style="width:93.6pt;height:25.65pt;margin-top:1.9pt;margin-left:170.4pt;mso-wrap-distance-bottom:0;mso-wrap-distance-left:9pt;mso-wrap-distance-right:9pt;mso-wrap-distance-top:0;position:absolute;v-text-anchor:middle;z-index:251675648" fillcolor="white" stroked="t" strokecolor="#4f81bd" strokeweight="0.75pt">
                <v:textbox>
                  <w:txbxContent>
                    <w:p>
                      <w:pPr>
                        <w:jc w:val="center"/>
                        <w:rPr>
                          <w:sz w:val="24"/>
                          <w:szCs w:val="24"/>
                        </w:rPr>
                      </w:pPr>
                      <w:r>
                        <w:rPr>
                          <w:rFonts w:hint="eastAsia"/>
                          <w:sz w:val="24"/>
                          <w:szCs w:val="24"/>
                        </w:rPr>
                        <w:t>现金</w:t>
                      </w:r>
                    </w:p>
                  </w:txbxContent>
                </v:textbox>
              </v:shape>
            </w:pict>
          </mc:Fallback>
        </mc:AlternateContent>
      </w:r>
      <w:r>
        <w:rPr>
          <w:noProof/>
        </w:rPr>
        <mc:AlternateContent>
          <mc:Choice Requires="wps">
            <w:drawing>
              <wp:anchor distT="0" distB="0" distL="114300" distR="114300" simplePos="0" relativeHeight="251670528" behindDoc="0" locked="0" layoutInCell="1" allowOverlap="1" wp14:anchorId="414A134F" wp14:editId="51D396CA">
                <wp:simplePos x="0" y="0"/>
                <wp:positionH relativeFrom="column">
                  <wp:posOffset>1892300</wp:posOffset>
                </wp:positionH>
                <wp:positionV relativeFrom="paragraph">
                  <wp:posOffset>191770</wp:posOffset>
                </wp:positionV>
                <wp:extent cx="247015" cy="1188720"/>
                <wp:effectExtent l="6350" t="10795" r="13335" b="10160"/>
                <wp:wrapNone/>
                <wp:docPr id="23" name="左大括号 38"/>
                <wp:cNvGraphicFramePr/>
                <a:graphic xmlns:a="http://schemas.openxmlformats.org/drawingml/2006/main">
                  <a:graphicData uri="http://schemas.microsoft.com/office/word/2010/wordprocessingShape">
                    <wps:wsp>
                      <wps:cNvSpPr/>
                      <wps:spPr bwMode="auto">
                        <a:xfrm>
                          <a:off x="0" y="0"/>
                          <a:ext cx="247015" cy="1188720"/>
                        </a:xfrm>
                        <a:prstGeom prst="leftBrace">
                          <a:avLst>
                            <a:gd name="adj1" fmla="val 8332"/>
                            <a:gd name="adj2" fmla="val 50000"/>
                          </a:avLst>
                        </a:prstGeom>
                        <a:noFill/>
                        <a:ln w="9525">
                          <a:solidFill>
                            <a:srgbClr val="4579B8"/>
                          </a:solidFill>
                          <a:round/>
                        </a:ln>
                      </wps:spPr>
                      <wps:bodyPr rot="0" vert="horz" wrap="square" lIns="91440" tIns="45720" rIns="91440" bIns="45720" anchor="ctr" anchorCtr="0" upright="1"/>
                    </wps:wsp>
                  </a:graphicData>
                </a:graphic>
              </wp:anchor>
            </w:drawing>
          </mc:Choice>
          <mc:Fallback>
            <w:pict>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左大括号 38" o:spid="_x0000_s1028" type="#_x0000_t87" style="width:19.45pt;height:93.6pt;margin-top:15.1pt;margin-left:149pt;mso-wrap-distance-bottom:0;mso-wrap-distance-left:9pt;mso-wrap-distance-right:9pt;mso-wrap-distance-top:0;position:absolute;v-text-anchor:middle;z-index:251669504" filled="t" fillcolor="this" stroked="t" strokecolor="#4579b8" strokeweight="0.75pt">
                <v:stroke joinstyle="round"/>
              </v:shape>
            </w:pict>
          </mc:Fallback>
        </mc:AlternateContent>
      </w:r>
    </w:p>
    <w:p w14:paraId="3CB02A15" w14:textId="77777777" w:rsidR="00165C9E" w:rsidRDefault="00000000">
      <w:pPr>
        <w:pStyle w:val="af1"/>
        <w:shd w:val="clear" w:color="auto" w:fill="FFFFFF"/>
        <w:spacing w:before="0" w:beforeAutospacing="0" w:after="0" w:afterAutospacing="0"/>
        <w:rPr>
          <w:rFonts w:cs="Times New Roman"/>
          <w:color w:val="000000"/>
          <w:sz w:val="18"/>
          <w:szCs w:val="18"/>
        </w:rPr>
      </w:pPr>
      <w:r>
        <w:rPr>
          <w:noProof/>
        </w:rPr>
        <mc:AlternateContent>
          <mc:Choice Requires="wps">
            <w:drawing>
              <wp:anchor distT="0" distB="0" distL="114300" distR="114300" simplePos="0" relativeHeight="251662336" behindDoc="0" locked="0" layoutInCell="1" allowOverlap="1" wp14:anchorId="3D4C9C19" wp14:editId="3F0D4752">
                <wp:simplePos x="0" y="0"/>
                <wp:positionH relativeFrom="column">
                  <wp:posOffset>-678180</wp:posOffset>
                </wp:positionH>
                <wp:positionV relativeFrom="paragraph">
                  <wp:posOffset>878205</wp:posOffset>
                </wp:positionV>
                <wp:extent cx="2257425" cy="467995"/>
                <wp:effectExtent l="12700" t="0" r="14605" b="15875"/>
                <wp:wrapNone/>
                <wp:docPr id="16" name="矩形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2257425" cy="467995"/>
                        </a:xfrm>
                        <a:prstGeom prst="rect">
                          <a:avLst/>
                        </a:prstGeom>
                        <a:solidFill>
                          <a:srgbClr val="FFFFFF"/>
                        </a:solidFill>
                        <a:ln w="25400">
                          <a:solidFill>
                            <a:srgbClr val="4F81BD"/>
                          </a:solidFill>
                          <a:miter lim="800000"/>
                        </a:ln>
                      </wps:spPr>
                      <wps:txbx>
                        <w:txbxContent>
                          <w:p w14:paraId="0608D426" w14:textId="77777777" w:rsidR="00165C9E" w:rsidRDefault="00000000">
                            <w:pPr>
                              <w:spacing w:line="120" w:lineRule="auto"/>
                              <w:rPr>
                                <w:rFonts w:cs="宋体"/>
                                <w:sz w:val="24"/>
                                <w:szCs w:val="24"/>
                              </w:rPr>
                            </w:pPr>
                            <w:r>
                              <w:rPr>
                                <w:rFonts w:cs="宋体" w:hint="eastAsia"/>
                                <w:sz w:val="24"/>
                                <w:szCs w:val="24"/>
                              </w:rPr>
                              <w:t>万科企业股份有限公司融资方式</w:t>
                            </w:r>
                          </w:p>
                        </w:txbxContent>
                      </wps:txbx>
                      <wps:bodyPr rot="0" vert="eaVert" wrap="square" lIns="91440" tIns="45720" rIns="91440" bIns="45720" anchor="ctr" anchorCtr="0" upright="1"/>
                    </wps:wsp>
                  </a:graphicData>
                </a:graphic>
              </wp:anchor>
            </w:drawing>
          </mc:Choice>
          <mc:Fallback>
            <w:pict>
              <v:shape id="矩形 33" o:spid="_x0000_s1029" type="#_x0000_t202" style="width:177.75pt;height:36.85pt;margin-top:69.15pt;margin-left:-53.4pt;flip:x;mso-wrap-distance-bottom:0;mso-wrap-distance-left:9pt;mso-wrap-distance-right:9pt;mso-wrap-distance-top:0;position:absolute;rotation:90;v-text-anchor:middle;z-index:251661312" fillcolor="white" stroked="t" strokecolor="#4f81bd" strokeweight="2pt">
                <v:textbox style="layout-flow:vertical-ideographic">
                  <w:txbxContent>
                    <w:p>
                      <w:pPr>
                        <w:spacing w:line="120" w:lineRule="auto"/>
                        <w:rPr>
                          <w:rFonts w:cs="宋体"/>
                          <w:sz w:val="24"/>
                          <w:szCs w:val="24"/>
                        </w:rPr>
                      </w:pPr>
                      <w:r>
                        <w:rPr>
                          <w:rFonts w:cs="宋体" w:hint="eastAsia"/>
                          <w:sz w:val="24"/>
                          <w:szCs w:val="24"/>
                        </w:rPr>
                        <w:t>万科企业股份有限公司融资方式</w:t>
                      </w:r>
                    </w:p>
                  </w:txbxContent>
                </v:textbox>
              </v:shape>
            </w:pict>
          </mc:Fallback>
        </mc:AlternateContent>
      </w:r>
    </w:p>
    <w:p w14:paraId="4D4B48A9" w14:textId="77777777" w:rsidR="00165C9E" w:rsidRDefault="00000000">
      <w:pPr>
        <w:pStyle w:val="af1"/>
        <w:shd w:val="clear" w:color="auto" w:fill="FFFFFF"/>
        <w:spacing w:before="0" w:beforeAutospacing="0" w:after="0" w:afterAutospacing="0"/>
        <w:ind w:firstLine="360"/>
        <w:rPr>
          <w:rFonts w:cs="Times New Roman"/>
          <w:color w:val="000000"/>
          <w:sz w:val="18"/>
          <w:szCs w:val="18"/>
        </w:rPr>
      </w:pPr>
      <w:r>
        <w:rPr>
          <w:noProof/>
        </w:rPr>
        <mc:AlternateContent>
          <mc:Choice Requires="wps">
            <w:drawing>
              <wp:anchor distT="0" distB="0" distL="114300" distR="114300" simplePos="0" relativeHeight="251666432" behindDoc="0" locked="0" layoutInCell="1" allowOverlap="1" wp14:anchorId="7B75DF44" wp14:editId="740322AB">
                <wp:simplePos x="0" y="0"/>
                <wp:positionH relativeFrom="column">
                  <wp:posOffset>1029970</wp:posOffset>
                </wp:positionH>
                <wp:positionV relativeFrom="paragraph">
                  <wp:posOffset>100330</wp:posOffset>
                </wp:positionV>
                <wp:extent cx="890905" cy="620395"/>
                <wp:effectExtent l="12700" t="12700" r="29845" b="14605"/>
                <wp:wrapNone/>
                <wp:docPr id="22" name="圆角矩形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90905" cy="620395"/>
                        </a:xfrm>
                        <a:prstGeom prst="roundRect">
                          <a:avLst>
                            <a:gd name="adj" fmla="val 16667"/>
                          </a:avLst>
                        </a:prstGeom>
                        <a:solidFill>
                          <a:srgbClr val="FFFFFF"/>
                        </a:solidFill>
                        <a:ln w="25400">
                          <a:solidFill>
                            <a:srgbClr val="4F81BD"/>
                          </a:solidFill>
                          <a:round/>
                        </a:ln>
                      </wps:spPr>
                      <wps:txbx>
                        <w:txbxContent>
                          <w:p w14:paraId="1AB7EF80" w14:textId="77777777" w:rsidR="00165C9E" w:rsidRDefault="00000000">
                            <w:pPr>
                              <w:rPr>
                                <w:sz w:val="24"/>
                                <w:szCs w:val="24"/>
                              </w:rPr>
                            </w:pPr>
                            <w:r>
                              <w:rPr>
                                <w:rFonts w:hint="eastAsia"/>
                                <w:sz w:val="24"/>
                                <w:szCs w:val="24"/>
                              </w:rPr>
                              <w:t>内部融资</w:t>
                            </w:r>
                          </w:p>
                        </w:txbxContent>
                      </wps:txbx>
                      <wps:bodyPr rot="0" vert="horz" wrap="square" lIns="91440" tIns="45720" rIns="91440" bIns="45720" anchor="ctr" anchorCtr="0" upright="1"/>
                    </wps:wsp>
                  </a:graphicData>
                </a:graphic>
              </wp:anchor>
            </w:drawing>
          </mc:Choice>
          <mc:Fallback>
            <w:pict>
              <v:roundrect id="圆角矩形 36" o:spid="_x0000_s1030" style="width:70.15pt;height:48.85pt;margin-top:7.9pt;margin-left:81.1pt;mso-wrap-distance-bottom:0;mso-wrap-distance-left:9pt;mso-wrap-distance-right:9pt;mso-wrap-distance-top:0;position:absolute;v-text-anchor:middle;z-index:251665408" arcsize="10923f" fillcolor="white" stroked="t" strokecolor="#4f81bd" strokeweight="2pt">
                <v:stroke joinstyle="round"/>
                <v:textbox>
                  <w:txbxContent>
                    <w:p>
                      <w:pPr>
                        <w:rPr>
                          <w:sz w:val="24"/>
                          <w:szCs w:val="24"/>
                        </w:rPr>
                      </w:pPr>
                      <w:r>
                        <w:rPr>
                          <w:rFonts w:hint="eastAsia"/>
                          <w:sz w:val="24"/>
                          <w:szCs w:val="24"/>
                        </w:rPr>
                        <w:t>内部融资</w:t>
                      </w:r>
                    </w:p>
                  </w:txbxContent>
                </v:textbox>
              </v:roundrect>
            </w:pict>
          </mc:Fallback>
        </mc:AlternateContent>
      </w:r>
      <w:r>
        <w:rPr>
          <w:noProof/>
        </w:rPr>
        <mc:AlternateContent>
          <mc:Choice Requires="wps">
            <w:drawing>
              <wp:anchor distT="0" distB="0" distL="114300" distR="114300" simplePos="0" relativeHeight="251680768" behindDoc="0" locked="0" layoutInCell="1" allowOverlap="1" wp14:anchorId="3755FAC6" wp14:editId="7882531F">
                <wp:simplePos x="0" y="0"/>
                <wp:positionH relativeFrom="column">
                  <wp:posOffset>2164715</wp:posOffset>
                </wp:positionH>
                <wp:positionV relativeFrom="paragraph">
                  <wp:posOffset>10160</wp:posOffset>
                </wp:positionV>
                <wp:extent cx="1187450" cy="318135"/>
                <wp:effectExtent l="12065" t="10160" r="10160" b="5080"/>
                <wp:wrapNone/>
                <wp:docPr id="21" name="矩形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7450" cy="318135"/>
                        </a:xfrm>
                        <a:prstGeom prst="rect">
                          <a:avLst/>
                        </a:prstGeom>
                        <a:solidFill>
                          <a:srgbClr val="FFFFFF"/>
                        </a:solidFill>
                        <a:ln w="9525">
                          <a:solidFill>
                            <a:srgbClr val="4F81BD"/>
                          </a:solidFill>
                          <a:miter lim="800000"/>
                        </a:ln>
                      </wps:spPr>
                      <wps:txbx>
                        <w:txbxContent>
                          <w:p w14:paraId="4B74852D" w14:textId="77777777" w:rsidR="00165C9E" w:rsidRDefault="00000000">
                            <w:pPr>
                              <w:ind w:firstLine="420"/>
                              <w:jc w:val="center"/>
                              <w:rPr>
                                <w:sz w:val="24"/>
                                <w:szCs w:val="24"/>
                              </w:rPr>
                            </w:pPr>
                            <w:r>
                              <w:rPr>
                                <w:rFonts w:hint="eastAsia"/>
                                <w:sz w:val="24"/>
                                <w:szCs w:val="24"/>
                              </w:rPr>
                              <w:t>应收账款</w:t>
                            </w:r>
                          </w:p>
                          <w:p w14:paraId="5025F5EC" w14:textId="77777777" w:rsidR="00165C9E" w:rsidRDefault="00165C9E">
                            <w:pPr>
                              <w:ind w:firstLine="420"/>
                              <w:jc w:val="center"/>
                            </w:pPr>
                          </w:p>
                        </w:txbxContent>
                      </wps:txbx>
                      <wps:bodyPr rot="0" vert="horz" wrap="square" lIns="91440" tIns="45720" rIns="91440" bIns="45720" anchor="ctr" anchorCtr="0" upright="1"/>
                    </wps:wsp>
                  </a:graphicData>
                </a:graphic>
              </wp:anchor>
            </w:drawing>
          </mc:Choice>
          <mc:Fallback>
            <w:pict>
              <v:shape id="矩形 44" o:spid="_x0000_s1031" type="#_x0000_t202" style="width:93.5pt;height:25.05pt;margin-top:0.8pt;margin-left:170.45pt;mso-wrap-distance-bottom:0;mso-wrap-distance-left:9pt;mso-wrap-distance-right:9pt;mso-wrap-distance-top:0;position:absolute;v-text-anchor:middle;z-index:251679744" fillcolor="white" stroked="t" strokecolor="#4f81bd" strokeweight="0.75pt">
                <v:textbox>
                  <w:txbxContent>
                    <w:p>
                      <w:pPr>
                        <w:ind w:firstLine="420"/>
                        <w:jc w:val="center"/>
                        <w:rPr>
                          <w:sz w:val="24"/>
                          <w:szCs w:val="24"/>
                        </w:rPr>
                      </w:pPr>
                      <w:r>
                        <w:rPr>
                          <w:rFonts w:hint="eastAsia"/>
                          <w:sz w:val="24"/>
                          <w:szCs w:val="24"/>
                        </w:rPr>
                        <w:t>应收账款</w:t>
                      </w:r>
                    </w:p>
                    <w:p>
                      <w:pPr>
                        <w:ind w:firstLine="420"/>
                        <w:jc w:val="center"/>
                      </w:pPr>
                    </w:p>
                  </w:txbxContent>
                </v:textbox>
              </v:shape>
            </w:pict>
          </mc:Fallback>
        </mc:AlternateContent>
      </w:r>
      <w:r>
        <w:rPr>
          <w:noProof/>
        </w:rPr>
        <mc:AlternateContent>
          <mc:Choice Requires="wps">
            <w:drawing>
              <wp:anchor distT="0" distB="0" distL="114300" distR="114300" simplePos="0" relativeHeight="251672576" behindDoc="0" locked="0" layoutInCell="1" allowOverlap="1" wp14:anchorId="3ABBBA42" wp14:editId="4EE54254">
                <wp:simplePos x="0" y="0"/>
                <wp:positionH relativeFrom="column">
                  <wp:posOffset>2038985</wp:posOffset>
                </wp:positionH>
                <wp:positionV relativeFrom="paragraph">
                  <wp:posOffset>146050</wp:posOffset>
                </wp:positionV>
                <wp:extent cx="143510" cy="0"/>
                <wp:effectExtent l="10160" t="12700" r="8255" b="6350"/>
                <wp:wrapNone/>
                <wp:docPr id="20" name="直接连接符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3510" cy="0"/>
                        </a:xfrm>
                        <a:prstGeom prst="line">
                          <a:avLst/>
                        </a:prstGeom>
                        <a:noFill/>
                        <a:ln w="9525">
                          <a:solidFill>
                            <a:srgbClr val="4579B8"/>
                          </a:solidFill>
                          <a:round/>
                        </a:ln>
                      </wps:spPr>
                      <wps:bodyPr/>
                    </wps:wsp>
                  </a:graphicData>
                </a:graphic>
              </wp:anchor>
            </w:drawing>
          </mc:Choice>
          <mc:Fallback>
            <w:pict>
              <v:line id="直接连接符 40" o:spid="_x0000_s1032" style="mso-wrap-distance-bottom:0;mso-wrap-distance-left:9pt;mso-wrap-distance-right:9pt;mso-wrap-distance-top:0;position:absolute;v-text-anchor:top;z-index:251671552" from="160.55pt,11.5pt" to="171.85pt,11.5pt" fillcolor="this" stroked="t" strokecolor="#4579b8" strokeweight="0.75pt">
                <v:stroke joinstyle="round"/>
              </v:line>
            </w:pict>
          </mc:Fallback>
        </mc:AlternateContent>
      </w:r>
    </w:p>
    <w:p w14:paraId="5C2F5DD9" w14:textId="77777777" w:rsidR="00165C9E" w:rsidRDefault="00165C9E">
      <w:pPr>
        <w:pStyle w:val="af1"/>
        <w:shd w:val="clear" w:color="auto" w:fill="FFFFFF"/>
        <w:spacing w:before="0" w:beforeAutospacing="0" w:after="0" w:afterAutospacing="0"/>
        <w:ind w:firstLine="360"/>
        <w:rPr>
          <w:rFonts w:cs="Times New Roman"/>
          <w:color w:val="000000"/>
          <w:sz w:val="18"/>
          <w:szCs w:val="18"/>
        </w:rPr>
      </w:pPr>
    </w:p>
    <w:p w14:paraId="20304199" w14:textId="77777777" w:rsidR="00165C9E" w:rsidRDefault="00000000">
      <w:pPr>
        <w:pStyle w:val="af1"/>
        <w:shd w:val="clear" w:color="auto" w:fill="FFFFFF"/>
        <w:spacing w:before="0" w:beforeAutospacing="0" w:after="0" w:afterAutospacing="0"/>
        <w:rPr>
          <w:rFonts w:cs="Times New Roman"/>
          <w:color w:val="000000"/>
          <w:sz w:val="18"/>
          <w:szCs w:val="18"/>
        </w:rPr>
      </w:pPr>
      <w:r>
        <w:rPr>
          <w:noProof/>
        </w:rPr>
        <mc:AlternateContent>
          <mc:Choice Requires="wps">
            <w:drawing>
              <wp:anchor distT="0" distB="0" distL="114300" distR="114300" simplePos="0" relativeHeight="251678720" behindDoc="0" locked="0" layoutInCell="1" allowOverlap="1" wp14:anchorId="4C2E6DE0" wp14:editId="2C3A10A7">
                <wp:simplePos x="0" y="0"/>
                <wp:positionH relativeFrom="column">
                  <wp:posOffset>2140585</wp:posOffset>
                </wp:positionH>
                <wp:positionV relativeFrom="paragraph">
                  <wp:posOffset>11430</wp:posOffset>
                </wp:positionV>
                <wp:extent cx="1179830" cy="318135"/>
                <wp:effectExtent l="6985" t="11430" r="13335" b="13335"/>
                <wp:wrapNone/>
                <wp:docPr id="19" name="矩形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79830" cy="318135"/>
                        </a:xfrm>
                        <a:prstGeom prst="rect">
                          <a:avLst/>
                        </a:prstGeom>
                        <a:solidFill>
                          <a:srgbClr val="FFFFFF"/>
                        </a:solidFill>
                        <a:ln w="9525">
                          <a:solidFill>
                            <a:srgbClr val="4F81BD"/>
                          </a:solidFill>
                          <a:miter lim="800000"/>
                        </a:ln>
                      </wps:spPr>
                      <wps:txbx>
                        <w:txbxContent>
                          <w:p w14:paraId="665364F9" w14:textId="77777777" w:rsidR="00165C9E" w:rsidRDefault="00000000">
                            <w:pPr>
                              <w:ind w:firstLine="420"/>
                              <w:jc w:val="center"/>
                            </w:pPr>
                            <w:r>
                              <w:rPr>
                                <w:rFonts w:hint="eastAsia"/>
                                <w:sz w:val="24"/>
                                <w:szCs w:val="24"/>
                              </w:rPr>
                              <w:t>其他速动资</w:t>
                            </w:r>
                            <w:r>
                              <w:rPr>
                                <w:rFonts w:hint="eastAsia"/>
                              </w:rPr>
                              <w:t>产</w:t>
                            </w:r>
                          </w:p>
                          <w:p w14:paraId="28558C02" w14:textId="77777777" w:rsidR="00165C9E" w:rsidRDefault="00165C9E">
                            <w:pPr>
                              <w:ind w:firstLine="420"/>
                              <w:jc w:val="center"/>
                            </w:pPr>
                          </w:p>
                        </w:txbxContent>
                      </wps:txbx>
                      <wps:bodyPr rot="0" vert="horz" wrap="square" lIns="91440" tIns="45720" rIns="91440" bIns="45720" anchor="ctr" anchorCtr="0" upright="1"/>
                    </wps:wsp>
                  </a:graphicData>
                </a:graphic>
              </wp:anchor>
            </w:drawing>
          </mc:Choice>
          <mc:Fallback>
            <w:pict>
              <v:shape id="矩形 43" o:spid="_x0000_s1033" type="#_x0000_t202" style="width:92.9pt;height:25.05pt;margin-top:0.9pt;margin-left:168.55pt;mso-wrap-distance-bottom:0;mso-wrap-distance-left:9pt;mso-wrap-distance-right:9pt;mso-wrap-distance-top:0;position:absolute;v-text-anchor:middle;z-index:251677696" fillcolor="white" stroked="t" strokecolor="#4f81bd" strokeweight="0.75pt">
                <v:textbox>
                  <w:txbxContent>
                    <w:p>
                      <w:pPr>
                        <w:ind w:firstLine="420"/>
                        <w:jc w:val="center"/>
                      </w:pPr>
                      <w:r>
                        <w:rPr>
                          <w:rFonts w:hint="eastAsia"/>
                          <w:sz w:val="24"/>
                          <w:szCs w:val="24"/>
                        </w:rPr>
                        <w:t>其他速动资</w:t>
                      </w:r>
                      <w:r>
                        <w:rPr>
                          <w:rFonts w:hint="eastAsia"/>
                        </w:rPr>
                        <w:t>产</w:t>
                      </w:r>
                    </w:p>
                    <w:p>
                      <w:pPr>
                        <w:ind w:firstLine="420"/>
                        <w:jc w:val="center"/>
                      </w:pP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4A9DAE2F" wp14:editId="1E3020E9">
                <wp:simplePos x="0" y="0"/>
                <wp:positionH relativeFrom="column">
                  <wp:posOffset>831850</wp:posOffset>
                </wp:positionH>
                <wp:positionV relativeFrom="paragraph">
                  <wp:posOffset>12065</wp:posOffset>
                </wp:positionV>
                <wp:extent cx="247015" cy="1115695"/>
                <wp:effectExtent l="12700" t="12065" r="16510" b="15240"/>
                <wp:wrapNone/>
                <wp:docPr id="18" name="左大括号 34"/>
                <wp:cNvGraphicFramePr/>
                <a:graphic xmlns:a="http://schemas.openxmlformats.org/drawingml/2006/main">
                  <a:graphicData uri="http://schemas.microsoft.com/office/word/2010/wordprocessingShape">
                    <wps:wsp>
                      <wps:cNvSpPr/>
                      <wps:spPr bwMode="auto">
                        <a:xfrm>
                          <a:off x="0" y="0"/>
                          <a:ext cx="247015" cy="1115695"/>
                        </a:xfrm>
                        <a:prstGeom prst="leftBrace">
                          <a:avLst>
                            <a:gd name="adj1" fmla="val 8322"/>
                            <a:gd name="adj2" fmla="val 50000"/>
                          </a:avLst>
                        </a:prstGeom>
                        <a:noFill/>
                        <a:ln w="19050">
                          <a:solidFill>
                            <a:srgbClr val="4579B8"/>
                          </a:solidFill>
                          <a:round/>
                        </a:ln>
                      </wps:spPr>
                      <wps:bodyPr rot="0" vert="horz" wrap="square" lIns="91440" tIns="45720" rIns="91440" bIns="45720" anchor="ctr" anchorCtr="0" upright="1"/>
                    </wps:wsp>
                  </a:graphicData>
                </a:graphic>
              </wp:anchor>
            </w:drawing>
          </mc:Choice>
          <mc:Fallback>
            <w:pict>
              <v:shape id="左大括号 34" o:spid="_x0000_s1034" type="#_x0000_t87" style="width:19.45pt;height:87.85pt;margin-top:0.95pt;margin-left:65.5pt;mso-wrap-distance-bottom:0;mso-wrap-distance-left:9pt;mso-wrap-distance-right:9pt;mso-wrap-distance-top:0;position:absolute;v-text-anchor:middle;z-index:251663360" filled="t" fillcolor="this" stroked="t" strokecolor="#4579b8" strokeweight="1.5pt">
                <v:stroke joinstyle="round"/>
              </v:shape>
            </w:pict>
          </mc:Fallback>
        </mc:AlternateContent>
      </w:r>
      <w:r>
        <w:rPr>
          <w:noProof/>
        </w:rPr>
        <mc:AlternateContent>
          <mc:Choice Requires="wps">
            <w:drawing>
              <wp:anchor distT="0" distB="0" distL="114300" distR="114300" simplePos="0" relativeHeight="251674624" behindDoc="0" locked="0" layoutInCell="1" allowOverlap="1" wp14:anchorId="376B4A56" wp14:editId="2A0F87DB">
                <wp:simplePos x="0" y="0"/>
                <wp:positionH relativeFrom="column">
                  <wp:posOffset>2038985</wp:posOffset>
                </wp:positionH>
                <wp:positionV relativeFrom="paragraph">
                  <wp:posOffset>167640</wp:posOffset>
                </wp:positionV>
                <wp:extent cx="152400" cy="0"/>
                <wp:effectExtent l="10160" t="5715" r="8890" b="13335"/>
                <wp:wrapNone/>
                <wp:docPr id="17" name="直接连接符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 cy="0"/>
                        </a:xfrm>
                        <a:prstGeom prst="line">
                          <a:avLst/>
                        </a:prstGeom>
                        <a:noFill/>
                        <a:ln w="9525">
                          <a:solidFill>
                            <a:srgbClr val="4579B8"/>
                          </a:solidFill>
                          <a:round/>
                        </a:ln>
                      </wps:spPr>
                      <wps:bodyPr/>
                    </wps:wsp>
                  </a:graphicData>
                </a:graphic>
              </wp:anchor>
            </w:drawing>
          </mc:Choice>
          <mc:Fallback>
            <w:pict>
              <v:line id="直接连接符 41" o:spid="_x0000_s1035" style="mso-wrap-distance-bottom:0;mso-wrap-distance-left:9pt;mso-wrap-distance-right:9pt;mso-wrap-distance-top:0;position:absolute;v-text-anchor:top;z-index:251673600" from="160.55pt,13.2pt" to="172.55pt,13.2pt" fillcolor="this" stroked="t" strokecolor="#4579b8" strokeweight="0.75pt">
                <v:stroke joinstyle="round"/>
              </v:line>
            </w:pict>
          </mc:Fallback>
        </mc:AlternateContent>
      </w:r>
    </w:p>
    <w:p w14:paraId="76515668" w14:textId="77777777" w:rsidR="00165C9E" w:rsidRDefault="00165C9E">
      <w:pPr>
        <w:ind w:left="420" w:firstLine="420"/>
        <w:rPr>
          <w:rFonts w:ascii="宋体"/>
        </w:rPr>
      </w:pPr>
    </w:p>
    <w:p w14:paraId="296CCD18" w14:textId="77777777" w:rsidR="00165C9E" w:rsidRDefault="00000000">
      <w:pPr>
        <w:ind w:left="420" w:firstLine="420"/>
        <w:rPr>
          <w:rFonts w:ascii="宋体"/>
        </w:rPr>
      </w:pPr>
      <w:r>
        <w:rPr>
          <w:noProof/>
        </w:rPr>
        <mc:AlternateContent>
          <mc:Choice Requires="wps">
            <w:drawing>
              <wp:anchor distT="0" distB="0" distL="114300" distR="114300" simplePos="0" relativeHeight="251682816" behindDoc="0" locked="0" layoutInCell="1" allowOverlap="1" wp14:anchorId="30DBA265" wp14:editId="74F1BB41">
                <wp:simplePos x="0" y="0"/>
                <wp:positionH relativeFrom="column">
                  <wp:posOffset>2148840</wp:posOffset>
                </wp:positionH>
                <wp:positionV relativeFrom="paragraph">
                  <wp:posOffset>5715</wp:posOffset>
                </wp:positionV>
                <wp:extent cx="1243330" cy="325755"/>
                <wp:effectExtent l="5715" t="5715" r="8255" b="11430"/>
                <wp:wrapNone/>
                <wp:docPr id="15" name="矩形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43330" cy="325755"/>
                        </a:xfrm>
                        <a:prstGeom prst="rect">
                          <a:avLst/>
                        </a:prstGeom>
                        <a:solidFill>
                          <a:srgbClr val="FFFFFF"/>
                        </a:solidFill>
                        <a:ln w="9525">
                          <a:solidFill>
                            <a:srgbClr val="4F81BD"/>
                          </a:solidFill>
                          <a:miter lim="800000"/>
                        </a:ln>
                      </wps:spPr>
                      <wps:txbx>
                        <w:txbxContent>
                          <w:p w14:paraId="2A3C848A" w14:textId="77777777" w:rsidR="00165C9E" w:rsidRDefault="00000000">
                            <w:pPr>
                              <w:ind w:firstLine="420"/>
                              <w:jc w:val="center"/>
                              <w:rPr>
                                <w:sz w:val="24"/>
                                <w:szCs w:val="24"/>
                              </w:rPr>
                            </w:pPr>
                            <w:r>
                              <w:rPr>
                                <w:rFonts w:cs="宋体" w:hint="eastAsia"/>
                                <w:sz w:val="24"/>
                                <w:szCs w:val="24"/>
                              </w:rPr>
                              <w:t>预收账款</w:t>
                            </w:r>
                          </w:p>
                          <w:p w14:paraId="6EB56830" w14:textId="77777777" w:rsidR="00165C9E" w:rsidRDefault="00165C9E">
                            <w:pPr>
                              <w:ind w:firstLine="420"/>
                              <w:jc w:val="center"/>
                            </w:pPr>
                          </w:p>
                        </w:txbxContent>
                      </wps:txbx>
                      <wps:bodyPr rot="0" vert="horz" wrap="square" lIns="91440" tIns="45720" rIns="91440" bIns="45720" anchor="ctr" anchorCtr="0" upright="1"/>
                    </wps:wsp>
                  </a:graphicData>
                </a:graphic>
              </wp:anchor>
            </w:drawing>
          </mc:Choice>
          <mc:Fallback>
            <w:pict>
              <v:shape id="矩形 45" o:spid="_x0000_s1036" type="#_x0000_t202" style="width:97.9pt;height:25.65pt;margin-top:0.45pt;margin-left:169.2pt;mso-wrap-distance-bottom:0;mso-wrap-distance-left:9pt;mso-wrap-distance-right:9pt;mso-wrap-distance-top:0;position:absolute;v-text-anchor:middle;z-index:251681792" fillcolor="white" stroked="t" strokecolor="#4f81bd" strokeweight="0.75pt">
                <v:textbox>
                  <w:txbxContent>
                    <w:p>
                      <w:pPr>
                        <w:ind w:firstLine="420"/>
                        <w:jc w:val="center"/>
                        <w:rPr>
                          <w:sz w:val="24"/>
                          <w:szCs w:val="24"/>
                        </w:rPr>
                      </w:pPr>
                      <w:r>
                        <w:rPr>
                          <w:rFonts w:cs="宋体" w:hint="eastAsia"/>
                          <w:sz w:val="24"/>
                          <w:szCs w:val="24"/>
                        </w:rPr>
                        <w:t>预收账款</w:t>
                      </w:r>
                    </w:p>
                    <w:p>
                      <w:pPr>
                        <w:ind w:firstLine="420"/>
                        <w:jc w:val="center"/>
                      </w:pPr>
                    </w:p>
                  </w:txbxContent>
                </v:textbox>
              </v:shape>
            </w:pict>
          </mc:Fallback>
        </mc:AlternateContent>
      </w:r>
    </w:p>
    <w:p w14:paraId="4E04C831" w14:textId="77777777" w:rsidR="00165C9E" w:rsidRDefault="00000000">
      <w:pPr>
        <w:ind w:left="420" w:firstLine="420"/>
        <w:rPr>
          <w:rFonts w:ascii="宋体"/>
        </w:rPr>
      </w:pPr>
      <w:r>
        <w:rPr>
          <w:noProof/>
        </w:rPr>
        <mc:AlternateContent>
          <mc:Choice Requires="wps">
            <w:drawing>
              <wp:anchor distT="0" distB="0" distL="114300" distR="114300" simplePos="0" relativeHeight="251695104" behindDoc="0" locked="0" layoutInCell="1" allowOverlap="1" wp14:anchorId="78A9A026" wp14:editId="1E71D575">
                <wp:simplePos x="0" y="0"/>
                <wp:positionH relativeFrom="column">
                  <wp:posOffset>3531870</wp:posOffset>
                </wp:positionH>
                <wp:positionV relativeFrom="paragraph">
                  <wp:posOffset>191135</wp:posOffset>
                </wp:positionV>
                <wp:extent cx="2273935" cy="357505"/>
                <wp:effectExtent l="0" t="0" r="12700" b="23495"/>
                <wp:wrapNone/>
                <wp:docPr id="14" name="矩形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73935" cy="357505"/>
                        </a:xfrm>
                        <a:prstGeom prst="rect">
                          <a:avLst/>
                        </a:prstGeom>
                        <a:solidFill>
                          <a:srgbClr val="FFFFFF"/>
                        </a:solidFill>
                        <a:ln w="9525">
                          <a:solidFill>
                            <a:srgbClr val="4F81BD"/>
                          </a:solidFill>
                          <a:miter lim="800000"/>
                        </a:ln>
                      </wps:spPr>
                      <wps:txbx>
                        <w:txbxContent>
                          <w:p w14:paraId="6203853E" w14:textId="77777777" w:rsidR="00165C9E" w:rsidRDefault="00000000">
                            <w:pPr>
                              <w:rPr>
                                <w:rFonts w:asciiTheme="minorEastAsia" w:eastAsiaTheme="minorEastAsia" w:hAnsiTheme="minorEastAsia"/>
                                <w:sz w:val="24"/>
                                <w:szCs w:val="24"/>
                              </w:rPr>
                            </w:pPr>
                            <w:r>
                              <w:rPr>
                                <w:rFonts w:asciiTheme="minorEastAsia" w:eastAsiaTheme="minorEastAsia" w:hAnsiTheme="minorEastAsia"/>
                                <w:sz w:val="24"/>
                                <w:szCs w:val="24"/>
                              </w:rPr>
                              <w:t>IPO</w:t>
                            </w:r>
                            <w:r>
                              <w:rPr>
                                <w:rFonts w:asciiTheme="minorEastAsia" w:eastAsiaTheme="minorEastAsia" w:hAnsiTheme="minorEastAsia" w:cs="宋体" w:hint="eastAsia"/>
                                <w:sz w:val="24"/>
                                <w:szCs w:val="24"/>
                              </w:rPr>
                              <w:t>、配股、增发、信托基金</w:t>
                            </w:r>
                          </w:p>
                          <w:p w14:paraId="3C1B79EF" w14:textId="77777777" w:rsidR="00165C9E" w:rsidRDefault="00165C9E">
                            <w:pPr>
                              <w:ind w:firstLine="420"/>
                              <w:jc w:val="center"/>
                            </w:pPr>
                          </w:p>
                        </w:txbxContent>
                      </wps:txbx>
                      <wps:bodyPr rot="0" vert="horz" wrap="square" lIns="91440" tIns="45720" rIns="91440" bIns="45720" anchor="ctr" anchorCtr="0" upright="1"/>
                    </wps:wsp>
                  </a:graphicData>
                </a:graphic>
              </wp:anchor>
            </w:drawing>
          </mc:Choice>
          <mc:Fallback>
            <w:pict>
              <v:shape id="矩形 53" o:spid="_x0000_s1037" type="#_x0000_t202" style="width:179.05pt;height:28.15pt;margin-top:15.05pt;margin-left:278.1pt;mso-wrap-distance-bottom:0;mso-wrap-distance-left:9pt;mso-wrap-distance-right:9pt;mso-wrap-distance-top:0;position:absolute;v-text-anchor:middle;z-index:251694080" fillcolor="white" stroked="t" strokecolor="#4f81bd" strokeweight="0.75pt">
                <v:textbox>
                  <w:txbxContent>
                    <w:p>
                      <w:pPr>
                        <w:rPr>
                          <w:rFonts w:asciiTheme="minorEastAsia" w:eastAsiaTheme="minorEastAsia" w:hAnsiTheme="minorEastAsia"/>
                          <w:sz w:val="24"/>
                          <w:szCs w:val="24"/>
                        </w:rPr>
                      </w:pPr>
                      <w:r>
                        <w:rPr>
                          <w:rFonts w:asciiTheme="minorEastAsia" w:eastAsiaTheme="minorEastAsia" w:hAnsiTheme="minorEastAsia"/>
                          <w:sz w:val="24"/>
                          <w:szCs w:val="24"/>
                        </w:rPr>
                        <w:t>IPO</w:t>
                      </w:r>
                      <w:r>
                        <w:rPr>
                          <w:rFonts w:asciiTheme="minorEastAsia" w:eastAsiaTheme="minorEastAsia" w:hAnsiTheme="minorEastAsia" w:cs="宋体" w:hint="eastAsia"/>
                          <w:sz w:val="24"/>
                          <w:szCs w:val="24"/>
                        </w:rPr>
                        <w:t>、配股、增发、信托基金</w:t>
                      </w:r>
                    </w:p>
                    <w:p>
                      <w:pPr>
                        <w:ind w:firstLine="420"/>
                        <w:jc w:val="center"/>
                      </w:pPr>
                    </w:p>
                  </w:txbxContent>
                </v:textbox>
              </v:shape>
            </w:pict>
          </mc:Fallback>
        </mc:AlternateContent>
      </w:r>
    </w:p>
    <w:p w14:paraId="2880DBAA" w14:textId="77777777" w:rsidR="00165C9E" w:rsidRDefault="00000000">
      <w:pPr>
        <w:ind w:left="420" w:firstLine="420"/>
        <w:rPr>
          <w:rFonts w:ascii="宋体"/>
        </w:rPr>
      </w:pPr>
      <w:r>
        <w:rPr>
          <w:noProof/>
        </w:rPr>
        <mc:AlternateContent>
          <mc:Choice Requires="wps">
            <w:drawing>
              <wp:anchor distT="0" distB="0" distL="114300" distR="114300" simplePos="0" relativeHeight="251668480" behindDoc="0" locked="0" layoutInCell="1" allowOverlap="1" wp14:anchorId="1016A287" wp14:editId="4F65D149">
                <wp:simplePos x="0" y="0"/>
                <wp:positionH relativeFrom="column">
                  <wp:posOffset>1022350</wp:posOffset>
                </wp:positionH>
                <wp:positionV relativeFrom="paragraph">
                  <wp:posOffset>120015</wp:posOffset>
                </wp:positionV>
                <wp:extent cx="899160" cy="603885"/>
                <wp:effectExtent l="12700" t="12700" r="21590" b="31115"/>
                <wp:wrapNone/>
                <wp:docPr id="10" name="圆角矩形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99160" cy="603885"/>
                        </a:xfrm>
                        <a:prstGeom prst="roundRect">
                          <a:avLst>
                            <a:gd name="adj" fmla="val 16667"/>
                          </a:avLst>
                        </a:prstGeom>
                        <a:solidFill>
                          <a:srgbClr val="FFFFFF"/>
                        </a:solidFill>
                        <a:ln w="25400">
                          <a:solidFill>
                            <a:srgbClr val="4F81BD"/>
                          </a:solidFill>
                          <a:round/>
                        </a:ln>
                      </wps:spPr>
                      <wps:txbx>
                        <w:txbxContent>
                          <w:p w14:paraId="75339739" w14:textId="77777777" w:rsidR="00165C9E" w:rsidRDefault="00000000">
                            <w:pPr>
                              <w:rPr>
                                <w:sz w:val="24"/>
                                <w:szCs w:val="24"/>
                              </w:rPr>
                            </w:pPr>
                            <w:r>
                              <w:rPr>
                                <w:rFonts w:cs="宋体" w:hint="eastAsia"/>
                                <w:sz w:val="24"/>
                                <w:szCs w:val="24"/>
                              </w:rPr>
                              <w:t>外部融资</w:t>
                            </w:r>
                          </w:p>
                        </w:txbxContent>
                      </wps:txbx>
                      <wps:bodyPr rot="0" vert="horz" wrap="square" lIns="91440" tIns="45720" rIns="91440" bIns="45720" anchor="ctr" anchorCtr="0" upright="1"/>
                    </wps:wsp>
                  </a:graphicData>
                </a:graphic>
              </wp:anchor>
            </w:drawing>
          </mc:Choice>
          <mc:Fallback>
            <w:pict>
              <v:roundrect id="圆角矩形 37" o:spid="_x0000_s1038" style="width:70.8pt;height:47.55pt;margin-top:9.45pt;margin-left:80.5pt;mso-wrap-distance-bottom:0;mso-wrap-distance-left:9pt;mso-wrap-distance-right:9pt;mso-wrap-distance-top:0;position:absolute;v-text-anchor:middle;z-index:251667456" arcsize="10923f" fillcolor="white" stroked="t" strokecolor="#4f81bd" strokeweight="2pt">
                <v:stroke joinstyle="round"/>
                <v:textbox>
                  <w:txbxContent>
                    <w:p>
                      <w:pPr>
                        <w:rPr>
                          <w:sz w:val="24"/>
                          <w:szCs w:val="24"/>
                        </w:rPr>
                      </w:pPr>
                      <w:r>
                        <w:rPr>
                          <w:rFonts w:cs="宋体" w:hint="eastAsia"/>
                          <w:sz w:val="24"/>
                          <w:szCs w:val="24"/>
                        </w:rPr>
                        <w:t>外部融资</w:t>
                      </w:r>
                    </w:p>
                  </w:txbxContent>
                </v:textbox>
              </v:roundrect>
            </w:pict>
          </mc:Fallback>
        </mc:AlternateContent>
      </w:r>
      <w:r>
        <w:rPr>
          <w:noProof/>
        </w:rPr>
        <mc:AlternateContent>
          <mc:Choice Requires="wps">
            <w:drawing>
              <wp:anchor distT="0" distB="0" distL="114300" distR="114300" simplePos="0" relativeHeight="251686912" behindDoc="0" locked="0" layoutInCell="1" allowOverlap="1" wp14:anchorId="101AB8DC" wp14:editId="6C329381">
                <wp:simplePos x="0" y="0"/>
                <wp:positionH relativeFrom="column">
                  <wp:posOffset>2140585</wp:posOffset>
                </wp:positionH>
                <wp:positionV relativeFrom="paragraph">
                  <wp:posOffset>41275</wp:posOffset>
                </wp:positionV>
                <wp:extent cx="1243330" cy="357505"/>
                <wp:effectExtent l="6985" t="12700" r="6985" b="10795"/>
                <wp:wrapNone/>
                <wp:docPr id="13" name="矩形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43330" cy="357505"/>
                        </a:xfrm>
                        <a:prstGeom prst="rect">
                          <a:avLst/>
                        </a:prstGeom>
                        <a:solidFill>
                          <a:srgbClr val="FFFFFF"/>
                        </a:solidFill>
                        <a:ln w="9525">
                          <a:solidFill>
                            <a:srgbClr val="4F81BD"/>
                          </a:solidFill>
                          <a:miter lim="800000"/>
                        </a:ln>
                      </wps:spPr>
                      <wps:txbx>
                        <w:txbxContent>
                          <w:p w14:paraId="656ADC35" w14:textId="77777777" w:rsidR="00165C9E" w:rsidRDefault="00000000">
                            <w:pPr>
                              <w:ind w:firstLine="420"/>
                              <w:jc w:val="center"/>
                              <w:rPr>
                                <w:sz w:val="24"/>
                                <w:szCs w:val="24"/>
                              </w:rPr>
                            </w:pPr>
                            <w:r>
                              <w:rPr>
                                <w:rFonts w:cs="宋体" w:hint="eastAsia"/>
                                <w:sz w:val="24"/>
                                <w:szCs w:val="24"/>
                              </w:rPr>
                              <w:t>股权融资</w:t>
                            </w:r>
                          </w:p>
                          <w:p w14:paraId="4F8EB944" w14:textId="77777777" w:rsidR="00165C9E" w:rsidRDefault="00165C9E">
                            <w:pPr>
                              <w:ind w:firstLine="420"/>
                              <w:jc w:val="center"/>
                            </w:pPr>
                          </w:p>
                        </w:txbxContent>
                      </wps:txbx>
                      <wps:bodyPr rot="0" vert="horz" wrap="square" lIns="91440" tIns="45720" rIns="91440" bIns="45720" anchor="ctr" anchorCtr="0" upright="1"/>
                    </wps:wsp>
                  </a:graphicData>
                </a:graphic>
              </wp:anchor>
            </w:drawing>
          </mc:Choice>
          <mc:Fallback>
            <w:pict>
              <v:shape id="矩形 48" o:spid="_x0000_s1039" type="#_x0000_t202" style="width:97.9pt;height:28.15pt;margin-top:3.25pt;margin-left:168.55pt;mso-wrap-distance-bottom:0;mso-wrap-distance-left:9pt;mso-wrap-distance-right:9pt;mso-wrap-distance-top:0;position:absolute;v-text-anchor:middle;z-index:251685888" fillcolor="white" stroked="t" strokecolor="#4f81bd" strokeweight="0.75pt">
                <v:textbox>
                  <w:txbxContent>
                    <w:p>
                      <w:pPr>
                        <w:ind w:firstLine="420"/>
                        <w:jc w:val="center"/>
                        <w:rPr>
                          <w:sz w:val="24"/>
                          <w:szCs w:val="24"/>
                        </w:rPr>
                      </w:pPr>
                      <w:r>
                        <w:rPr>
                          <w:rFonts w:cs="宋体" w:hint="eastAsia"/>
                          <w:sz w:val="24"/>
                          <w:szCs w:val="24"/>
                        </w:rPr>
                        <w:t>股权融资</w:t>
                      </w:r>
                    </w:p>
                    <w:p>
                      <w:pPr>
                        <w:ind w:firstLine="420"/>
                        <w:jc w:val="center"/>
                      </w:pPr>
                    </w:p>
                  </w:txbxContent>
                </v:textbox>
              </v:shape>
            </w:pict>
          </mc:Fallback>
        </mc:AlternateContent>
      </w:r>
      <w:r>
        <w:rPr>
          <w:noProof/>
        </w:rPr>
        <mc:AlternateContent>
          <mc:Choice Requires="wps">
            <w:drawing>
              <wp:anchor distT="0" distB="0" distL="114300" distR="114300" simplePos="0" relativeHeight="251691008" behindDoc="0" locked="0" layoutInCell="1" allowOverlap="1" wp14:anchorId="6B51B5EB" wp14:editId="38BCF487">
                <wp:simplePos x="0" y="0"/>
                <wp:positionH relativeFrom="column">
                  <wp:posOffset>3383280</wp:posOffset>
                </wp:positionH>
                <wp:positionV relativeFrom="paragraph">
                  <wp:posOffset>161290</wp:posOffset>
                </wp:positionV>
                <wp:extent cx="154940" cy="0"/>
                <wp:effectExtent l="11430" t="75565" r="14605" b="76835"/>
                <wp:wrapNone/>
                <wp:docPr id="12" name="直接箭头连接符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4940" cy="0"/>
                        </a:xfrm>
                        <a:prstGeom prst="straightConnector1">
                          <a:avLst/>
                        </a:prstGeom>
                        <a:noFill/>
                        <a:ln w="9525">
                          <a:solidFill>
                            <a:srgbClr val="4579B8"/>
                          </a:solidFill>
                          <a:round/>
                          <a:tailEnd type="arrow"/>
                        </a:ln>
                      </wps:spPr>
                      <wps:bodyPr/>
                    </wps:wsp>
                  </a:graphicData>
                </a:graphic>
              </wp:anchor>
            </w:drawing>
          </mc:Choice>
          <mc:Fallback>
            <w:pict>
              <v:shapetype id="_x0000_t32" coordsize="21600,21600" o:spt="32" o:oned="t" path="m,l21600,21600e" filled="f">
                <v:path arrowok="t" fillok="f" o:connecttype="none"/>
                <o:lock v:ext="edit" shapetype="t"/>
              </v:shapetype>
              <v:shape id="直接箭头连接符 51" o:spid="_x0000_s1040" type="#_x0000_t32" style="width:12.2pt;height:0;margin-top:12.7pt;margin-left:266.4pt;mso-wrap-distance-bottom:0;mso-wrap-distance-left:9pt;mso-wrap-distance-right:9pt;mso-wrap-distance-top:0;position:absolute;v-text-anchor:top;z-index:251689984" filled="f" fillcolor="this" stroked="t" strokecolor="#4579b8" strokeweight="0.75pt">
                <v:stroke joinstyle="round" endarrow="open"/>
              </v:shape>
            </w:pict>
          </mc:Fallback>
        </mc:AlternateContent>
      </w:r>
      <w:r>
        <w:rPr>
          <w:noProof/>
        </w:rPr>
        <mc:AlternateContent>
          <mc:Choice Requires="wps">
            <w:drawing>
              <wp:anchor distT="0" distB="0" distL="114300" distR="114300" simplePos="0" relativeHeight="251684864" behindDoc="0" locked="0" layoutInCell="1" allowOverlap="1" wp14:anchorId="43FDB822" wp14:editId="778DC910">
                <wp:simplePos x="0" y="0"/>
                <wp:positionH relativeFrom="column">
                  <wp:posOffset>1869440</wp:posOffset>
                </wp:positionH>
                <wp:positionV relativeFrom="paragraph">
                  <wp:posOffset>161290</wp:posOffset>
                </wp:positionV>
                <wp:extent cx="241935" cy="494030"/>
                <wp:effectExtent l="12065" t="8890" r="12700" b="11430"/>
                <wp:wrapNone/>
                <wp:docPr id="11" name="左大括号 46"/>
                <wp:cNvGraphicFramePr/>
                <a:graphic xmlns:a="http://schemas.openxmlformats.org/drawingml/2006/main">
                  <a:graphicData uri="http://schemas.microsoft.com/office/word/2010/wordprocessingShape">
                    <wps:wsp>
                      <wps:cNvSpPr/>
                      <wps:spPr bwMode="auto">
                        <a:xfrm>
                          <a:off x="0" y="0"/>
                          <a:ext cx="241935" cy="494030"/>
                        </a:xfrm>
                        <a:prstGeom prst="leftBrace">
                          <a:avLst>
                            <a:gd name="adj1" fmla="val 8338"/>
                            <a:gd name="adj2" fmla="val 50000"/>
                          </a:avLst>
                        </a:prstGeom>
                        <a:noFill/>
                        <a:ln w="9525">
                          <a:solidFill>
                            <a:srgbClr val="4579B8"/>
                          </a:solidFill>
                          <a:round/>
                        </a:ln>
                      </wps:spPr>
                      <wps:bodyPr rot="0" vert="horz" wrap="square" lIns="91440" tIns="45720" rIns="91440" bIns="45720" anchor="ctr" anchorCtr="0" upright="1"/>
                    </wps:wsp>
                  </a:graphicData>
                </a:graphic>
              </wp:anchor>
            </w:drawing>
          </mc:Choice>
          <mc:Fallback>
            <w:pict>
              <v:shape id="左大括号 46" o:spid="_x0000_s1041" type="#_x0000_t87" style="width:19.05pt;height:38.9pt;margin-top:12.7pt;margin-left:147.2pt;mso-wrap-distance-bottom:0;mso-wrap-distance-left:9pt;mso-wrap-distance-right:9pt;mso-wrap-distance-top:0;position:absolute;v-text-anchor:middle;z-index:251683840" filled="t" fillcolor="this" stroked="t" strokecolor="#4579b8" strokeweight="0.75pt">
                <v:stroke joinstyle="round"/>
              </v:shape>
            </w:pict>
          </mc:Fallback>
        </mc:AlternateContent>
      </w:r>
    </w:p>
    <w:p w14:paraId="7277D6C1" w14:textId="77777777" w:rsidR="00165C9E" w:rsidRDefault="00165C9E">
      <w:pPr>
        <w:ind w:left="420" w:firstLine="420"/>
        <w:rPr>
          <w:rFonts w:ascii="宋体"/>
        </w:rPr>
      </w:pPr>
    </w:p>
    <w:p w14:paraId="7A76ADAF" w14:textId="77777777" w:rsidR="00165C9E" w:rsidRDefault="00000000">
      <w:pPr>
        <w:ind w:left="420" w:firstLine="420"/>
        <w:rPr>
          <w:rFonts w:ascii="宋体"/>
        </w:rPr>
      </w:pPr>
      <w:r>
        <w:rPr>
          <w:noProof/>
        </w:rPr>
        <mc:AlternateContent>
          <mc:Choice Requires="wps">
            <w:drawing>
              <wp:anchor distT="0" distB="0" distL="114300" distR="114300" simplePos="0" relativeHeight="251697152" behindDoc="0" locked="0" layoutInCell="1" allowOverlap="1" wp14:anchorId="15676D6A" wp14:editId="3BDD4610">
                <wp:simplePos x="0" y="0"/>
                <wp:positionH relativeFrom="column">
                  <wp:posOffset>3540125</wp:posOffset>
                </wp:positionH>
                <wp:positionV relativeFrom="paragraph">
                  <wp:posOffset>121920</wp:posOffset>
                </wp:positionV>
                <wp:extent cx="2266315" cy="325755"/>
                <wp:effectExtent l="0" t="0" r="20320" b="17145"/>
                <wp:wrapNone/>
                <wp:docPr id="9" name="矩形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66315" cy="325755"/>
                        </a:xfrm>
                        <a:prstGeom prst="rect">
                          <a:avLst/>
                        </a:prstGeom>
                        <a:solidFill>
                          <a:srgbClr val="FFFFFF"/>
                        </a:solidFill>
                        <a:ln w="9525">
                          <a:solidFill>
                            <a:srgbClr val="4F81BD"/>
                          </a:solidFill>
                          <a:miter lim="800000"/>
                        </a:ln>
                      </wps:spPr>
                      <wps:txbx>
                        <w:txbxContent>
                          <w:p w14:paraId="3AF1058C" w14:textId="77777777" w:rsidR="00165C9E" w:rsidRDefault="00000000">
                            <w:pPr>
                              <w:rPr>
                                <w:rFonts w:asciiTheme="minorEastAsia" w:eastAsiaTheme="minorEastAsia" w:hAnsiTheme="minorEastAsia"/>
                                <w:sz w:val="24"/>
                                <w:szCs w:val="24"/>
                              </w:rPr>
                            </w:pPr>
                            <w:r>
                              <w:rPr>
                                <w:rFonts w:asciiTheme="minorEastAsia" w:eastAsiaTheme="minorEastAsia" w:hAnsiTheme="minorEastAsia" w:cs="宋体" w:hint="eastAsia"/>
                                <w:sz w:val="24"/>
                                <w:szCs w:val="24"/>
                              </w:rPr>
                              <w:t>银行借款、发行债券、其他借款</w:t>
                            </w:r>
                          </w:p>
                          <w:p w14:paraId="4B6EA4F3" w14:textId="77777777" w:rsidR="00165C9E" w:rsidRDefault="00165C9E">
                            <w:pPr>
                              <w:ind w:firstLine="420"/>
                              <w:jc w:val="center"/>
                            </w:pPr>
                          </w:p>
                        </w:txbxContent>
                      </wps:txbx>
                      <wps:bodyPr rot="0" vert="horz" wrap="square" lIns="91440" tIns="45720" rIns="91440" bIns="45720" anchor="ctr" anchorCtr="0" upright="1"/>
                    </wps:wsp>
                  </a:graphicData>
                </a:graphic>
              </wp:anchor>
            </w:drawing>
          </mc:Choice>
          <mc:Fallback>
            <w:pict>
              <v:shape id="矩形 54" o:spid="_x0000_s1042" type="#_x0000_t202" style="width:178.45pt;height:25.65pt;margin-top:9.6pt;margin-left:278.75pt;mso-wrap-distance-bottom:0;mso-wrap-distance-left:9pt;mso-wrap-distance-right:9pt;mso-wrap-distance-top:0;position:absolute;v-text-anchor:middle;z-index:251696128" fillcolor="white" stroked="t" strokecolor="#4f81bd" strokeweight="0.75pt">
                <v:textbox>
                  <w:txbxContent>
                    <w:p>
                      <w:pPr>
                        <w:rPr>
                          <w:rFonts w:asciiTheme="minorEastAsia" w:eastAsiaTheme="minorEastAsia" w:hAnsiTheme="minorEastAsia"/>
                          <w:sz w:val="24"/>
                          <w:szCs w:val="24"/>
                        </w:rPr>
                      </w:pPr>
                      <w:r>
                        <w:rPr>
                          <w:rFonts w:asciiTheme="minorEastAsia" w:eastAsiaTheme="minorEastAsia" w:hAnsiTheme="minorEastAsia" w:cs="宋体" w:hint="eastAsia"/>
                          <w:sz w:val="24"/>
                          <w:szCs w:val="24"/>
                        </w:rPr>
                        <w:t>银行借款、发行债券、其他借款</w:t>
                      </w:r>
                    </w:p>
                    <w:p>
                      <w:pPr>
                        <w:ind w:firstLine="420"/>
                        <w:jc w:val="center"/>
                      </w:pPr>
                    </w:p>
                  </w:txbxContent>
                </v:textbox>
              </v:shape>
            </w:pict>
          </mc:Fallback>
        </mc:AlternateContent>
      </w:r>
      <w:r>
        <w:rPr>
          <w:noProof/>
        </w:rPr>
        <mc:AlternateContent>
          <mc:Choice Requires="wps">
            <w:drawing>
              <wp:anchor distT="0" distB="0" distL="114300" distR="114300" simplePos="0" relativeHeight="251688960" behindDoc="0" locked="0" layoutInCell="1" allowOverlap="1" wp14:anchorId="32D5A363" wp14:editId="48E9E30F">
                <wp:simplePos x="0" y="0"/>
                <wp:positionH relativeFrom="column">
                  <wp:posOffset>2124710</wp:posOffset>
                </wp:positionH>
                <wp:positionV relativeFrom="paragraph">
                  <wp:posOffset>125095</wp:posOffset>
                </wp:positionV>
                <wp:extent cx="1243330" cy="325755"/>
                <wp:effectExtent l="10160" t="10795" r="13335" b="6350"/>
                <wp:wrapNone/>
                <wp:docPr id="8" name="矩形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43330" cy="325755"/>
                        </a:xfrm>
                        <a:prstGeom prst="rect">
                          <a:avLst/>
                        </a:prstGeom>
                        <a:solidFill>
                          <a:srgbClr val="FFFFFF"/>
                        </a:solidFill>
                        <a:ln w="9525">
                          <a:solidFill>
                            <a:srgbClr val="4F81BD"/>
                          </a:solidFill>
                          <a:miter lim="800000"/>
                        </a:ln>
                      </wps:spPr>
                      <wps:txbx>
                        <w:txbxContent>
                          <w:p w14:paraId="10D6AA83" w14:textId="77777777" w:rsidR="00165C9E" w:rsidRDefault="00000000">
                            <w:pPr>
                              <w:ind w:firstLine="420"/>
                              <w:jc w:val="center"/>
                              <w:rPr>
                                <w:sz w:val="24"/>
                                <w:szCs w:val="24"/>
                              </w:rPr>
                            </w:pPr>
                            <w:r>
                              <w:rPr>
                                <w:rFonts w:cs="宋体" w:hint="eastAsia"/>
                                <w:sz w:val="24"/>
                                <w:szCs w:val="24"/>
                              </w:rPr>
                              <w:t>债务融资</w:t>
                            </w:r>
                          </w:p>
                          <w:p w14:paraId="16582E25" w14:textId="77777777" w:rsidR="00165C9E" w:rsidRDefault="00165C9E">
                            <w:pPr>
                              <w:ind w:firstLine="420"/>
                              <w:jc w:val="center"/>
                            </w:pPr>
                          </w:p>
                        </w:txbxContent>
                      </wps:txbx>
                      <wps:bodyPr rot="0" vert="horz" wrap="square" lIns="91440" tIns="45720" rIns="91440" bIns="45720" anchor="ctr" anchorCtr="0" upright="1"/>
                    </wps:wsp>
                  </a:graphicData>
                </a:graphic>
              </wp:anchor>
            </w:drawing>
          </mc:Choice>
          <mc:Fallback>
            <w:pict>
              <v:shape id="矩形 49" o:spid="_x0000_s1043" type="#_x0000_t202" style="width:97.9pt;height:25.65pt;margin-top:9.85pt;margin-left:167.3pt;mso-wrap-distance-bottom:0;mso-wrap-distance-left:9pt;mso-wrap-distance-right:9pt;mso-wrap-distance-top:0;position:absolute;v-text-anchor:middle;z-index:251687936" fillcolor="white" stroked="t" strokecolor="#4f81bd" strokeweight="0.75pt">
                <v:textbox>
                  <w:txbxContent>
                    <w:p>
                      <w:pPr>
                        <w:ind w:firstLine="420"/>
                        <w:jc w:val="center"/>
                        <w:rPr>
                          <w:sz w:val="24"/>
                          <w:szCs w:val="24"/>
                        </w:rPr>
                      </w:pPr>
                      <w:r>
                        <w:rPr>
                          <w:rFonts w:cs="宋体" w:hint="eastAsia"/>
                          <w:sz w:val="24"/>
                          <w:szCs w:val="24"/>
                        </w:rPr>
                        <w:t>债务融资</w:t>
                      </w:r>
                    </w:p>
                    <w:p>
                      <w:pPr>
                        <w:ind w:firstLine="420"/>
                        <w:jc w:val="center"/>
                      </w:pPr>
                    </w:p>
                  </w:txbxContent>
                </v:textbox>
              </v:shape>
            </w:pict>
          </mc:Fallback>
        </mc:AlternateContent>
      </w:r>
      <w:r>
        <w:rPr>
          <w:noProof/>
        </w:rPr>
        <mc:AlternateContent>
          <mc:Choice Requires="wps">
            <w:drawing>
              <wp:anchor distT="0" distB="0" distL="114300" distR="114300" simplePos="0" relativeHeight="251693056" behindDoc="0" locked="0" layoutInCell="1" allowOverlap="1" wp14:anchorId="4FB884F9" wp14:editId="74D22C14">
                <wp:simplePos x="0" y="0"/>
                <wp:positionH relativeFrom="column">
                  <wp:posOffset>3379470</wp:posOffset>
                </wp:positionH>
                <wp:positionV relativeFrom="paragraph">
                  <wp:posOffset>264795</wp:posOffset>
                </wp:positionV>
                <wp:extent cx="154940" cy="0"/>
                <wp:effectExtent l="7620" t="74295" r="18415" b="78105"/>
                <wp:wrapNone/>
                <wp:docPr id="25" name="直接箭头连接符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4940" cy="0"/>
                        </a:xfrm>
                        <a:prstGeom prst="straightConnector1">
                          <a:avLst/>
                        </a:prstGeom>
                        <a:noFill/>
                        <a:ln w="9525">
                          <a:solidFill>
                            <a:srgbClr val="4579B8"/>
                          </a:solidFill>
                          <a:round/>
                          <a:tailEnd type="arrow"/>
                        </a:ln>
                      </wps:spPr>
                      <wps:bodyPr/>
                    </wps:wsp>
                  </a:graphicData>
                </a:graphic>
              </wp:anchor>
            </w:drawing>
          </mc:Choice>
          <mc:Fallback>
            <w:pict>
              <v:shape id="直接箭头连接符 52" o:spid="_x0000_s1044" type="#_x0000_t32" style="width:12.2pt;height:0;margin-top:20.85pt;margin-left:266.1pt;mso-wrap-distance-bottom:0;mso-wrap-distance-left:9pt;mso-wrap-distance-right:9pt;mso-wrap-distance-top:0;position:absolute;v-text-anchor:top;z-index:251692032" filled="f" fillcolor="this" stroked="t" strokecolor="#4579b8" strokeweight="0.75pt">
                <v:stroke joinstyle="round" endarrow="open"/>
              </v:shape>
            </w:pict>
          </mc:Fallback>
        </mc:AlternateContent>
      </w:r>
      <w:r>
        <w:rPr>
          <w:noProof/>
        </w:rPr>
        <mc:AlternateContent>
          <mc:Choice Requires="wps">
            <w:drawing>
              <wp:anchor distT="0" distB="0" distL="114300" distR="114300" simplePos="0" relativeHeight="251660288" behindDoc="0" locked="0" layoutInCell="1" allowOverlap="1" wp14:anchorId="3DF2037C" wp14:editId="087C8E6E">
                <wp:simplePos x="0" y="0"/>
                <wp:positionH relativeFrom="column">
                  <wp:posOffset>411480</wp:posOffset>
                </wp:positionH>
                <wp:positionV relativeFrom="paragraph">
                  <wp:posOffset>1315720</wp:posOffset>
                </wp:positionV>
                <wp:extent cx="45720" cy="8890"/>
                <wp:effectExtent l="11430" t="10795" r="9525" b="8890"/>
                <wp:wrapNone/>
                <wp:docPr id="6" name="直接连接符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5720" cy="8890"/>
                        </a:xfrm>
                        <a:prstGeom prst="line">
                          <a:avLst/>
                        </a:prstGeom>
                        <a:noFill/>
                        <a:ln w="9525">
                          <a:solidFill>
                            <a:srgbClr val="4579B8"/>
                          </a:solidFill>
                          <a:round/>
                        </a:ln>
                      </wps:spPr>
                      <wps:bodyPr/>
                    </wps:wsp>
                  </a:graphicData>
                </a:graphic>
              </wp:anchor>
            </w:drawing>
          </mc:Choice>
          <mc:Fallback>
            <w:pict>
              <v:line id="直接连接符 6" o:spid="_x0000_s1045" style="flip:y;mso-wrap-distance-bottom:0;mso-wrap-distance-left:9pt;mso-wrap-distance-right:9pt;mso-wrap-distance-top:0;position:absolute;v-text-anchor:top;z-index:251659264" from="32.4pt,103.6pt" to="36pt,104.3pt" fillcolor="this" stroked="t" strokecolor="#4579b8" strokeweight="0.75pt">
                <v:stroke joinstyle="round"/>
              </v:line>
            </w:pict>
          </mc:Fallback>
        </mc:AlternateContent>
      </w:r>
    </w:p>
    <w:p w14:paraId="35F21147" w14:textId="77777777" w:rsidR="00165C9E" w:rsidRDefault="00165C9E">
      <w:pPr>
        <w:spacing w:line="400" w:lineRule="exact"/>
        <w:rPr>
          <w:sz w:val="24"/>
          <w:szCs w:val="24"/>
        </w:rPr>
      </w:pPr>
    </w:p>
    <w:p w14:paraId="228DB0A1" w14:textId="77777777" w:rsidR="00165C9E" w:rsidRDefault="00000000">
      <w:pPr>
        <w:spacing w:line="400" w:lineRule="exact"/>
        <w:ind w:firstLineChars="200" w:firstLine="420"/>
        <w:rPr>
          <w:rFonts w:ascii="黑体" w:eastAsia="黑体" w:hAnsi="黑体" w:cs="宋体"/>
        </w:rPr>
      </w:pPr>
      <w:r>
        <w:rPr>
          <w:rFonts w:ascii="黑体" w:eastAsia="黑体" w:hAnsi="黑体" w:cs="宋体" w:hint="eastAsia"/>
        </w:rPr>
        <w:t>图5-1万科融资方式概况</w:t>
      </w:r>
    </w:p>
    <w:p w14:paraId="30BDD02E" w14:textId="77777777" w:rsidR="00165C9E" w:rsidRDefault="00000000">
      <w:pPr>
        <w:spacing w:line="400" w:lineRule="exact"/>
        <w:ind w:firstLineChars="200" w:firstLine="480"/>
        <w:rPr>
          <w:rFonts w:cs="宋体"/>
          <w:sz w:val="24"/>
          <w:szCs w:val="24"/>
        </w:rPr>
      </w:pPr>
      <w:r>
        <w:rPr>
          <w:rFonts w:cs="宋体" w:hint="eastAsia"/>
          <w:sz w:val="24"/>
          <w:szCs w:val="24"/>
        </w:rPr>
        <w:t>对于房地产类上市公司来说，要想企业保持长久稳定发展，该企业要做处理好融资相关问题，由于房地产类是资金密集型产业，必须把资金问题放在首位。融资成本高低大部分原因取决于该企业选择什么样的融资方式。本文主要从万科融资内部和外部融资两大块来分析。首先内部融资的资金，该公司不必支付融资股息和利息成本，这使得内部融资成本远低于外部融资成本。根据优序融资理论，企业在融资时偏向于内部融资，然后选择外部融资。本文外部融资主要分为债务和股权。</w:t>
      </w:r>
    </w:p>
    <w:p w14:paraId="7CE83752" w14:textId="77777777" w:rsidR="00165C9E" w:rsidRDefault="00000000">
      <w:pPr>
        <w:spacing w:line="400" w:lineRule="exact"/>
        <w:ind w:firstLineChars="200" w:firstLine="480"/>
        <w:rPr>
          <w:rFonts w:cs="宋体"/>
          <w:sz w:val="24"/>
          <w:szCs w:val="24"/>
        </w:rPr>
      </w:pPr>
      <w:r>
        <w:rPr>
          <w:rFonts w:cs="宋体" w:hint="eastAsia"/>
          <w:sz w:val="24"/>
          <w:szCs w:val="24"/>
        </w:rPr>
        <w:t>其中债务融资是指企业通过借钱获得资金的融资方式，在这过程中企业不但要支付利息还有偿还资金本金、利息费用可以税前抵扣并且申请限制条件、申请流程相对于股权融资少。自</w:t>
      </w:r>
      <w:r>
        <w:rPr>
          <w:rFonts w:cs="宋体" w:hint="eastAsia"/>
          <w:sz w:val="24"/>
          <w:szCs w:val="24"/>
        </w:rPr>
        <w:t>2014</w:t>
      </w:r>
      <w:r>
        <w:rPr>
          <w:rFonts w:cs="宋体" w:hint="eastAsia"/>
          <w:sz w:val="24"/>
          <w:szCs w:val="24"/>
        </w:rPr>
        <w:t>年以来，在国家政策鼓励下，债券融资成本逐渐降低。股权融资也被称为所有权融资，是指企业卖出公司部分股权以此来引入新股东以增加总股本的事实。相比较而言股权融资，虽然企业不用向新的股东支付利息、偿还本金和支付固定股息，但是股息不能备抵税作用，并且股票发行也</w:t>
      </w:r>
      <w:r>
        <w:rPr>
          <w:rFonts w:cs="宋体" w:hint="eastAsia"/>
          <w:sz w:val="24"/>
          <w:szCs w:val="24"/>
        </w:rPr>
        <w:lastRenderedPageBreak/>
        <w:t>会比发行其他证券费用高很多。同时但该企业股票风险比较高时，投资者也会要求提高必要报酬率，因此我们可以知道股权融资成本在前期股权融资成本往往比债务融资成本低，但到后期潜在融资成本会比较高，但对于一些有条件房地产企业而言，上市是获得稳定资金来源首选该融资方式而且债务融资成本无法起到股权融资对企业长期发展的促进作用。</w:t>
      </w:r>
    </w:p>
    <w:p w14:paraId="739F30FC" w14:textId="77777777" w:rsidR="00165C9E" w:rsidRDefault="00000000">
      <w:pPr>
        <w:spacing w:line="400" w:lineRule="exact"/>
        <w:ind w:firstLineChars="200" w:firstLine="480"/>
        <w:rPr>
          <w:rFonts w:cs="宋体"/>
          <w:sz w:val="24"/>
          <w:szCs w:val="24"/>
        </w:rPr>
      </w:pPr>
      <w:r>
        <w:rPr>
          <w:rFonts w:cs="宋体" w:hint="eastAsia"/>
          <w:sz w:val="24"/>
          <w:szCs w:val="24"/>
        </w:rPr>
        <w:t>表</w:t>
      </w:r>
      <w:r>
        <w:rPr>
          <w:rFonts w:cs="宋体" w:hint="eastAsia"/>
          <w:sz w:val="24"/>
          <w:szCs w:val="24"/>
        </w:rPr>
        <w:t>5-1</w:t>
      </w:r>
      <w:r>
        <w:rPr>
          <w:rFonts w:cs="宋体" w:hint="eastAsia"/>
          <w:sz w:val="24"/>
          <w:szCs w:val="24"/>
        </w:rPr>
        <w:t>万科各个阶段融资方式</w:t>
      </w:r>
    </w:p>
    <w:tbl>
      <w:tblPr>
        <w:tblW w:w="9180" w:type="dxa"/>
        <w:tblInd w:w="-106" w:type="dxa"/>
        <w:tblBorders>
          <w:top w:val="single" w:sz="12" w:space="0" w:color="auto"/>
          <w:bottom w:val="single" w:sz="12" w:space="0" w:color="auto"/>
          <w:insideH w:val="single" w:sz="4" w:space="0" w:color="auto"/>
        </w:tblBorders>
        <w:tblLook w:val="04A0" w:firstRow="1" w:lastRow="0" w:firstColumn="1" w:lastColumn="0" w:noHBand="0" w:noVBand="1"/>
      </w:tblPr>
      <w:tblGrid>
        <w:gridCol w:w="1668"/>
        <w:gridCol w:w="2551"/>
        <w:gridCol w:w="4961"/>
      </w:tblGrid>
      <w:tr w:rsidR="00165C9E" w14:paraId="0D639E70" w14:textId="77777777">
        <w:tc>
          <w:tcPr>
            <w:tcW w:w="1668" w:type="dxa"/>
          </w:tcPr>
          <w:p w14:paraId="3D27187A" w14:textId="77777777" w:rsidR="00165C9E" w:rsidRDefault="00000000">
            <w:pPr>
              <w:spacing w:line="360" w:lineRule="exact"/>
              <w:ind w:firstLineChars="200" w:firstLine="420"/>
              <w:jc w:val="left"/>
              <w:rPr>
                <w:rFonts w:ascii="宋体"/>
                <w:kern w:val="0"/>
              </w:rPr>
            </w:pPr>
            <w:r>
              <w:rPr>
                <w:rFonts w:ascii="宋体" w:hAnsi="宋体" w:cs="宋体" w:hint="eastAsia"/>
                <w:kern w:val="0"/>
              </w:rPr>
              <w:t>年份</w:t>
            </w:r>
          </w:p>
        </w:tc>
        <w:tc>
          <w:tcPr>
            <w:tcW w:w="2551" w:type="dxa"/>
          </w:tcPr>
          <w:p w14:paraId="1FE2CD93" w14:textId="77777777" w:rsidR="00165C9E" w:rsidRDefault="00000000">
            <w:pPr>
              <w:spacing w:line="360" w:lineRule="exact"/>
              <w:ind w:firstLineChars="200" w:firstLine="420"/>
              <w:jc w:val="left"/>
              <w:rPr>
                <w:rFonts w:ascii="宋体"/>
                <w:kern w:val="0"/>
              </w:rPr>
            </w:pPr>
            <w:r>
              <w:rPr>
                <w:rFonts w:ascii="宋体" w:hAnsi="宋体" w:cs="宋体" w:hint="eastAsia"/>
                <w:kern w:val="0"/>
              </w:rPr>
              <w:t>融资方式</w:t>
            </w:r>
          </w:p>
        </w:tc>
        <w:tc>
          <w:tcPr>
            <w:tcW w:w="4961" w:type="dxa"/>
          </w:tcPr>
          <w:p w14:paraId="5AF53E4B" w14:textId="77777777" w:rsidR="00165C9E" w:rsidRDefault="00000000">
            <w:pPr>
              <w:spacing w:line="360" w:lineRule="exact"/>
              <w:ind w:firstLineChars="200" w:firstLine="420"/>
              <w:jc w:val="left"/>
              <w:rPr>
                <w:rFonts w:ascii="宋体"/>
                <w:kern w:val="0"/>
              </w:rPr>
            </w:pPr>
            <w:r>
              <w:rPr>
                <w:rFonts w:ascii="宋体" w:hAnsi="宋体" w:cs="宋体" w:hint="eastAsia"/>
                <w:kern w:val="0"/>
              </w:rPr>
              <w:t>分析</w:t>
            </w:r>
          </w:p>
        </w:tc>
      </w:tr>
      <w:tr w:rsidR="00165C9E" w14:paraId="57EA8C4D" w14:textId="77777777">
        <w:tc>
          <w:tcPr>
            <w:tcW w:w="1668" w:type="dxa"/>
          </w:tcPr>
          <w:p w14:paraId="41C1E456" w14:textId="77777777" w:rsidR="00165C9E" w:rsidRDefault="00000000">
            <w:pPr>
              <w:spacing w:line="360" w:lineRule="exact"/>
              <w:ind w:firstLineChars="200" w:firstLine="420"/>
              <w:jc w:val="left"/>
              <w:rPr>
                <w:rFonts w:ascii="宋体"/>
                <w:kern w:val="0"/>
              </w:rPr>
            </w:pPr>
            <w:r>
              <w:rPr>
                <w:rFonts w:ascii="宋体" w:hAnsi="宋体" w:cs="宋体" w:hint="eastAsia"/>
                <w:kern w:val="0"/>
              </w:rPr>
              <w:t>1989年</w:t>
            </w:r>
          </w:p>
        </w:tc>
        <w:tc>
          <w:tcPr>
            <w:tcW w:w="2551" w:type="dxa"/>
          </w:tcPr>
          <w:p w14:paraId="4661932E" w14:textId="77777777" w:rsidR="00165C9E" w:rsidRDefault="00000000">
            <w:pPr>
              <w:spacing w:line="360" w:lineRule="exact"/>
              <w:ind w:firstLineChars="200" w:firstLine="420"/>
              <w:jc w:val="left"/>
              <w:rPr>
                <w:rFonts w:ascii="宋体"/>
                <w:kern w:val="0"/>
              </w:rPr>
            </w:pPr>
            <w:r>
              <w:rPr>
                <w:rFonts w:ascii="宋体" w:hAnsi="宋体" w:cs="宋体" w:hint="eastAsia"/>
                <w:kern w:val="0"/>
              </w:rPr>
              <w:t>公开募股2800万股</w:t>
            </w:r>
          </w:p>
        </w:tc>
        <w:tc>
          <w:tcPr>
            <w:tcW w:w="4961" w:type="dxa"/>
          </w:tcPr>
          <w:p w14:paraId="285820AE" w14:textId="77777777" w:rsidR="00165C9E" w:rsidRDefault="00000000">
            <w:pPr>
              <w:spacing w:line="360" w:lineRule="exact"/>
              <w:jc w:val="left"/>
              <w:rPr>
                <w:rFonts w:ascii="宋体"/>
                <w:kern w:val="0"/>
              </w:rPr>
            </w:pPr>
            <w:r>
              <w:rPr>
                <w:rFonts w:ascii="宋体" w:hAnsi="宋体" w:cs="宋体" w:hint="eastAsia"/>
                <w:kern w:val="0"/>
              </w:rPr>
              <w:t>我国第一批股份制企业，融资额2800万元人民币</w:t>
            </w:r>
          </w:p>
        </w:tc>
      </w:tr>
      <w:tr w:rsidR="00165C9E" w14:paraId="6369479F" w14:textId="77777777">
        <w:tc>
          <w:tcPr>
            <w:tcW w:w="1668" w:type="dxa"/>
          </w:tcPr>
          <w:p w14:paraId="5C153EB0" w14:textId="77777777" w:rsidR="00165C9E" w:rsidRDefault="00000000">
            <w:pPr>
              <w:spacing w:line="360" w:lineRule="exact"/>
              <w:ind w:firstLineChars="200" w:firstLine="420"/>
              <w:jc w:val="left"/>
              <w:rPr>
                <w:rFonts w:ascii="宋体"/>
                <w:kern w:val="0"/>
              </w:rPr>
            </w:pPr>
            <w:r>
              <w:rPr>
                <w:rFonts w:ascii="宋体" w:hAnsi="宋体" w:cs="宋体" w:hint="eastAsia"/>
                <w:kern w:val="0"/>
              </w:rPr>
              <w:t>1993年</w:t>
            </w:r>
          </w:p>
        </w:tc>
        <w:tc>
          <w:tcPr>
            <w:tcW w:w="2551" w:type="dxa"/>
          </w:tcPr>
          <w:p w14:paraId="3612C22D" w14:textId="77777777" w:rsidR="00165C9E" w:rsidRDefault="00000000">
            <w:pPr>
              <w:spacing w:line="360" w:lineRule="exact"/>
              <w:ind w:firstLineChars="200" w:firstLine="420"/>
              <w:jc w:val="left"/>
              <w:rPr>
                <w:rFonts w:ascii="宋体"/>
                <w:kern w:val="0"/>
              </w:rPr>
            </w:pPr>
            <w:r>
              <w:rPr>
                <w:rFonts w:ascii="宋体" w:hAnsi="宋体" w:cs="宋体" w:hint="eastAsia"/>
                <w:kern w:val="0"/>
              </w:rPr>
              <w:t>4500万股B股</w:t>
            </w:r>
          </w:p>
        </w:tc>
        <w:tc>
          <w:tcPr>
            <w:tcW w:w="4961" w:type="dxa"/>
          </w:tcPr>
          <w:p w14:paraId="08B002D5" w14:textId="77777777" w:rsidR="00165C9E" w:rsidRDefault="00000000">
            <w:pPr>
              <w:spacing w:line="360" w:lineRule="exact"/>
              <w:ind w:firstLineChars="200" w:firstLine="420"/>
              <w:jc w:val="left"/>
              <w:rPr>
                <w:rFonts w:ascii="宋体"/>
                <w:kern w:val="0"/>
              </w:rPr>
            </w:pPr>
            <w:r>
              <w:rPr>
                <w:rFonts w:ascii="宋体" w:hAnsi="宋体" w:cs="宋体" w:hint="eastAsia"/>
                <w:kern w:val="0"/>
              </w:rPr>
              <w:t>首次发行，融资约4.51亿元人民币</w:t>
            </w:r>
          </w:p>
        </w:tc>
      </w:tr>
      <w:tr w:rsidR="00165C9E" w14:paraId="4874779F" w14:textId="77777777">
        <w:tc>
          <w:tcPr>
            <w:tcW w:w="1668" w:type="dxa"/>
          </w:tcPr>
          <w:p w14:paraId="58ED78F9" w14:textId="77777777" w:rsidR="00165C9E" w:rsidRDefault="00000000">
            <w:pPr>
              <w:spacing w:line="360" w:lineRule="exact"/>
              <w:ind w:firstLineChars="200" w:firstLine="420"/>
              <w:jc w:val="left"/>
              <w:rPr>
                <w:rFonts w:ascii="宋体"/>
                <w:kern w:val="0"/>
              </w:rPr>
            </w:pPr>
            <w:r>
              <w:rPr>
                <w:rFonts w:ascii="宋体" w:hAnsi="宋体" w:cs="宋体" w:hint="eastAsia"/>
                <w:kern w:val="0"/>
              </w:rPr>
              <w:t>200年</w:t>
            </w:r>
          </w:p>
        </w:tc>
        <w:tc>
          <w:tcPr>
            <w:tcW w:w="2551" w:type="dxa"/>
          </w:tcPr>
          <w:p w14:paraId="2946DCF9" w14:textId="77777777" w:rsidR="00165C9E" w:rsidRDefault="00000000">
            <w:pPr>
              <w:spacing w:line="360" w:lineRule="exact"/>
              <w:ind w:firstLineChars="200" w:firstLine="420"/>
              <w:jc w:val="left"/>
              <w:rPr>
                <w:rFonts w:ascii="宋体"/>
                <w:kern w:val="0"/>
              </w:rPr>
            </w:pPr>
            <w:r>
              <w:rPr>
                <w:rFonts w:ascii="宋体" w:hAnsi="宋体" w:cs="宋体" w:hint="eastAsia"/>
                <w:kern w:val="0"/>
              </w:rPr>
              <w:t>可转债</w:t>
            </w:r>
          </w:p>
        </w:tc>
        <w:tc>
          <w:tcPr>
            <w:tcW w:w="4961" w:type="dxa"/>
          </w:tcPr>
          <w:p w14:paraId="1E98013E" w14:textId="77777777" w:rsidR="00165C9E" w:rsidRDefault="00000000">
            <w:pPr>
              <w:spacing w:line="360" w:lineRule="exact"/>
              <w:ind w:firstLineChars="200" w:firstLine="420"/>
              <w:jc w:val="left"/>
              <w:rPr>
                <w:rFonts w:ascii="宋体"/>
                <w:kern w:val="0"/>
              </w:rPr>
            </w:pPr>
            <w:r>
              <w:rPr>
                <w:rFonts w:ascii="宋体" w:hAnsi="宋体" w:cs="宋体" w:hint="eastAsia"/>
                <w:kern w:val="0"/>
              </w:rPr>
              <w:t>发行15亿元人民币</w:t>
            </w:r>
          </w:p>
        </w:tc>
      </w:tr>
      <w:tr w:rsidR="00165C9E" w14:paraId="5BF0F8A7" w14:textId="77777777">
        <w:tc>
          <w:tcPr>
            <w:tcW w:w="1668" w:type="dxa"/>
          </w:tcPr>
          <w:p w14:paraId="371DEF45" w14:textId="77777777" w:rsidR="00165C9E" w:rsidRDefault="00000000">
            <w:pPr>
              <w:spacing w:line="360" w:lineRule="exact"/>
              <w:ind w:firstLineChars="200" w:firstLine="420"/>
              <w:jc w:val="left"/>
              <w:rPr>
                <w:rFonts w:ascii="宋体"/>
                <w:kern w:val="0"/>
              </w:rPr>
            </w:pPr>
            <w:r>
              <w:rPr>
                <w:rFonts w:ascii="宋体" w:hAnsi="宋体" w:cs="宋体" w:hint="eastAsia"/>
                <w:kern w:val="0"/>
              </w:rPr>
              <w:t>2004年9月</w:t>
            </w:r>
          </w:p>
        </w:tc>
        <w:tc>
          <w:tcPr>
            <w:tcW w:w="2551" w:type="dxa"/>
          </w:tcPr>
          <w:p w14:paraId="1271021C" w14:textId="77777777" w:rsidR="00165C9E" w:rsidRDefault="00000000">
            <w:pPr>
              <w:spacing w:line="360" w:lineRule="exact"/>
              <w:ind w:firstLineChars="200" w:firstLine="420"/>
              <w:jc w:val="left"/>
              <w:rPr>
                <w:rFonts w:ascii="宋体"/>
                <w:kern w:val="0"/>
              </w:rPr>
            </w:pPr>
            <w:r>
              <w:rPr>
                <w:rFonts w:ascii="宋体" w:hAnsi="宋体" w:cs="宋体" w:hint="eastAsia"/>
                <w:kern w:val="0"/>
              </w:rPr>
              <w:t>可转换券</w:t>
            </w:r>
          </w:p>
        </w:tc>
        <w:tc>
          <w:tcPr>
            <w:tcW w:w="4961" w:type="dxa"/>
          </w:tcPr>
          <w:p w14:paraId="146AB00F" w14:textId="77777777" w:rsidR="00165C9E" w:rsidRDefault="00000000">
            <w:pPr>
              <w:spacing w:line="360" w:lineRule="exact"/>
              <w:ind w:firstLineChars="200" w:firstLine="420"/>
              <w:jc w:val="left"/>
              <w:rPr>
                <w:rFonts w:ascii="宋体"/>
                <w:kern w:val="0"/>
              </w:rPr>
            </w:pPr>
            <w:r>
              <w:rPr>
                <w:rFonts w:ascii="宋体" w:hAnsi="宋体" w:cs="宋体" w:hint="eastAsia"/>
                <w:kern w:val="0"/>
              </w:rPr>
              <w:t>公开发行19.9亿元</w:t>
            </w:r>
          </w:p>
        </w:tc>
      </w:tr>
      <w:tr w:rsidR="00165C9E" w14:paraId="299EE632" w14:textId="77777777">
        <w:tc>
          <w:tcPr>
            <w:tcW w:w="1668" w:type="dxa"/>
          </w:tcPr>
          <w:p w14:paraId="46800A44" w14:textId="77777777" w:rsidR="00165C9E" w:rsidRDefault="00000000">
            <w:pPr>
              <w:spacing w:line="360" w:lineRule="exact"/>
              <w:ind w:firstLineChars="200" w:firstLine="420"/>
              <w:jc w:val="left"/>
              <w:rPr>
                <w:rFonts w:ascii="宋体"/>
                <w:kern w:val="0"/>
              </w:rPr>
            </w:pPr>
            <w:r>
              <w:rPr>
                <w:rFonts w:ascii="宋体" w:hAnsi="宋体" w:cs="宋体" w:hint="eastAsia"/>
                <w:kern w:val="0"/>
              </w:rPr>
              <w:t>2005年</w:t>
            </w:r>
          </w:p>
        </w:tc>
        <w:tc>
          <w:tcPr>
            <w:tcW w:w="2551" w:type="dxa"/>
          </w:tcPr>
          <w:p w14:paraId="3916A640" w14:textId="77777777" w:rsidR="00165C9E" w:rsidRDefault="00000000">
            <w:pPr>
              <w:spacing w:line="360" w:lineRule="exact"/>
              <w:jc w:val="left"/>
              <w:rPr>
                <w:rFonts w:ascii="宋体"/>
                <w:kern w:val="0"/>
              </w:rPr>
            </w:pPr>
            <w:r>
              <w:rPr>
                <w:rFonts w:ascii="宋体" w:hAnsi="宋体" w:cs="宋体" w:hint="eastAsia"/>
                <w:kern w:val="0"/>
              </w:rPr>
              <w:t>房地产开发基金，募集资金1.5亿元</w:t>
            </w:r>
          </w:p>
        </w:tc>
        <w:tc>
          <w:tcPr>
            <w:tcW w:w="4961" w:type="dxa"/>
          </w:tcPr>
          <w:p w14:paraId="34F4AD08" w14:textId="77777777" w:rsidR="00165C9E" w:rsidRDefault="00000000">
            <w:pPr>
              <w:spacing w:line="360" w:lineRule="exact"/>
              <w:ind w:firstLineChars="200" w:firstLine="420"/>
              <w:jc w:val="left"/>
              <w:rPr>
                <w:rFonts w:ascii="宋体"/>
                <w:kern w:val="0"/>
              </w:rPr>
            </w:pPr>
            <w:r>
              <w:rPr>
                <w:rFonts w:ascii="宋体" w:hAnsi="宋体" w:cs="宋体" w:hint="eastAsia"/>
                <w:kern w:val="0"/>
              </w:rPr>
              <w:t>万科与中信资本合作，设立了第一个专门投资于万科项目的美元基金—中信</w:t>
            </w:r>
            <w:r>
              <w:rPr>
                <w:rFonts w:ascii="宋体" w:cs="宋体" w:hint="eastAsia"/>
                <w:kern w:val="0"/>
              </w:rPr>
              <w:t>.</w:t>
            </w:r>
            <w:r>
              <w:rPr>
                <w:rFonts w:ascii="宋体" w:hAnsi="宋体" w:cs="宋体" w:hint="eastAsia"/>
                <w:kern w:val="0"/>
              </w:rPr>
              <w:t>万科中国房地产开发基金</w:t>
            </w:r>
          </w:p>
        </w:tc>
      </w:tr>
      <w:tr w:rsidR="00165C9E" w14:paraId="30A2C4D9" w14:textId="77777777">
        <w:tc>
          <w:tcPr>
            <w:tcW w:w="1668" w:type="dxa"/>
          </w:tcPr>
          <w:p w14:paraId="4FF1E148" w14:textId="77777777" w:rsidR="00165C9E" w:rsidRDefault="00000000">
            <w:pPr>
              <w:spacing w:line="360" w:lineRule="exact"/>
              <w:jc w:val="left"/>
              <w:rPr>
                <w:rFonts w:ascii="宋体"/>
                <w:kern w:val="0"/>
              </w:rPr>
            </w:pPr>
            <w:r>
              <w:rPr>
                <w:rFonts w:ascii="宋体" w:hAnsi="宋体" w:cs="宋体" w:hint="eastAsia"/>
                <w:kern w:val="0"/>
              </w:rPr>
              <w:t>2006-2007年</w:t>
            </w:r>
          </w:p>
        </w:tc>
        <w:tc>
          <w:tcPr>
            <w:tcW w:w="2551" w:type="dxa"/>
          </w:tcPr>
          <w:p w14:paraId="0D5C6E30" w14:textId="77777777" w:rsidR="00165C9E" w:rsidRDefault="00000000">
            <w:pPr>
              <w:spacing w:line="360" w:lineRule="exact"/>
              <w:ind w:firstLineChars="200" w:firstLine="420"/>
              <w:jc w:val="left"/>
              <w:rPr>
                <w:rFonts w:ascii="宋体"/>
                <w:kern w:val="0"/>
              </w:rPr>
            </w:pPr>
            <w:r>
              <w:rPr>
                <w:rFonts w:ascii="宋体" w:hAnsi="宋体" w:cs="宋体" w:hint="eastAsia"/>
                <w:kern w:val="0"/>
              </w:rPr>
              <w:t>增发</w:t>
            </w:r>
          </w:p>
        </w:tc>
        <w:tc>
          <w:tcPr>
            <w:tcW w:w="4961" w:type="dxa"/>
          </w:tcPr>
          <w:p w14:paraId="2DFBD18C" w14:textId="77777777" w:rsidR="00165C9E" w:rsidRDefault="00000000">
            <w:pPr>
              <w:spacing w:line="360" w:lineRule="exact"/>
              <w:ind w:firstLineChars="200" w:firstLine="420"/>
              <w:jc w:val="left"/>
              <w:rPr>
                <w:rFonts w:ascii="宋体"/>
                <w:kern w:val="0"/>
              </w:rPr>
            </w:pPr>
            <w:r>
              <w:rPr>
                <w:rFonts w:ascii="宋体" w:hAnsi="宋体" w:cs="宋体" w:hint="eastAsia"/>
                <w:kern w:val="0"/>
              </w:rPr>
              <w:t>在这时期受国家金融政策影响比较大，共增发两次，共募集资金142亿元，但同时能够捍卫了其龙头地位，并且控制好融资成本</w:t>
            </w:r>
          </w:p>
        </w:tc>
      </w:tr>
      <w:tr w:rsidR="00165C9E" w14:paraId="3F69AC34" w14:textId="77777777">
        <w:tc>
          <w:tcPr>
            <w:tcW w:w="1668" w:type="dxa"/>
          </w:tcPr>
          <w:p w14:paraId="6F667C44" w14:textId="77777777" w:rsidR="00165C9E" w:rsidRDefault="00000000">
            <w:pPr>
              <w:spacing w:line="360" w:lineRule="exact"/>
              <w:ind w:firstLineChars="200" w:firstLine="420"/>
              <w:jc w:val="left"/>
              <w:rPr>
                <w:rFonts w:ascii="宋体" w:hAnsi="宋体" w:cs="宋体"/>
                <w:kern w:val="0"/>
              </w:rPr>
            </w:pPr>
            <w:r>
              <w:rPr>
                <w:rFonts w:ascii="宋体" w:hAnsi="宋体" w:cs="宋体" w:hint="eastAsia"/>
                <w:kern w:val="0"/>
              </w:rPr>
              <w:t>2008年-2009年</w:t>
            </w:r>
          </w:p>
        </w:tc>
        <w:tc>
          <w:tcPr>
            <w:tcW w:w="2551" w:type="dxa"/>
          </w:tcPr>
          <w:p w14:paraId="49BA28D3" w14:textId="77777777" w:rsidR="00165C9E" w:rsidRDefault="00000000">
            <w:pPr>
              <w:spacing w:line="360" w:lineRule="exact"/>
              <w:ind w:firstLineChars="200" w:firstLine="420"/>
              <w:jc w:val="left"/>
              <w:rPr>
                <w:rFonts w:ascii="宋体"/>
                <w:kern w:val="0"/>
              </w:rPr>
            </w:pPr>
            <w:r>
              <w:rPr>
                <w:rFonts w:ascii="宋体" w:hAnsi="宋体" w:cs="宋体" w:hint="eastAsia"/>
                <w:kern w:val="0"/>
              </w:rPr>
              <w:t>公司债</w:t>
            </w:r>
          </w:p>
        </w:tc>
        <w:tc>
          <w:tcPr>
            <w:tcW w:w="4961" w:type="dxa"/>
          </w:tcPr>
          <w:p w14:paraId="05BD04B1" w14:textId="77777777" w:rsidR="00165C9E" w:rsidRDefault="00000000">
            <w:pPr>
              <w:spacing w:line="360" w:lineRule="exact"/>
              <w:ind w:firstLineChars="200" w:firstLine="420"/>
              <w:jc w:val="left"/>
              <w:rPr>
                <w:rFonts w:ascii="宋体"/>
                <w:kern w:val="0"/>
              </w:rPr>
            </w:pPr>
            <w:r>
              <w:rPr>
                <w:rFonts w:ascii="宋体" w:hAnsi="宋体" w:cs="宋体" w:hint="eastAsia"/>
                <w:kern w:val="0"/>
              </w:rPr>
              <w:t>2008年发行59亿元人民币公司债，2009年增加到500亿元建设银行提供担保，成为当时授信额度最高行业</w:t>
            </w:r>
          </w:p>
        </w:tc>
      </w:tr>
      <w:tr w:rsidR="00165C9E" w14:paraId="23B4946A" w14:textId="77777777">
        <w:tc>
          <w:tcPr>
            <w:tcW w:w="1668" w:type="dxa"/>
          </w:tcPr>
          <w:p w14:paraId="54001FAE" w14:textId="77777777" w:rsidR="00165C9E" w:rsidRDefault="00000000">
            <w:pPr>
              <w:spacing w:line="360" w:lineRule="exact"/>
              <w:ind w:firstLineChars="200" w:firstLine="420"/>
              <w:jc w:val="left"/>
              <w:rPr>
                <w:rFonts w:ascii="宋体"/>
                <w:kern w:val="0"/>
              </w:rPr>
            </w:pPr>
            <w:r>
              <w:rPr>
                <w:rFonts w:ascii="宋体" w:hAnsi="宋体" w:cs="宋体" w:hint="eastAsia"/>
                <w:kern w:val="0"/>
              </w:rPr>
              <w:t>2012年</w:t>
            </w:r>
          </w:p>
        </w:tc>
        <w:tc>
          <w:tcPr>
            <w:tcW w:w="2551" w:type="dxa"/>
          </w:tcPr>
          <w:p w14:paraId="23CC396B" w14:textId="77777777" w:rsidR="00165C9E" w:rsidRDefault="00000000">
            <w:pPr>
              <w:spacing w:line="360" w:lineRule="exact"/>
              <w:ind w:firstLineChars="200" w:firstLine="420"/>
              <w:jc w:val="left"/>
              <w:rPr>
                <w:rFonts w:ascii="宋体"/>
                <w:kern w:val="0"/>
              </w:rPr>
            </w:pPr>
            <w:r>
              <w:rPr>
                <w:rFonts w:ascii="宋体" w:hAnsi="宋体" w:cs="宋体" w:hint="eastAsia"/>
                <w:kern w:val="0"/>
              </w:rPr>
              <w:t>信托融资</w:t>
            </w:r>
          </w:p>
        </w:tc>
        <w:tc>
          <w:tcPr>
            <w:tcW w:w="4961" w:type="dxa"/>
          </w:tcPr>
          <w:p w14:paraId="6CC3843A" w14:textId="77777777" w:rsidR="00165C9E" w:rsidRDefault="00000000">
            <w:pPr>
              <w:spacing w:line="360" w:lineRule="exact"/>
              <w:ind w:firstLineChars="200" w:firstLine="420"/>
              <w:jc w:val="left"/>
              <w:rPr>
                <w:rFonts w:ascii="宋体"/>
                <w:kern w:val="0"/>
              </w:rPr>
            </w:pPr>
            <w:r>
              <w:rPr>
                <w:rFonts w:ascii="宋体" w:hAnsi="宋体" w:cs="宋体" w:hint="eastAsia"/>
                <w:kern w:val="0"/>
              </w:rPr>
              <w:t>向华润深国投融资10亿元，完成鞍山项目建设，同时利用在香港联合交易所上市挂牌交易，使企业融资成本降低3个百分点</w:t>
            </w:r>
          </w:p>
        </w:tc>
      </w:tr>
      <w:tr w:rsidR="00165C9E" w14:paraId="7DB11CE5" w14:textId="77777777">
        <w:tc>
          <w:tcPr>
            <w:tcW w:w="1668" w:type="dxa"/>
          </w:tcPr>
          <w:p w14:paraId="61AE7D33" w14:textId="77777777" w:rsidR="00165C9E" w:rsidRDefault="00000000">
            <w:pPr>
              <w:spacing w:line="360" w:lineRule="exact"/>
              <w:ind w:firstLineChars="200" w:firstLine="420"/>
              <w:jc w:val="left"/>
              <w:rPr>
                <w:rFonts w:ascii="宋体"/>
                <w:kern w:val="0"/>
              </w:rPr>
            </w:pPr>
            <w:r>
              <w:rPr>
                <w:rFonts w:ascii="宋体" w:hAnsi="宋体" w:cs="宋体" w:hint="eastAsia"/>
                <w:kern w:val="0"/>
              </w:rPr>
              <w:t>2013年3月</w:t>
            </w:r>
          </w:p>
        </w:tc>
        <w:tc>
          <w:tcPr>
            <w:tcW w:w="2551" w:type="dxa"/>
          </w:tcPr>
          <w:p w14:paraId="7E05ED6F" w14:textId="77777777" w:rsidR="00165C9E" w:rsidRDefault="00000000">
            <w:pPr>
              <w:spacing w:line="360" w:lineRule="exact"/>
              <w:ind w:firstLineChars="200" w:firstLine="420"/>
              <w:jc w:val="left"/>
              <w:rPr>
                <w:rFonts w:ascii="宋体"/>
                <w:kern w:val="0"/>
              </w:rPr>
            </w:pPr>
            <w:r>
              <w:rPr>
                <w:rFonts w:ascii="宋体" w:hAnsi="宋体" w:cs="宋体" w:hint="eastAsia"/>
                <w:kern w:val="0"/>
              </w:rPr>
              <w:t>境外发行债券</w:t>
            </w:r>
          </w:p>
        </w:tc>
        <w:tc>
          <w:tcPr>
            <w:tcW w:w="4961" w:type="dxa"/>
          </w:tcPr>
          <w:p w14:paraId="4472A858" w14:textId="77777777" w:rsidR="00165C9E" w:rsidRDefault="00000000">
            <w:pPr>
              <w:spacing w:line="360" w:lineRule="exact"/>
              <w:ind w:firstLineChars="200" w:firstLine="420"/>
              <w:jc w:val="left"/>
              <w:rPr>
                <w:rFonts w:ascii="宋体"/>
                <w:kern w:val="0"/>
              </w:rPr>
            </w:pPr>
            <w:r>
              <w:rPr>
                <w:rFonts w:ascii="宋体" w:hAnsi="宋体" w:cs="宋体" w:hint="eastAsia"/>
                <w:kern w:val="0"/>
              </w:rPr>
              <w:t>该美元债为8亿美元的5年期债券，年利率2.75%，创国内房地产企业境外发债成本新低</w:t>
            </w:r>
          </w:p>
        </w:tc>
      </w:tr>
      <w:tr w:rsidR="00165C9E" w14:paraId="5A6AA44E" w14:textId="77777777">
        <w:tc>
          <w:tcPr>
            <w:tcW w:w="1668" w:type="dxa"/>
          </w:tcPr>
          <w:p w14:paraId="0EAE70BC" w14:textId="77777777" w:rsidR="00165C9E" w:rsidRDefault="00000000">
            <w:pPr>
              <w:spacing w:line="360" w:lineRule="exact"/>
              <w:ind w:firstLineChars="200" w:firstLine="420"/>
              <w:jc w:val="left"/>
              <w:rPr>
                <w:rFonts w:ascii="宋体"/>
                <w:kern w:val="0"/>
              </w:rPr>
            </w:pPr>
            <w:r>
              <w:rPr>
                <w:rFonts w:ascii="宋体" w:hAnsi="宋体" w:cs="宋体" w:hint="eastAsia"/>
                <w:kern w:val="0"/>
              </w:rPr>
              <w:t>2015年</w:t>
            </w:r>
          </w:p>
        </w:tc>
        <w:tc>
          <w:tcPr>
            <w:tcW w:w="2551" w:type="dxa"/>
          </w:tcPr>
          <w:p w14:paraId="55279338" w14:textId="77777777" w:rsidR="00165C9E" w:rsidRDefault="00000000">
            <w:pPr>
              <w:spacing w:line="360" w:lineRule="exact"/>
              <w:ind w:firstLineChars="200" w:firstLine="420"/>
              <w:jc w:val="left"/>
              <w:rPr>
                <w:rFonts w:ascii="宋体"/>
                <w:kern w:val="0"/>
              </w:rPr>
            </w:pPr>
            <w:r>
              <w:rPr>
                <w:rFonts w:ascii="宋体" w:hAnsi="宋体" w:cs="宋体" w:hint="eastAsia"/>
                <w:kern w:val="0"/>
              </w:rPr>
              <w:t>中期票据和债券</w:t>
            </w:r>
          </w:p>
        </w:tc>
        <w:tc>
          <w:tcPr>
            <w:tcW w:w="4961" w:type="dxa"/>
          </w:tcPr>
          <w:p w14:paraId="6A47AAA6" w14:textId="77777777" w:rsidR="00165C9E" w:rsidRDefault="00000000">
            <w:pPr>
              <w:spacing w:line="360" w:lineRule="exact"/>
              <w:ind w:firstLineChars="200" w:firstLine="420"/>
              <w:jc w:val="left"/>
              <w:rPr>
                <w:rFonts w:ascii="宋体"/>
                <w:kern w:val="0"/>
              </w:rPr>
            </w:pPr>
            <w:r>
              <w:rPr>
                <w:rFonts w:ascii="宋体" w:hAnsi="宋体" w:cs="宋体" w:hint="eastAsia"/>
                <w:kern w:val="0"/>
              </w:rPr>
              <w:t>中期票据30亿和债券50亿，利率分别为3.78%和3.5%，从中我们可以看到融资成本使比较低的，当时万科的信用评级机构也比较受到国际认可</w:t>
            </w:r>
          </w:p>
        </w:tc>
      </w:tr>
      <w:tr w:rsidR="00165C9E" w14:paraId="391979B0" w14:textId="77777777">
        <w:tc>
          <w:tcPr>
            <w:tcW w:w="1668" w:type="dxa"/>
          </w:tcPr>
          <w:p w14:paraId="482E23CB" w14:textId="77777777" w:rsidR="00165C9E" w:rsidRDefault="00000000">
            <w:pPr>
              <w:spacing w:line="360" w:lineRule="exact"/>
              <w:ind w:firstLineChars="200" w:firstLine="420"/>
              <w:jc w:val="left"/>
              <w:rPr>
                <w:rFonts w:ascii="宋体"/>
                <w:kern w:val="0"/>
              </w:rPr>
            </w:pPr>
            <w:r>
              <w:rPr>
                <w:rFonts w:ascii="宋体" w:hAnsi="宋体" w:cs="宋体" w:hint="eastAsia"/>
                <w:kern w:val="0"/>
              </w:rPr>
              <w:t>2018年</w:t>
            </w:r>
          </w:p>
        </w:tc>
        <w:tc>
          <w:tcPr>
            <w:tcW w:w="2551" w:type="dxa"/>
          </w:tcPr>
          <w:p w14:paraId="2D200C52" w14:textId="77777777" w:rsidR="00165C9E" w:rsidRDefault="00000000">
            <w:pPr>
              <w:spacing w:line="360" w:lineRule="exact"/>
              <w:ind w:firstLineChars="200" w:firstLine="420"/>
              <w:jc w:val="left"/>
              <w:rPr>
                <w:rFonts w:ascii="宋体"/>
                <w:kern w:val="0"/>
              </w:rPr>
            </w:pPr>
            <w:r>
              <w:rPr>
                <w:rFonts w:ascii="宋体" w:hAnsi="宋体" w:cs="宋体" w:hint="eastAsia"/>
                <w:kern w:val="0"/>
              </w:rPr>
              <w:t>债券</w:t>
            </w:r>
          </w:p>
        </w:tc>
        <w:tc>
          <w:tcPr>
            <w:tcW w:w="4961" w:type="dxa"/>
          </w:tcPr>
          <w:p w14:paraId="41857D01" w14:textId="77777777" w:rsidR="00165C9E" w:rsidRDefault="00000000">
            <w:pPr>
              <w:spacing w:line="360" w:lineRule="exact"/>
              <w:ind w:firstLineChars="200" w:firstLine="420"/>
              <w:jc w:val="left"/>
              <w:rPr>
                <w:rFonts w:ascii="宋体"/>
                <w:kern w:val="0"/>
              </w:rPr>
            </w:pPr>
            <w:r>
              <w:rPr>
                <w:rFonts w:ascii="宋体" w:hAnsi="宋体" w:cs="宋体" w:hint="eastAsia"/>
                <w:kern w:val="0"/>
              </w:rPr>
              <w:t>从2016-2018年累计发行债券余额为2亿元</w:t>
            </w:r>
          </w:p>
        </w:tc>
      </w:tr>
    </w:tbl>
    <w:p w14:paraId="215E251D" w14:textId="77777777" w:rsidR="00165C9E" w:rsidRDefault="00000000">
      <w:pPr>
        <w:spacing w:line="400" w:lineRule="exact"/>
        <w:ind w:firstLineChars="200" w:firstLine="420"/>
        <w:rPr>
          <w:rFonts w:ascii="黑体" w:eastAsia="黑体" w:hAnsi="黑体"/>
        </w:rPr>
      </w:pPr>
      <w:r>
        <w:rPr>
          <w:rFonts w:ascii="黑体" w:eastAsia="黑体" w:hAnsi="黑体" w:hint="eastAsia"/>
        </w:rPr>
        <w:t>数据来源：万科网络公开数据整理</w:t>
      </w:r>
      <w:r>
        <w:rPr>
          <w:rStyle w:val="af6"/>
          <w:rFonts w:ascii="黑体" w:eastAsia="黑体" w:hAnsi="黑体"/>
        </w:rPr>
        <w:footnoteReference w:id="2"/>
      </w:r>
      <w:r>
        <w:rPr>
          <w:rStyle w:val="af6"/>
          <w:rFonts w:ascii="黑体" w:eastAsia="黑体" w:hAnsi="黑体"/>
        </w:rPr>
        <w:footnoteReference w:id="3"/>
      </w:r>
    </w:p>
    <w:p w14:paraId="33C28AA6" w14:textId="77777777" w:rsidR="00165C9E" w:rsidRDefault="00000000">
      <w:pPr>
        <w:spacing w:line="400" w:lineRule="exact"/>
        <w:ind w:firstLineChars="200" w:firstLine="480"/>
        <w:rPr>
          <w:sz w:val="24"/>
          <w:szCs w:val="24"/>
        </w:rPr>
      </w:pPr>
      <w:r>
        <w:rPr>
          <w:rFonts w:hint="eastAsia"/>
          <w:sz w:val="24"/>
          <w:szCs w:val="24"/>
        </w:rPr>
        <w:t>由此可见，万科使用了多种融资方式，并且融资成本比较低，这使得万科能够在激烈竞争中保持行业龙头地位，最后我们再从万科</w:t>
      </w:r>
      <w:r>
        <w:rPr>
          <w:rFonts w:hint="eastAsia"/>
          <w:sz w:val="24"/>
          <w:szCs w:val="24"/>
        </w:rPr>
        <w:t>2015-2018</w:t>
      </w:r>
      <w:r>
        <w:rPr>
          <w:rFonts w:hint="eastAsia"/>
          <w:sz w:val="24"/>
          <w:szCs w:val="24"/>
        </w:rPr>
        <w:t>债务融资成本银行贷款、债券和其他借款来详细分析万科债务融资成本。</w:t>
      </w:r>
    </w:p>
    <w:p w14:paraId="494DD639" w14:textId="77777777" w:rsidR="00165C9E" w:rsidRDefault="00165C9E">
      <w:pPr>
        <w:spacing w:line="400" w:lineRule="exact"/>
        <w:ind w:firstLineChars="200" w:firstLine="480"/>
        <w:rPr>
          <w:sz w:val="24"/>
          <w:szCs w:val="24"/>
        </w:rPr>
      </w:pPr>
    </w:p>
    <w:p w14:paraId="4A203354" w14:textId="77777777" w:rsidR="00165C9E" w:rsidRDefault="00165C9E">
      <w:pPr>
        <w:spacing w:line="400" w:lineRule="exact"/>
        <w:ind w:firstLineChars="200" w:firstLine="480"/>
        <w:rPr>
          <w:sz w:val="24"/>
          <w:szCs w:val="24"/>
        </w:rPr>
      </w:pPr>
    </w:p>
    <w:p w14:paraId="505E0990" w14:textId="77777777" w:rsidR="00165C9E" w:rsidRDefault="00165C9E">
      <w:pPr>
        <w:spacing w:line="400" w:lineRule="exact"/>
        <w:ind w:firstLineChars="200" w:firstLine="480"/>
        <w:rPr>
          <w:sz w:val="24"/>
          <w:szCs w:val="24"/>
        </w:rPr>
      </w:pPr>
    </w:p>
    <w:p w14:paraId="42A1B04E" w14:textId="77777777" w:rsidR="00165C9E" w:rsidRDefault="00165C9E">
      <w:pPr>
        <w:spacing w:line="400" w:lineRule="exact"/>
        <w:ind w:firstLineChars="200" w:firstLine="480"/>
        <w:rPr>
          <w:sz w:val="24"/>
          <w:szCs w:val="24"/>
        </w:rPr>
      </w:pPr>
    </w:p>
    <w:p w14:paraId="4FF575C1" w14:textId="77777777" w:rsidR="00165C9E" w:rsidRDefault="00165C9E">
      <w:pPr>
        <w:spacing w:line="400" w:lineRule="exact"/>
        <w:ind w:firstLineChars="200" w:firstLine="480"/>
        <w:rPr>
          <w:sz w:val="24"/>
          <w:szCs w:val="24"/>
        </w:rPr>
      </w:pPr>
    </w:p>
    <w:p w14:paraId="16B349A7" w14:textId="77777777" w:rsidR="00165C9E" w:rsidRDefault="00165C9E">
      <w:pPr>
        <w:spacing w:line="400" w:lineRule="exact"/>
        <w:ind w:firstLineChars="200" w:firstLine="480"/>
        <w:rPr>
          <w:sz w:val="24"/>
          <w:szCs w:val="24"/>
        </w:rPr>
      </w:pPr>
    </w:p>
    <w:p w14:paraId="771D4BA7" w14:textId="77777777" w:rsidR="00165C9E" w:rsidRDefault="00000000">
      <w:pPr>
        <w:spacing w:line="400" w:lineRule="exact"/>
        <w:ind w:firstLineChars="200" w:firstLine="480"/>
        <w:rPr>
          <w:sz w:val="24"/>
          <w:szCs w:val="24"/>
        </w:rPr>
      </w:pPr>
      <w:r>
        <w:rPr>
          <w:rFonts w:hint="eastAsia"/>
          <w:sz w:val="24"/>
          <w:szCs w:val="24"/>
        </w:rPr>
        <w:t>表</w:t>
      </w:r>
      <w:r>
        <w:rPr>
          <w:rFonts w:hint="eastAsia"/>
          <w:sz w:val="24"/>
          <w:szCs w:val="24"/>
        </w:rPr>
        <w:t>5-2</w:t>
      </w:r>
      <w:r>
        <w:rPr>
          <w:rFonts w:hint="eastAsia"/>
          <w:sz w:val="24"/>
          <w:szCs w:val="24"/>
        </w:rPr>
        <w:t>万科</w:t>
      </w:r>
      <w:r>
        <w:rPr>
          <w:rFonts w:hint="eastAsia"/>
          <w:sz w:val="24"/>
          <w:szCs w:val="24"/>
        </w:rPr>
        <w:t>2015-2018</w:t>
      </w:r>
      <w:r>
        <w:rPr>
          <w:rFonts w:hint="eastAsia"/>
          <w:sz w:val="24"/>
          <w:szCs w:val="24"/>
        </w:rPr>
        <w:t>年债务融资方式单位：万元</w:t>
      </w:r>
    </w:p>
    <w:tbl>
      <w:tblPr>
        <w:tblW w:w="0" w:type="auto"/>
        <w:tblInd w:w="-106" w:type="dxa"/>
        <w:tblBorders>
          <w:top w:val="single" w:sz="12" w:space="0" w:color="auto"/>
          <w:bottom w:val="single" w:sz="12" w:space="0" w:color="auto"/>
          <w:insideH w:val="single" w:sz="4" w:space="0" w:color="auto"/>
        </w:tblBorders>
        <w:tblLook w:val="04A0" w:firstRow="1" w:lastRow="0" w:firstColumn="1" w:lastColumn="0" w:noHBand="0" w:noVBand="1"/>
      </w:tblPr>
      <w:tblGrid>
        <w:gridCol w:w="1915"/>
        <w:gridCol w:w="1493"/>
        <w:gridCol w:w="1704"/>
        <w:gridCol w:w="1705"/>
        <w:gridCol w:w="1705"/>
      </w:tblGrid>
      <w:tr w:rsidR="00165C9E" w14:paraId="2C6253E5" w14:textId="77777777">
        <w:tc>
          <w:tcPr>
            <w:tcW w:w="1915" w:type="dxa"/>
          </w:tcPr>
          <w:p w14:paraId="39EC4A84" w14:textId="77777777" w:rsidR="00165C9E" w:rsidRDefault="00000000">
            <w:pPr>
              <w:spacing w:line="360" w:lineRule="exact"/>
              <w:rPr>
                <w:rFonts w:ascii="宋体"/>
                <w:kern w:val="0"/>
              </w:rPr>
            </w:pPr>
            <w:r>
              <w:rPr>
                <w:rFonts w:cs="Calibri"/>
                <w:noProof/>
              </w:rPr>
              <mc:AlternateContent>
                <mc:Choice Requires="wps">
                  <w:drawing>
                    <wp:anchor distT="0" distB="0" distL="114300" distR="114300" simplePos="0" relativeHeight="251699200" behindDoc="0" locked="0" layoutInCell="1" allowOverlap="1" wp14:anchorId="2D70D865" wp14:editId="5D2A6AA3">
                      <wp:simplePos x="0" y="0"/>
                      <wp:positionH relativeFrom="column">
                        <wp:posOffset>-53975</wp:posOffset>
                      </wp:positionH>
                      <wp:positionV relativeFrom="paragraph">
                        <wp:posOffset>3175</wp:posOffset>
                      </wp:positionV>
                      <wp:extent cx="1057275" cy="238125"/>
                      <wp:effectExtent l="0" t="0" r="28575" b="28575"/>
                      <wp:wrapNone/>
                      <wp:docPr id="5" name="直接连接符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57275" cy="238125"/>
                              </a:xfrm>
                              <a:prstGeom prst="line">
                                <a:avLst/>
                              </a:prstGeom>
                              <a:noFill/>
                              <a:ln w="3175">
                                <a:solidFill>
                                  <a:srgbClr val="000000"/>
                                </a:solidFill>
                                <a:round/>
                              </a:ln>
                            </wps:spPr>
                            <wps:bodyPr/>
                          </wps:wsp>
                        </a:graphicData>
                      </a:graphic>
                    </wp:anchor>
                  </w:drawing>
                </mc:Choice>
                <mc:Fallback>
                  <w:pict>
                    <v:line id="直接连接符 5" o:spid="_x0000_s1046" style="mso-wrap-distance-bottom:0;mso-wrap-distance-left:9pt;mso-wrap-distance-right:9pt;mso-wrap-distance-top:0;position:absolute;v-text-anchor:top;z-index:251698176" from="-4.25pt,0.25pt" to="79pt,19pt" fillcolor="this" stroked="t" strokecolor="black" strokeweight="0.25pt">
                      <v:stroke joinstyle="round"/>
                    </v:line>
                  </w:pict>
                </mc:Fallback>
              </mc:AlternateContent>
            </w:r>
            <w:r>
              <w:rPr>
                <w:rFonts w:ascii="宋体" w:cs="宋体" w:hint="eastAsia"/>
                <w:kern w:val="0"/>
              </w:rPr>
              <w:t>指标年度</w:t>
            </w:r>
          </w:p>
        </w:tc>
        <w:tc>
          <w:tcPr>
            <w:tcW w:w="1493" w:type="dxa"/>
          </w:tcPr>
          <w:p w14:paraId="38F385BE" w14:textId="77777777" w:rsidR="00165C9E" w:rsidRDefault="00000000">
            <w:pPr>
              <w:spacing w:line="360" w:lineRule="exact"/>
              <w:rPr>
                <w:rFonts w:ascii="宋体"/>
                <w:kern w:val="0"/>
              </w:rPr>
            </w:pPr>
            <w:r>
              <w:rPr>
                <w:rFonts w:ascii="宋体" w:cs="宋体" w:hint="eastAsia"/>
                <w:kern w:val="0"/>
              </w:rPr>
              <w:t>2015年</w:t>
            </w:r>
          </w:p>
        </w:tc>
        <w:tc>
          <w:tcPr>
            <w:tcW w:w="1704" w:type="dxa"/>
          </w:tcPr>
          <w:p w14:paraId="715E910E" w14:textId="77777777" w:rsidR="00165C9E" w:rsidRDefault="00000000">
            <w:pPr>
              <w:spacing w:line="360" w:lineRule="exact"/>
              <w:rPr>
                <w:rFonts w:ascii="宋体"/>
                <w:kern w:val="0"/>
              </w:rPr>
            </w:pPr>
            <w:r>
              <w:rPr>
                <w:rFonts w:ascii="宋体" w:cs="宋体" w:hint="eastAsia"/>
                <w:kern w:val="0"/>
              </w:rPr>
              <w:t>2016年</w:t>
            </w:r>
          </w:p>
        </w:tc>
        <w:tc>
          <w:tcPr>
            <w:tcW w:w="1705" w:type="dxa"/>
          </w:tcPr>
          <w:p w14:paraId="53EFA76B" w14:textId="77777777" w:rsidR="00165C9E" w:rsidRDefault="00000000">
            <w:pPr>
              <w:spacing w:line="360" w:lineRule="exact"/>
              <w:rPr>
                <w:rFonts w:ascii="宋体"/>
                <w:kern w:val="0"/>
              </w:rPr>
            </w:pPr>
            <w:r>
              <w:rPr>
                <w:rFonts w:ascii="宋体" w:cs="宋体" w:hint="eastAsia"/>
                <w:kern w:val="0"/>
              </w:rPr>
              <w:t>2017年</w:t>
            </w:r>
          </w:p>
        </w:tc>
        <w:tc>
          <w:tcPr>
            <w:tcW w:w="1705" w:type="dxa"/>
          </w:tcPr>
          <w:p w14:paraId="2BF68BEA" w14:textId="77777777" w:rsidR="00165C9E" w:rsidRDefault="00000000">
            <w:pPr>
              <w:spacing w:line="360" w:lineRule="exact"/>
              <w:rPr>
                <w:rFonts w:ascii="宋体"/>
                <w:kern w:val="0"/>
              </w:rPr>
            </w:pPr>
            <w:r>
              <w:rPr>
                <w:rFonts w:ascii="宋体" w:cs="宋体" w:hint="eastAsia"/>
                <w:kern w:val="0"/>
              </w:rPr>
              <w:t>2018年</w:t>
            </w:r>
          </w:p>
        </w:tc>
      </w:tr>
      <w:tr w:rsidR="00165C9E" w14:paraId="026CC12F" w14:textId="77777777">
        <w:tc>
          <w:tcPr>
            <w:tcW w:w="1915" w:type="dxa"/>
          </w:tcPr>
          <w:p w14:paraId="53394165" w14:textId="77777777" w:rsidR="00165C9E" w:rsidRDefault="00000000">
            <w:pPr>
              <w:spacing w:line="360" w:lineRule="exact"/>
              <w:rPr>
                <w:rFonts w:ascii="宋体"/>
                <w:kern w:val="0"/>
              </w:rPr>
            </w:pPr>
            <w:r>
              <w:rPr>
                <w:rFonts w:ascii="宋体" w:cs="宋体" w:hint="eastAsia"/>
                <w:kern w:val="0"/>
              </w:rPr>
              <w:t>债务融资总余额</w:t>
            </w:r>
          </w:p>
        </w:tc>
        <w:tc>
          <w:tcPr>
            <w:tcW w:w="1493" w:type="dxa"/>
          </w:tcPr>
          <w:p w14:paraId="568EAB4A" w14:textId="77777777" w:rsidR="00165C9E" w:rsidRDefault="00000000">
            <w:pPr>
              <w:spacing w:line="360" w:lineRule="exact"/>
              <w:rPr>
                <w:rFonts w:ascii="宋体" w:cs="宋体"/>
                <w:kern w:val="0"/>
              </w:rPr>
            </w:pPr>
            <w:r>
              <w:rPr>
                <w:rFonts w:ascii="宋体" w:cs="宋体" w:hint="eastAsia"/>
                <w:kern w:val="0"/>
              </w:rPr>
              <w:t>7949000</w:t>
            </w:r>
          </w:p>
        </w:tc>
        <w:tc>
          <w:tcPr>
            <w:tcW w:w="1704" w:type="dxa"/>
          </w:tcPr>
          <w:p w14:paraId="3A4E096E" w14:textId="77777777" w:rsidR="00165C9E" w:rsidRDefault="00000000">
            <w:pPr>
              <w:spacing w:line="360" w:lineRule="exact"/>
              <w:rPr>
                <w:rFonts w:ascii="宋体" w:cs="宋体"/>
                <w:kern w:val="0"/>
              </w:rPr>
            </w:pPr>
            <w:r>
              <w:rPr>
                <w:rFonts w:ascii="宋体" w:cs="宋体" w:hint="eastAsia"/>
                <w:kern w:val="0"/>
              </w:rPr>
              <w:t>4335000</w:t>
            </w:r>
          </w:p>
        </w:tc>
        <w:tc>
          <w:tcPr>
            <w:tcW w:w="1705" w:type="dxa"/>
          </w:tcPr>
          <w:p w14:paraId="5ECC88BE" w14:textId="77777777" w:rsidR="00165C9E" w:rsidRDefault="00000000">
            <w:pPr>
              <w:spacing w:line="360" w:lineRule="exact"/>
              <w:rPr>
                <w:rFonts w:ascii="宋体" w:cs="宋体"/>
                <w:kern w:val="0"/>
              </w:rPr>
            </w:pPr>
            <w:r>
              <w:rPr>
                <w:rFonts w:ascii="宋体" w:cs="宋体" w:hint="eastAsia"/>
                <w:kern w:val="0"/>
              </w:rPr>
              <w:t>19062441.31</w:t>
            </w:r>
          </w:p>
        </w:tc>
        <w:tc>
          <w:tcPr>
            <w:tcW w:w="1705" w:type="dxa"/>
          </w:tcPr>
          <w:p w14:paraId="67A6BB4F" w14:textId="77777777" w:rsidR="00165C9E" w:rsidRDefault="00000000">
            <w:pPr>
              <w:spacing w:line="360" w:lineRule="exact"/>
              <w:rPr>
                <w:rFonts w:ascii="宋体" w:cs="宋体"/>
                <w:kern w:val="0"/>
              </w:rPr>
            </w:pPr>
            <w:r>
              <w:rPr>
                <w:rFonts w:ascii="宋体" w:cs="宋体" w:hint="eastAsia"/>
                <w:kern w:val="0"/>
              </w:rPr>
              <w:t>26120759.65</w:t>
            </w:r>
          </w:p>
        </w:tc>
      </w:tr>
      <w:tr w:rsidR="00165C9E" w14:paraId="58ACD031" w14:textId="77777777">
        <w:tc>
          <w:tcPr>
            <w:tcW w:w="1915" w:type="dxa"/>
          </w:tcPr>
          <w:p w14:paraId="213BE8BD" w14:textId="77777777" w:rsidR="00165C9E" w:rsidRDefault="00000000">
            <w:pPr>
              <w:spacing w:line="360" w:lineRule="exact"/>
              <w:rPr>
                <w:rFonts w:ascii="宋体"/>
                <w:kern w:val="0"/>
              </w:rPr>
            </w:pPr>
            <w:r>
              <w:rPr>
                <w:rFonts w:ascii="宋体" w:cs="宋体" w:hint="eastAsia"/>
                <w:kern w:val="0"/>
              </w:rPr>
              <w:t>银行贷款</w:t>
            </w:r>
          </w:p>
        </w:tc>
        <w:tc>
          <w:tcPr>
            <w:tcW w:w="1493" w:type="dxa"/>
          </w:tcPr>
          <w:p w14:paraId="125C6B23" w14:textId="77777777" w:rsidR="00165C9E" w:rsidRDefault="00000000">
            <w:pPr>
              <w:spacing w:line="360" w:lineRule="exact"/>
              <w:rPr>
                <w:rFonts w:ascii="宋体" w:cs="宋体"/>
                <w:kern w:val="0"/>
              </w:rPr>
            </w:pPr>
            <w:r>
              <w:rPr>
                <w:rFonts w:ascii="宋体" w:cs="宋体" w:hint="eastAsia"/>
                <w:kern w:val="0"/>
              </w:rPr>
              <w:t>3562741.80</w:t>
            </w:r>
          </w:p>
        </w:tc>
        <w:tc>
          <w:tcPr>
            <w:tcW w:w="1704" w:type="dxa"/>
          </w:tcPr>
          <w:p w14:paraId="7E86EB56" w14:textId="77777777" w:rsidR="00165C9E" w:rsidRDefault="00000000">
            <w:pPr>
              <w:spacing w:line="360" w:lineRule="exact"/>
              <w:rPr>
                <w:rFonts w:ascii="宋体" w:cs="宋体"/>
                <w:kern w:val="0"/>
              </w:rPr>
            </w:pPr>
            <w:r>
              <w:rPr>
                <w:rFonts w:ascii="宋体" w:cs="宋体" w:hint="eastAsia"/>
                <w:kern w:val="0"/>
              </w:rPr>
              <w:t>2540310.00</w:t>
            </w:r>
          </w:p>
        </w:tc>
        <w:tc>
          <w:tcPr>
            <w:tcW w:w="1705" w:type="dxa"/>
          </w:tcPr>
          <w:p w14:paraId="18FF4957" w14:textId="77777777" w:rsidR="00165C9E" w:rsidRDefault="00000000">
            <w:pPr>
              <w:spacing w:line="360" w:lineRule="exact"/>
              <w:rPr>
                <w:rFonts w:ascii="宋体" w:cs="宋体"/>
                <w:kern w:val="0"/>
              </w:rPr>
            </w:pPr>
            <w:r>
              <w:rPr>
                <w:rFonts w:ascii="宋体" w:cs="宋体" w:hint="eastAsia"/>
                <w:kern w:val="0"/>
              </w:rPr>
              <w:t>115.7327.55</w:t>
            </w:r>
          </w:p>
        </w:tc>
        <w:tc>
          <w:tcPr>
            <w:tcW w:w="1705" w:type="dxa"/>
          </w:tcPr>
          <w:p w14:paraId="14AD5544" w14:textId="77777777" w:rsidR="00165C9E" w:rsidRDefault="00000000">
            <w:pPr>
              <w:spacing w:line="360" w:lineRule="exact"/>
              <w:rPr>
                <w:rFonts w:ascii="宋体" w:cs="宋体"/>
                <w:kern w:val="0"/>
              </w:rPr>
            </w:pPr>
            <w:r>
              <w:rPr>
                <w:rFonts w:ascii="宋体" w:cs="宋体" w:hint="eastAsia"/>
                <w:kern w:val="0"/>
              </w:rPr>
              <w:t>13796296.73</w:t>
            </w:r>
          </w:p>
        </w:tc>
      </w:tr>
      <w:tr w:rsidR="00165C9E" w14:paraId="7AB80071" w14:textId="77777777">
        <w:tc>
          <w:tcPr>
            <w:tcW w:w="1915" w:type="dxa"/>
          </w:tcPr>
          <w:p w14:paraId="78BBD45E" w14:textId="77777777" w:rsidR="00165C9E" w:rsidRDefault="00000000">
            <w:pPr>
              <w:spacing w:line="360" w:lineRule="exact"/>
              <w:rPr>
                <w:rFonts w:ascii="宋体"/>
                <w:kern w:val="0"/>
              </w:rPr>
            </w:pPr>
            <w:r>
              <w:rPr>
                <w:rFonts w:ascii="宋体" w:cs="宋体" w:hint="eastAsia"/>
                <w:kern w:val="0"/>
              </w:rPr>
              <w:t>所占比重</w:t>
            </w:r>
          </w:p>
        </w:tc>
        <w:tc>
          <w:tcPr>
            <w:tcW w:w="1493" w:type="dxa"/>
          </w:tcPr>
          <w:p w14:paraId="58CF21EB" w14:textId="77777777" w:rsidR="00165C9E" w:rsidRDefault="00000000">
            <w:pPr>
              <w:spacing w:line="360" w:lineRule="exact"/>
              <w:rPr>
                <w:rFonts w:ascii="宋体" w:cs="宋体"/>
                <w:kern w:val="0"/>
              </w:rPr>
            </w:pPr>
            <w:r>
              <w:rPr>
                <w:rFonts w:ascii="宋体" w:cs="宋体" w:hint="eastAsia"/>
                <w:kern w:val="0"/>
              </w:rPr>
              <w:t>44.82%</w:t>
            </w:r>
          </w:p>
        </w:tc>
        <w:tc>
          <w:tcPr>
            <w:tcW w:w="1704" w:type="dxa"/>
          </w:tcPr>
          <w:p w14:paraId="1D55134F" w14:textId="77777777" w:rsidR="00165C9E" w:rsidRDefault="00000000">
            <w:pPr>
              <w:spacing w:line="360" w:lineRule="exact"/>
              <w:rPr>
                <w:rFonts w:ascii="宋体" w:cs="宋体"/>
                <w:kern w:val="0"/>
              </w:rPr>
            </w:pPr>
            <w:r>
              <w:rPr>
                <w:rFonts w:ascii="宋体" w:cs="宋体" w:hint="eastAsia"/>
                <w:kern w:val="0"/>
              </w:rPr>
              <w:t>58.60%</w:t>
            </w:r>
          </w:p>
        </w:tc>
        <w:tc>
          <w:tcPr>
            <w:tcW w:w="1705" w:type="dxa"/>
          </w:tcPr>
          <w:p w14:paraId="63D2767E" w14:textId="77777777" w:rsidR="00165C9E" w:rsidRDefault="00000000">
            <w:pPr>
              <w:spacing w:line="360" w:lineRule="exact"/>
              <w:rPr>
                <w:rFonts w:ascii="宋体" w:cs="宋体"/>
                <w:kern w:val="0"/>
              </w:rPr>
            </w:pPr>
            <w:r>
              <w:rPr>
                <w:rFonts w:ascii="宋体" w:cs="宋体" w:hint="eastAsia"/>
                <w:kern w:val="0"/>
              </w:rPr>
              <w:t>60.50%</w:t>
            </w:r>
          </w:p>
        </w:tc>
        <w:tc>
          <w:tcPr>
            <w:tcW w:w="1705" w:type="dxa"/>
          </w:tcPr>
          <w:p w14:paraId="1C18B3D7" w14:textId="77777777" w:rsidR="00165C9E" w:rsidRDefault="00000000">
            <w:pPr>
              <w:spacing w:line="360" w:lineRule="exact"/>
              <w:rPr>
                <w:rFonts w:ascii="宋体" w:cs="宋体"/>
                <w:kern w:val="0"/>
              </w:rPr>
            </w:pPr>
            <w:r>
              <w:rPr>
                <w:rFonts w:ascii="宋体" w:cs="宋体" w:hint="eastAsia"/>
                <w:kern w:val="0"/>
              </w:rPr>
              <w:t>52.80%</w:t>
            </w:r>
          </w:p>
        </w:tc>
      </w:tr>
      <w:tr w:rsidR="00165C9E" w14:paraId="5C37CCF1" w14:textId="77777777">
        <w:tc>
          <w:tcPr>
            <w:tcW w:w="1915" w:type="dxa"/>
          </w:tcPr>
          <w:p w14:paraId="7FF5D7DF" w14:textId="77777777" w:rsidR="00165C9E" w:rsidRDefault="00000000">
            <w:pPr>
              <w:spacing w:line="360" w:lineRule="exact"/>
              <w:rPr>
                <w:rFonts w:ascii="宋体"/>
                <w:kern w:val="0"/>
              </w:rPr>
            </w:pPr>
            <w:r>
              <w:rPr>
                <w:rFonts w:ascii="宋体" w:cs="宋体" w:hint="eastAsia"/>
                <w:kern w:val="0"/>
              </w:rPr>
              <w:t>债券</w:t>
            </w:r>
          </w:p>
        </w:tc>
        <w:tc>
          <w:tcPr>
            <w:tcW w:w="1493" w:type="dxa"/>
          </w:tcPr>
          <w:p w14:paraId="15678AB6" w14:textId="77777777" w:rsidR="00165C9E" w:rsidRDefault="00000000">
            <w:pPr>
              <w:spacing w:line="360" w:lineRule="exact"/>
              <w:rPr>
                <w:rFonts w:ascii="宋体" w:cs="宋体"/>
                <w:kern w:val="0"/>
              </w:rPr>
            </w:pPr>
            <w:r>
              <w:rPr>
                <w:rFonts w:ascii="宋体" w:cs="宋体" w:hint="eastAsia"/>
                <w:kern w:val="0"/>
              </w:rPr>
              <w:t>2001558.20</w:t>
            </w:r>
          </w:p>
        </w:tc>
        <w:tc>
          <w:tcPr>
            <w:tcW w:w="1704" w:type="dxa"/>
          </w:tcPr>
          <w:p w14:paraId="404135F8" w14:textId="77777777" w:rsidR="00165C9E" w:rsidRDefault="00000000">
            <w:pPr>
              <w:spacing w:line="360" w:lineRule="exact"/>
              <w:rPr>
                <w:rFonts w:ascii="宋体" w:cs="宋体"/>
                <w:kern w:val="0"/>
              </w:rPr>
            </w:pPr>
            <w:r>
              <w:rPr>
                <w:rFonts w:ascii="宋体" w:cs="宋体" w:hint="eastAsia"/>
                <w:kern w:val="0"/>
              </w:rPr>
              <w:t>1062075.00</w:t>
            </w:r>
          </w:p>
        </w:tc>
        <w:tc>
          <w:tcPr>
            <w:tcW w:w="1705" w:type="dxa"/>
          </w:tcPr>
          <w:p w14:paraId="20C03A5F" w14:textId="77777777" w:rsidR="00165C9E" w:rsidRDefault="00000000">
            <w:pPr>
              <w:spacing w:line="360" w:lineRule="exact"/>
              <w:rPr>
                <w:rFonts w:ascii="宋体" w:cs="宋体"/>
                <w:kern w:val="0"/>
              </w:rPr>
            </w:pPr>
            <w:r>
              <w:rPr>
                <w:rFonts w:ascii="宋体" w:cs="宋体" w:hint="eastAsia"/>
                <w:kern w:val="0"/>
              </w:rPr>
              <w:t>3848604.83</w:t>
            </w:r>
          </w:p>
        </w:tc>
        <w:tc>
          <w:tcPr>
            <w:tcW w:w="1705" w:type="dxa"/>
          </w:tcPr>
          <w:p w14:paraId="098C08BC" w14:textId="77777777" w:rsidR="00165C9E" w:rsidRDefault="00000000">
            <w:pPr>
              <w:spacing w:line="360" w:lineRule="exact"/>
              <w:rPr>
                <w:rFonts w:ascii="宋体" w:cs="宋体"/>
                <w:kern w:val="0"/>
              </w:rPr>
            </w:pPr>
            <w:r>
              <w:rPr>
                <w:rFonts w:ascii="宋体" w:cs="宋体" w:hint="eastAsia"/>
                <w:kern w:val="0"/>
              </w:rPr>
              <w:t>7114161.83</w:t>
            </w:r>
          </w:p>
        </w:tc>
      </w:tr>
      <w:tr w:rsidR="00165C9E" w14:paraId="3E0C353D" w14:textId="77777777">
        <w:tc>
          <w:tcPr>
            <w:tcW w:w="1915" w:type="dxa"/>
          </w:tcPr>
          <w:p w14:paraId="63BE1FAD" w14:textId="77777777" w:rsidR="00165C9E" w:rsidRDefault="00000000">
            <w:pPr>
              <w:spacing w:line="360" w:lineRule="exact"/>
              <w:rPr>
                <w:rFonts w:ascii="宋体"/>
                <w:kern w:val="0"/>
              </w:rPr>
            </w:pPr>
            <w:r>
              <w:rPr>
                <w:rFonts w:ascii="宋体" w:cs="宋体" w:hint="eastAsia"/>
                <w:kern w:val="0"/>
              </w:rPr>
              <w:t>所占比重</w:t>
            </w:r>
          </w:p>
        </w:tc>
        <w:tc>
          <w:tcPr>
            <w:tcW w:w="1493" w:type="dxa"/>
          </w:tcPr>
          <w:p w14:paraId="0FD21FCB" w14:textId="77777777" w:rsidR="00165C9E" w:rsidRDefault="00000000">
            <w:pPr>
              <w:spacing w:line="360" w:lineRule="exact"/>
              <w:rPr>
                <w:rFonts w:ascii="宋体" w:cs="宋体"/>
                <w:kern w:val="0"/>
              </w:rPr>
            </w:pPr>
            <w:r>
              <w:rPr>
                <w:rFonts w:ascii="宋体" w:cs="宋体" w:hint="eastAsia"/>
                <w:kern w:val="0"/>
              </w:rPr>
              <w:t>25.18%</w:t>
            </w:r>
          </w:p>
        </w:tc>
        <w:tc>
          <w:tcPr>
            <w:tcW w:w="1704" w:type="dxa"/>
          </w:tcPr>
          <w:p w14:paraId="0B1A7076" w14:textId="77777777" w:rsidR="00165C9E" w:rsidRDefault="00000000">
            <w:pPr>
              <w:spacing w:line="360" w:lineRule="exact"/>
              <w:rPr>
                <w:rFonts w:ascii="宋体" w:cs="宋体"/>
                <w:kern w:val="0"/>
              </w:rPr>
            </w:pPr>
            <w:r>
              <w:rPr>
                <w:rFonts w:ascii="宋体" w:cs="宋体" w:hint="eastAsia"/>
                <w:kern w:val="0"/>
              </w:rPr>
              <w:t>24.50%</w:t>
            </w:r>
          </w:p>
        </w:tc>
        <w:tc>
          <w:tcPr>
            <w:tcW w:w="1705" w:type="dxa"/>
          </w:tcPr>
          <w:p w14:paraId="10591DCF" w14:textId="77777777" w:rsidR="00165C9E" w:rsidRDefault="00000000">
            <w:pPr>
              <w:spacing w:line="360" w:lineRule="exact"/>
              <w:rPr>
                <w:rFonts w:ascii="宋体" w:cs="宋体"/>
                <w:kern w:val="0"/>
              </w:rPr>
            </w:pPr>
            <w:r>
              <w:rPr>
                <w:rFonts w:ascii="宋体" w:cs="宋体" w:hint="eastAsia"/>
                <w:kern w:val="0"/>
              </w:rPr>
              <w:t>20.19%</w:t>
            </w:r>
          </w:p>
        </w:tc>
        <w:tc>
          <w:tcPr>
            <w:tcW w:w="1705" w:type="dxa"/>
          </w:tcPr>
          <w:p w14:paraId="45D957DB" w14:textId="77777777" w:rsidR="00165C9E" w:rsidRDefault="00000000">
            <w:pPr>
              <w:spacing w:line="360" w:lineRule="exact"/>
              <w:rPr>
                <w:rFonts w:ascii="宋体" w:cs="宋体"/>
                <w:kern w:val="0"/>
              </w:rPr>
            </w:pPr>
            <w:r>
              <w:rPr>
                <w:rFonts w:ascii="宋体" w:cs="宋体" w:hint="eastAsia"/>
                <w:kern w:val="0"/>
              </w:rPr>
              <w:t>27.20%</w:t>
            </w:r>
          </w:p>
        </w:tc>
      </w:tr>
      <w:tr w:rsidR="00165C9E" w14:paraId="63F02E98" w14:textId="77777777">
        <w:tc>
          <w:tcPr>
            <w:tcW w:w="1915" w:type="dxa"/>
          </w:tcPr>
          <w:p w14:paraId="75634657" w14:textId="77777777" w:rsidR="00165C9E" w:rsidRDefault="00000000">
            <w:pPr>
              <w:spacing w:line="360" w:lineRule="exact"/>
              <w:rPr>
                <w:rFonts w:ascii="宋体"/>
                <w:kern w:val="0"/>
              </w:rPr>
            </w:pPr>
            <w:r>
              <w:rPr>
                <w:rFonts w:ascii="宋体" w:cs="宋体" w:hint="eastAsia"/>
                <w:kern w:val="0"/>
              </w:rPr>
              <w:t>其他借款</w:t>
            </w:r>
          </w:p>
        </w:tc>
        <w:tc>
          <w:tcPr>
            <w:tcW w:w="1493" w:type="dxa"/>
          </w:tcPr>
          <w:p w14:paraId="7C8E67FF" w14:textId="77777777" w:rsidR="00165C9E" w:rsidRDefault="00000000">
            <w:pPr>
              <w:spacing w:line="360" w:lineRule="exact"/>
              <w:rPr>
                <w:rFonts w:ascii="宋体" w:cs="宋体"/>
                <w:kern w:val="0"/>
              </w:rPr>
            </w:pPr>
            <w:r>
              <w:rPr>
                <w:rFonts w:ascii="宋体" w:cs="宋体" w:hint="eastAsia"/>
                <w:kern w:val="0"/>
              </w:rPr>
              <w:t>2384700.00</w:t>
            </w:r>
          </w:p>
        </w:tc>
        <w:tc>
          <w:tcPr>
            <w:tcW w:w="1704" w:type="dxa"/>
          </w:tcPr>
          <w:p w14:paraId="7E388D28" w14:textId="77777777" w:rsidR="00165C9E" w:rsidRDefault="00000000">
            <w:pPr>
              <w:spacing w:line="360" w:lineRule="exact"/>
              <w:rPr>
                <w:rFonts w:ascii="宋体" w:cs="宋体"/>
                <w:kern w:val="0"/>
              </w:rPr>
            </w:pPr>
            <w:r>
              <w:rPr>
                <w:rFonts w:ascii="宋体" w:cs="宋体" w:hint="eastAsia"/>
                <w:kern w:val="0"/>
              </w:rPr>
              <w:t>732615.00</w:t>
            </w:r>
          </w:p>
        </w:tc>
        <w:tc>
          <w:tcPr>
            <w:tcW w:w="1705" w:type="dxa"/>
          </w:tcPr>
          <w:p w14:paraId="5A8C2A8B" w14:textId="77777777" w:rsidR="00165C9E" w:rsidRDefault="00000000">
            <w:pPr>
              <w:spacing w:line="360" w:lineRule="exact"/>
              <w:rPr>
                <w:rFonts w:ascii="宋体" w:cs="宋体"/>
                <w:kern w:val="0"/>
              </w:rPr>
            </w:pPr>
            <w:r>
              <w:rPr>
                <w:rFonts w:ascii="宋体" w:cs="宋体" w:hint="eastAsia"/>
                <w:kern w:val="0"/>
              </w:rPr>
              <w:t>3676508.93</w:t>
            </w:r>
          </w:p>
        </w:tc>
        <w:tc>
          <w:tcPr>
            <w:tcW w:w="1705" w:type="dxa"/>
          </w:tcPr>
          <w:p w14:paraId="4E490FCE" w14:textId="77777777" w:rsidR="00165C9E" w:rsidRDefault="00000000">
            <w:pPr>
              <w:spacing w:line="360" w:lineRule="exact"/>
              <w:rPr>
                <w:rFonts w:ascii="宋体" w:cs="宋体"/>
                <w:kern w:val="0"/>
              </w:rPr>
            </w:pPr>
            <w:r>
              <w:rPr>
                <w:rFonts w:ascii="宋体" w:cs="宋体" w:hint="eastAsia"/>
                <w:kern w:val="0"/>
              </w:rPr>
              <w:t>5210301.09</w:t>
            </w:r>
          </w:p>
        </w:tc>
      </w:tr>
      <w:tr w:rsidR="00165C9E" w14:paraId="5ECE222A" w14:textId="77777777">
        <w:tc>
          <w:tcPr>
            <w:tcW w:w="1915" w:type="dxa"/>
          </w:tcPr>
          <w:p w14:paraId="1038787B" w14:textId="77777777" w:rsidR="00165C9E" w:rsidRDefault="00000000">
            <w:pPr>
              <w:spacing w:line="360" w:lineRule="exact"/>
              <w:rPr>
                <w:rFonts w:ascii="宋体"/>
                <w:kern w:val="0"/>
              </w:rPr>
            </w:pPr>
            <w:r>
              <w:rPr>
                <w:rFonts w:ascii="宋体" w:cs="宋体" w:hint="eastAsia"/>
                <w:kern w:val="0"/>
              </w:rPr>
              <w:t>所占比重</w:t>
            </w:r>
          </w:p>
        </w:tc>
        <w:tc>
          <w:tcPr>
            <w:tcW w:w="1493" w:type="dxa"/>
          </w:tcPr>
          <w:p w14:paraId="6172B271" w14:textId="77777777" w:rsidR="00165C9E" w:rsidRDefault="00000000">
            <w:pPr>
              <w:spacing w:line="360" w:lineRule="exact"/>
              <w:rPr>
                <w:rFonts w:ascii="宋体" w:cs="宋体"/>
                <w:kern w:val="0"/>
              </w:rPr>
            </w:pPr>
            <w:r>
              <w:rPr>
                <w:rFonts w:ascii="宋体" w:cs="宋体" w:hint="eastAsia"/>
                <w:kern w:val="0"/>
              </w:rPr>
              <w:t>30.00%</w:t>
            </w:r>
          </w:p>
        </w:tc>
        <w:tc>
          <w:tcPr>
            <w:tcW w:w="1704" w:type="dxa"/>
          </w:tcPr>
          <w:p w14:paraId="083475E4" w14:textId="77777777" w:rsidR="00165C9E" w:rsidRDefault="00000000">
            <w:pPr>
              <w:spacing w:line="360" w:lineRule="exact"/>
              <w:rPr>
                <w:rFonts w:ascii="宋体" w:cs="宋体"/>
                <w:kern w:val="0"/>
              </w:rPr>
            </w:pPr>
            <w:r>
              <w:rPr>
                <w:rFonts w:ascii="宋体" w:cs="宋体" w:hint="eastAsia"/>
                <w:kern w:val="0"/>
              </w:rPr>
              <w:t>16.90%</w:t>
            </w:r>
          </w:p>
        </w:tc>
        <w:tc>
          <w:tcPr>
            <w:tcW w:w="1705" w:type="dxa"/>
          </w:tcPr>
          <w:p w14:paraId="5F9B6153" w14:textId="77777777" w:rsidR="00165C9E" w:rsidRDefault="00000000">
            <w:pPr>
              <w:spacing w:line="360" w:lineRule="exact"/>
              <w:rPr>
                <w:rFonts w:ascii="宋体" w:cs="宋体"/>
                <w:kern w:val="0"/>
              </w:rPr>
            </w:pPr>
            <w:r>
              <w:rPr>
                <w:rFonts w:ascii="宋体" w:cs="宋体" w:hint="eastAsia"/>
                <w:kern w:val="0"/>
              </w:rPr>
              <w:t>19.31%</w:t>
            </w:r>
          </w:p>
        </w:tc>
        <w:tc>
          <w:tcPr>
            <w:tcW w:w="1705" w:type="dxa"/>
          </w:tcPr>
          <w:p w14:paraId="66F1A184" w14:textId="77777777" w:rsidR="00165C9E" w:rsidRDefault="00000000">
            <w:pPr>
              <w:spacing w:line="360" w:lineRule="exact"/>
              <w:rPr>
                <w:rFonts w:ascii="宋体" w:cs="宋体"/>
                <w:kern w:val="0"/>
              </w:rPr>
            </w:pPr>
            <w:r>
              <w:rPr>
                <w:rFonts w:ascii="宋体" w:cs="宋体" w:hint="eastAsia"/>
                <w:kern w:val="0"/>
              </w:rPr>
              <w:t>20.00%</w:t>
            </w:r>
          </w:p>
        </w:tc>
      </w:tr>
    </w:tbl>
    <w:p w14:paraId="25017D9A" w14:textId="77777777" w:rsidR="00165C9E" w:rsidRDefault="00000000">
      <w:pPr>
        <w:spacing w:line="400" w:lineRule="exact"/>
        <w:ind w:firstLineChars="200" w:firstLine="420"/>
        <w:jc w:val="left"/>
        <w:rPr>
          <w:rFonts w:ascii="黑体" w:eastAsia="黑体" w:hAnsi="黑体" w:cs="宋体"/>
        </w:rPr>
      </w:pPr>
      <w:r>
        <w:rPr>
          <w:rFonts w:ascii="黑体" w:eastAsia="黑体" w:hAnsi="黑体" w:cs="宋体" w:hint="eastAsia"/>
        </w:rPr>
        <w:t>数据来源：新浪财经数据万科A年报（</w:t>
      </w:r>
      <w:hyperlink r:id="rId19" w:history="1">
        <w:r>
          <w:rPr>
            <w:rFonts w:ascii="黑体" w:eastAsia="黑体" w:hAnsi="黑体"/>
          </w:rPr>
          <w:t>http://vip.stock.finance.sina.com.cn/corp/go.php/vCB_Bulletin/stockid/000002/page_type/ndbg.phtml</w:t>
        </w:r>
      </w:hyperlink>
      <w:r>
        <w:rPr>
          <w:rFonts w:ascii="黑体" w:eastAsia="黑体" w:hAnsi="黑体" w:cs="宋体"/>
        </w:rPr>
        <w:t>）</w:t>
      </w:r>
    </w:p>
    <w:p w14:paraId="453C3657" w14:textId="77777777" w:rsidR="00165C9E" w:rsidRDefault="00000000">
      <w:pPr>
        <w:spacing w:line="400" w:lineRule="exact"/>
        <w:ind w:firstLineChars="200" w:firstLine="480"/>
        <w:rPr>
          <w:rFonts w:cs="宋体"/>
          <w:sz w:val="24"/>
          <w:szCs w:val="24"/>
        </w:rPr>
      </w:pPr>
      <w:r>
        <w:rPr>
          <w:rFonts w:cs="宋体" w:hint="eastAsia"/>
          <w:sz w:val="24"/>
          <w:szCs w:val="24"/>
        </w:rPr>
        <w:t>从表中可以看出来万科大部分融资途径是通过银行贷款，银行贷款占五六成，说明万科过分依赖银行贷款，但</w:t>
      </w:r>
      <w:r>
        <w:rPr>
          <w:rFonts w:cs="宋体" w:hint="eastAsia"/>
          <w:sz w:val="24"/>
          <w:szCs w:val="24"/>
        </w:rPr>
        <w:t>2018</w:t>
      </w:r>
      <w:r>
        <w:rPr>
          <w:rFonts w:cs="宋体" w:hint="eastAsia"/>
          <w:sz w:val="24"/>
          <w:szCs w:val="24"/>
        </w:rPr>
        <w:t>年银行贷款占比比</w:t>
      </w:r>
      <w:r>
        <w:rPr>
          <w:rFonts w:cs="宋体" w:hint="eastAsia"/>
          <w:sz w:val="24"/>
          <w:szCs w:val="24"/>
        </w:rPr>
        <w:t>2017</w:t>
      </w:r>
      <w:r>
        <w:rPr>
          <w:rFonts w:cs="宋体" w:hint="eastAsia"/>
          <w:sz w:val="24"/>
          <w:szCs w:val="24"/>
        </w:rPr>
        <w:t>年下降</w:t>
      </w:r>
      <w:r>
        <w:rPr>
          <w:rFonts w:cs="宋体" w:hint="eastAsia"/>
          <w:sz w:val="24"/>
          <w:szCs w:val="24"/>
        </w:rPr>
        <w:t>7.7%</w:t>
      </w:r>
      <w:r>
        <w:rPr>
          <w:rFonts w:cs="宋体" w:hint="eastAsia"/>
          <w:sz w:val="24"/>
          <w:szCs w:val="24"/>
        </w:rPr>
        <w:t>得益于万科积极开拓其他融资方式。在</w:t>
      </w:r>
      <w:r>
        <w:rPr>
          <w:rFonts w:cs="宋体" w:hint="eastAsia"/>
          <w:sz w:val="24"/>
          <w:szCs w:val="24"/>
        </w:rPr>
        <w:t>2018</w:t>
      </w:r>
      <w:r>
        <w:rPr>
          <w:rFonts w:cs="宋体" w:hint="eastAsia"/>
          <w:sz w:val="24"/>
          <w:szCs w:val="24"/>
        </w:rPr>
        <w:t>年公开发行债券</w:t>
      </w:r>
      <w:r>
        <w:rPr>
          <w:rFonts w:cs="宋体" w:hint="eastAsia"/>
          <w:sz w:val="24"/>
          <w:szCs w:val="24"/>
        </w:rPr>
        <w:t>200000</w:t>
      </w:r>
      <w:r>
        <w:rPr>
          <w:rFonts w:cs="宋体" w:hint="eastAsia"/>
          <w:sz w:val="24"/>
          <w:szCs w:val="24"/>
        </w:rPr>
        <w:t>万元，计息方式是单利率，融资利率成本为</w:t>
      </w:r>
      <w:r>
        <w:rPr>
          <w:rFonts w:cs="宋体" w:hint="eastAsia"/>
          <w:sz w:val="24"/>
          <w:szCs w:val="24"/>
        </w:rPr>
        <w:t>200000</w:t>
      </w:r>
      <w:r>
        <w:rPr>
          <w:rFonts w:cs="宋体" w:hint="eastAsia"/>
          <w:sz w:val="24"/>
          <w:szCs w:val="24"/>
        </w:rPr>
        <w:t>乘于利率</w:t>
      </w:r>
      <w:r>
        <w:rPr>
          <w:rFonts w:cs="宋体" w:hint="eastAsia"/>
          <w:sz w:val="24"/>
          <w:szCs w:val="24"/>
        </w:rPr>
        <w:t>4.18%</w:t>
      </w:r>
      <w:r>
        <w:rPr>
          <w:rFonts w:cs="宋体" w:hint="eastAsia"/>
          <w:sz w:val="24"/>
          <w:szCs w:val="24"/>
        </w:rPr>
        <w:t>等于</w:t>
      </w:r>
      <w:r>
        <w:rPr>
          <w:rFonts w:cs="宋体" w:hint="eastAsia"/>
          <w:sz w:val="24"/>
          <w:szCs w:val="24"/>
        </w:rPr>
        <w:t>83600</w:t>
      </w:r>
      <w:r>
        <w:rPr>
          <w:rFonts w:cs="宋体" w:hint="eastAsia"/>
          <w:sz w:val="24"/>
          <w:szCs w:val="24"/>
        </w:rPr>
        <w:t>万元。</w:t>
      </w:r>
    </w:p>
    <w:tbl>
      <w:tblPr>
        <w:tblW w:w="0" w:type="auto"/>
        <w:tblInd w:w="-106" w:type="dxa"/>
        <w:tblBorders>
          <w:top w:val="single" w:sz="12" w:space="0" w:color="auto"/>
          <w:bottom w:val="single" w:sz="12" w:space="0" w:color="auto"/>
          <w:insideH w:val="single" w:sz="4" w:space="0" w:color="auto"/>
        </w:tblBorders>
        <w:tblLook w:val="04A0" w:firstRow="1" w:lastRow="0" w:firstColumn="1" w:lastColumn="0" w:noHBand="0" w:noVBand="1"/>
      </w:tblPr>
      <w:tblGrid>
        <w:gridCol w:w="1526"/>
        <w:gridCol w:w="2941"/>
        <w:gridCol w:w="1924"/>
        <w:gridCol w:w="2131"/>
      </w:tblGrid>
      <w:tr w:rsidR="00165C9E" w14:paraId="569ABE99" w14:textId="77777777">
        <w:tc>
          <w:tcPr>
            <w:tcW w:w="1526" w:type="dxa"/>
          </w:tcPr>
          <w:p w14:paraId="31FD86B1" w14:textId="77777777" w:rsidR="00165C9E" w:rsidRDefault="00000000">
            <w:pPr>
              <w:spacing w:line="360" w:lineRule="exact"/>
              <w:rPr>
                <w:rFonts w:asciiTheme="minorEastAsia" w:eastAsiaTheme="minorEastAsia" w:hAnsiTheme="minorEastAsia"/>
                <w:kern w:val="0"/>
              </w:rPr>
            </w:pPr>
            <w:r>
              <w:rPr>
                <w:rFonts w:asciiTheme="minorEastAsia" w:eastAsiaTheme="minorEastAsia" w:hAnsiTheme="minorEastAsia" w:cs="宋体" w:hint="eastAsia"/>
                <w:kern w:val="0"/>
              </w:rPr>
              <w:t>2018年</w:t>
            </w:r>
          </w:p>
        </w:tc>
        <w:tc>
          <w:tcPr>
            <w:tcW w:w="2941" w:type="dxa"/>
          </w:tcPr>
          <w:p w14:paraId="6624FB08" w14:textId="77777777" w:rsidR="00165C9E" w:rsidRDefault="00000000">
            <w:pPr>
              <w:spacing w:line="360" w:lineRule="exact"/>
              <w:rPr>
                <w:rFonts w:asciiTheme="minorEastAsia" w:eastAsiaTheme="minorEastAsia" w:hAnsiTheme="minorEastAsia"/>
                <w:kern w:val="0"/>
              </w:rPr>
            </w:pPr>
            <w:r>
              <w:rPr>
                <w:rFonts w:asciiTheme="minorEastAsia" w:eastAsiaTheme="minorEastAsia" w:hAnsiTheme="minorEastAsia" w:cs="宋体" w:hint="eastAsia"/>
                <w:kern w:val="0"/>
              </w:rPr>
              <w:t>银行贷款</w:t>
            </w:r>
          </w:p>
        </w:tc>
        <w:tc>
          <w:tcPr>
            <w:tcW w:w="1924" w:type="dxa"/>
          </w:tcPr>
          <w:p w14:paraId="33BF4DBB" w14:textId="77777777" w:rsidR="00165C9E" w:rsidRDefault="00000000">
            <w:pPr>
              <w:spacing w:line="360" w:lineRule="exact"/>
              <w:rPr>
                <w:rFonts w:asciiTheme="minorEastAsia" w:eastAsiaTheme="minorEastAsia" w:hAnsiTheme="minorEastAsia"/>
                <w:kern w:val="0"/>
              </w:rPr>
            </w:pPr>
            <w:r>
              <w:rPr>
                <w:rFonts w:asciiTheme="minorEastAsia" w:eastAsiaTheme="minorEastAsia" w:hAnsiTheme="minorEastAsia" w:cs="宋体" w:hint="eastAsia"/>
                <w:kern w:val="0"/>
              </w:rPr>
              <w:t>债券</w:t>
            </w:r>
          </w:p>
        </w:tc>
        <w:tc>
          <w:tcPr>
            <w:tcW w:w="2131" w:type="dxa"/>
          </w:tcPr>
          <w:p w14:paraId="4D15C105" w14:textId="77777777" w:rsidR="00165C9E" w:rsidRDefault="00000000">
            <w:pPr>
              <w:spacing w:line="360" w:lineRule="exact"/>
              <w:rPr>
                <w:rFonts w:asciiTheme="minorEastAsia" w:eastAsiaTheme="minorEastAsia" w:hAnsiTheme="minorEastAsia"/>
                <w:kern w:val="0"/>
              </w:rPr>
            </w:pPr>
            <w:r>
              <w:rPr>
                <w:rFonts w:asciiTheme="minorEastAsia" w:eastAsiaTheme="minorEastAsia" w:hAnsiTheme="minorEastAsia" w:cs="宋体" w:hint="eastAsia"/>
                <w:kern w:val="0"/>
              </w:rPr>
              <w:t>其他借款</w:t>
            </w:r>
          </w:p>
        </w:tc>
      </w:tr>
      <w:tr w:rsidR="00165C9E" w14:paraId="7142229E" w14:textId="77777777">
        <w:tc>
          <w:tcPr>
            <w:tcW w:w="1526" w:type="dxa"/>
          </w:tcPr>
          <w:p w14:paraId="098ECF00" w14:textId="77777777" w:rsidR="00165C9E" w:rsidRDefault="00000000">
            <w:pPr>
              <w:spacing w:line="360" w:lineRule="exact"/>
              <w:rPr>
                <w:rFonts w:asciiTheme="minorEastAsia" w:eastAsiaTheme="minorEastAsia" w:hAnsiTheme="minorEastAsia"/>
                <w:kern w:val="0"/>
              </w:rPr>
            </w:pPr>
            <w:r>
              <w:rPr>
                <w:rFonts w:asciiTheme="minorEastAsia" w:eastAsiaTheme="minorEastAsia" w:hAnsiTheme="minorEastAsia" w:cs="宋体" w:hint="eastAsia"/>
                <w:kern w:val="0"/>
              </w:rPr>
              <w:t>融资成本区间</w:t>
            </w:r>
          </w:p>
        </w:tc>
        <w:tc>
          <w:tcPr>
            <w:tcW w:w="2941" w:type="dxa"/>
          </w:tcPr>
          <w:p w14:paraId="46A7D731" w14:textId="77777777" w:rsidR="00165C9E" w:rsidRDefault="00000000">
            <w:pPr>
              <w:spacing w:line="360" w:lineRule="exact"/>
              <w:rPr>
                <w:rFonts w:asciiTheme="minorEastAsia" w:eastAsiaTheme="minorEastAsia" w:hAnsiTheme="minorEastAsia"/>
                <w:kern w:val="0"/>
              </w:rPr>
            </w:pPr>
            <w:r>
              <w:rPr>
                <w:rFonts w:asciiTheme="minorEastAsia" w:eastAsiaTheme="minorEastAsia" w:hAnsiTheme="minorEastAsia"/>
                <w:kern w:val="0"/>
              </w:rPr>
              <w:t>Libor</w:t>
            </w:r>
            <w:r>
              <w:rPr>
                <w:rFonts w:asciiTheme="minorEastAsia" w:eastAsiaTheme="minorEastAsia" w:hAnsiTheme="minorEastAsia" w:cs="宋体" w:hint="eastAsia"/>
                <w:kern w:val="0"/>
              </w:rPr>
              <w:t>按约定利率上浮</w:t>
            </w:r>
            <w:r>
              <w:rPr>
                <w:rFonts w:asciiTheme="minorEastAsia" w:eastAsiaTheme="minorEastAsia" w:hAnsiTheme="minorEastAsia"/>
                <w:kern w:val="0"/>
              </w:rPr>
              <w:t>~6.7%</w:t>
            </w:r>
          </w:p>
        </w:tc>
        <w:tc>
          <w:tcPr>
            <w:tcW w:w="1924" w:type="dxa"/>
          </w:tcPr>
          <w:p w14:paraId="2FF74260" w14:textId="77777777" w:rsidR="00165C9E" w:rsidRDefault="00000000">
            <w:pPr>
              <w:spacing w:line="360" w:lineRule="exact"/>
              <w:rPr>
                <w:rFonts w:asciiTheme="minorEastAsia" w:eastAsiaTheme="minorEastAsia" w:hAnsiTheme="minorEastAsia"/>
                <w:kern w:val="0"/>
              </w:rPr>
            </w:pPr>
            <w:r>
              <w:rPr>
                <w:rFonts w:asciiTheme="minorEastAsia" w:eastAsiaTheme="minorEastAsia" w:hAnsiTheme="minorEastAsia"/>
                <w:kern w:val="0"/>
              </w:rPr>
              <w:t>2.50%-5.35%</w:t>
            </w:r>
          </w:p>
        </w:tc>
        <w:tc>
          <w:tcPr>
            <w:tcW w:w="2131" w:type="dxa"/>
          </w:tcPr>
          <w:p w14:paraId="3BBA32F8" w14:textId="77777777" w:rsidR="00165C9E" w:rsidRDefault="00000000">
            <w:pPr>
              <w:spacing w:line="360" w:lineRule="exact"/>
              <w:rPr>
                <w:rFonts w:asciiTheme="minorEastAsia" w:eastAsiaTheme="minorEastAsia" w:hAnsiTheme="minorEastAsia"/>
                <w:kern w:val="0"/>
              </w:rPr>
            </w:pPr>
            <w:r>
              <w:rPr>
                <w:rFonts w:asciiTheme="minorEastAsia" w:eastAsiaTheme="minorEastAsia" w:hAnsiTheme="minorEastAsia"/>
                <w:kern w:val="0"/>
              </w:rPr>
              <w:t>4.28%-8.3%</w:t>
            </w:r>
          </w:p>
        </w:tc>
      </w:tr>
    </w:tbl>
    <w:p w14:paraId="1136EF07" w14:textId="77777777" w:rsidR="00165C9E" w:rsidRDefault="00000000">
      <w:pPr>
        <w:spacing w:line="400" w:lineRule="exact"/>
        <w:ind w:firstLineChars="200" w:firstLine="420"/>
        <w:jc w:val="left"/>
        <w:rPr>
          <w:rFonts w:ascii="黑体" w:eastAsia="黑体" w:hAnsi="黑体" w:cs="宋体"/>
        </w:rPr>
      </w:pPr>
      <w:r>
        <w:rPr>
          <w:rFonts w:ascii="黑体" w:eastAsia="黑体" w:hAnsi="黑体" w:cs="宋体" w:hint="eastAsia"/>
        </w:rPr>
        <w:t>数据来源：新浪财经数据万科A年报</w:t>
      </w:r>
      <w:r>
        <w:rPr>
          <w:rStyle w:val="af6"/>
          <w:rFonts w:ascii="黑体" w:eastAsia="黑体" w:hAnsi="黑体" w:cs="宋体"/>
        </w:rPr>
        <w:footnoteReference w:id="4"/>
      </w:r>
      <w:r>
        <w:rPr>
          <w:rFonts w:ascii="黑体" w:eastAsia="黑体" w:hAnsi="黑体" w:cs="宋体" w:hint="eastAsia"/>
        </w:rPr>
        <w:t>（</w:t>
      </w:r>
      <w:r>
        <w:rPr>
          <w:rFonts w:ascii="黑体" w:eastAsia="黑体" w:hAnsi="黑体" w:cs="宋体"/>
        </w:rPr>
        <w:t>https://vip.stock.finance.sina.com.cn/corp/view/vCB_AllBulletinDetail.php?stockid=000002&amp;id=5113208</w:t>
      </w:r>
      <w:r>
        <w:rPr>
          <w:rFonts w:ascii="黑体" w:eastAsia="黑体" w:hAnsi="黑体" w:cs="宋体" w:hint="eastAsia"/>
        </w:rPr>
        <w:t>）</w:t>
      </w:r>
    </w:p>
    <w:p w14:paraId="037C9B1D" w14:textId="77777777" w:rsidR="00165C9E" w:rsidRDefault="00000000">
      <w:pPr>
        <w:spacing w:line="400" w:lineRule="exact"/>
        <w:ind w:firstLineChars="200" w:firstLine="480"/>
        <w:rPr>
          <w:rFonts w:cs="宋体"/>
          <w:sz w:val="24"/>
          <w:szCs w:val="24"/>
        </w:rPr>
      </w:pPr>
      <w:r>
        <w:rPr>
          <w:rFonts w:cs="宋体" w:hint="eastAsia"/>
          <w:sz w:val="24"/>
          <w:szCs w:val="24"/>
        </w:rPr>
        <w:t>现在假设万科公司</w:t>
      </w:r>
      <w:r>
        <w:rPr>
          <w:rFonts w:cs="宋体" w:hint="eastAsia"/>
          <w:sz w:val="24"/>
          <w:szCs w:val="24"/>
        </w:rPr>
        <w:t>2018</w:t>
      </w:r>
      <w:r>
        <w:rPr>
          <w:rFonts w:cs="宋体" w:hint="eastAsia"/>
          <w:sz w:val="24"/>
          <w:szCs w:val="24"/>
        </w:rPr>
        <w:t>年银行贷款约定利率为</w:t>
      </w:r>
      <w:r>
        <w:rPr>
          <w:rFonts w:cs="宋体" w:hint="eastAsia"/>
          <w:sz w:val="24"/>
          <w:szCs w:val="24"/>
        </w:rPr>
        <w:t>4.18%</w:t>
      </w:r>
      <w:r>
        <w:rPr>
          <w:rFonts w:cs="宋体" w:hint="eastAsia"/>
          <w:sz w:val="24"/>
          <w:szCs w:val="24"/>
        </w:rPr>
        <w:t>再加上约定上浮率，明显万科</w:t>
      </w:r>
      <w:r>
        <w:rPr>
          <w:rFonts w:cs="宋体" w:hint="eastAsia"/>
          <w:sz w:val="24"/>
          <w:szCs w:val="24"/>
        </w:rPr>
        <w:t>2018</w:t>
      </w:r>
      <w:r>
        <w:rPr>
          <w:rFonts w:cs="宋体" w:hint="eastAsia"/>
          <w:sz w:val="24"/>
          <w:szCs w:val="24"/>
        </w:rPr>
        <w:t>年</w:t>
      </w:r>
      <w:r>
        <w:rPr>
          <w:rFonts w:cs="宋体" w:hint="eastAsia"/>
          <w:sz w:val="24"/>
          <w:szCs w:val="24"/>
        </w:rPr>
        <w:t>200000</w:t>
      </w:r>
      <w:r>
        <w:rPr>
          <w:rFonts w:cs="宋体" w:hint="eastAsia"/>
          <w:sz w:val="24"/>
          <w:szCs w:val="24"/>
        </w:rPr>
        <w:t>万元融资金额不管是采用银行贷款还是其他借款融资到资金，融资成本明显都比债券的高。还有一种情况就是银行约定利率加上浮动都比</w:t>
      </w:r>
      <w:r>
        <w:rPr>
          <w:rFonts w:cs="宋体" w:hint="eastAsia"/>
          <w:sz w:val="24"/>
          <w:szCs w:val="24"/>
        </w:rPr>
        <w:t>2018</w:t>
      </w:r>
      <w:r>
        <w:rPr>
          <w:rFonts w:cs="宋体" w:hint="eastAsia"/>
          <w:sz w:val="24"/>
          <w:szCs w:val="24"/>
        </w:rPr>
        <w:t>年债券利率</w:t>
      </w:r>
      <w:r>
        <w:rPr>
          <w:rFonts w:cs="宋体" w:hint="eastAsia"/>
          <w:sz w:val="24"/>
          <w:szCs w:val="24"/>
        </w:rPr>
        <w:t>4.18%</w:t>
      </w:r>
      <w:r>
        <w:rPr>
          <w:rFonts w:cs="宋体" w:hint="eastAsia"/>
          <w:sz w:val="24"/>
          <w:szCs w:val="24"/>
        </w:rPr>
        <w:t>低，那么该企业可以优选选择银行贷款融资，第三种情况依据银行贷款、债券和其他借款利率和其他资金需要时间和缓急来混合搭配选择融资方式，房地产利率变化莫测而且政策变动比较多，总而言之万科企业股份有限公司债务融资方式选择那个融资方式依据当时利率、时间长久、国家政策以及企业信用等因素，从而降低融资成本，同时也有利于提高该公司财务风险防</w:t>
      </w:r>
      <w:r>
        <w:rPr>
          <w:rFonts w:cs="宋体" w:hint="eastAsia"/>
          <w:sz w:val="24"/>
          <w:szCs w:val="24"/>
        </w:rPr>
        <w:lastRenderedPageBreak/>
        <w:t>范能力。最后从万科有息负债角度来评价万科融资成本，有息负债也被称为带息负债，它是指企业融资时候需要支付的利息债务，通常有“应付债券”、“长期借款”、“短期借款”等等这些科目对会涉及有息负债。有息负债也算企业融资需要付出成本。</w:t>
      </w:r>
    </w:p>
    <w:p w14:paraId="5E576A85" w14:textId="77777777" w:rsidR="00165C9E" w:rsidRDefault="00165C9E">
      <w:pPr>
        <w:spacing w:line="400" w:lineRule="exact"/>
        <w:ind w:firstLineChars="200" w:firstLine="480"/>
        <w:rPr>
          <w:rFonts w:cs="宋体"/>
          <w:sz w:val="24"/>
          <w:szCs w:val="24"/>
        </w:rPr>
      </w:pPr>
    </w:p>
    <w:p w14:paraId="5A9E58FD" w14:textId="77777777" w:rsidR="00165C9E" w:rsidRDefault="00000000">
      <w:pPr>
        <w:spacing w:line="400" w:lineRule="exact"/>
        <w:ind w:firstLineChars="200" w:firstLine="480"/>
        <w:rPr>
          <w:rFonts w:cs="宋体"/>
          <w:sz w:val="24"/>
          <w:szCs w:val="24"/>
        </w:rPr>
      </w:pPr>
      <w:r>
        <w:rPr>
          <w:rFonts w:cs="宋体" w:hint="eastAsia"/>
          <w:sz w:val="24"/>
          <w:szCs w:val="24"/>
        </w:rPr>
        <w:t>表</w:t>
      </w:r>
      <w:r>
        <w:rPr>
          <w:rFonts w:cs="宋体" w:hint="eastAsia"/>
          <w:sz w:val="24"/>
          <w:szCs w:val="24"/>
        </w:rPr>
        <w:t>5-4</w:t>
      </w:r>
      <w:r>
        <w:rPr>
          <w:rFonts w:cs="宋体" w:hint="eastAsia"/>
          <w:sz w:val="24"/>
          <w:szCs w:val="24"/>
        </w:rPr>
        <w:t>万科</w:t>
      </w:r>
      <w:r>
        <w:rPr>
          <w:rFonts w:cs="宋体" w:hint="eastAsia"/>
          <w:sz w:val="24"/>
          <w:szCs w:val="24"/>
        </w:rPr>
        <w:t>2015</w:t>
      </w:r>
      <w:r>
        <w:rPr>
          <w:rFonts w:cs="宋体" w:hint="eastAsia"/>
          <w:sz w:val="24"/>
          <w:szCs w:val="24"/>
        </w:rPr>
        <w:t>年</w:t>
      </w:r>
      <w:r>
        <w:rPr>
          <w:rFonts w:cs="宋体" w:hint="eastAsia"/>
          <w:sz w:val="24"/>
          <w:szCs w:val="24"/>
        </w:rPr>
        <w:t>-2018</w:t>
      </w:r>
      <w:r>
        <w:rPr>
          <w:rFonts w:cs="宋体" w:hint="eastAsia"/>
          <w:sz w:val="24"/>
          <w:szCs w:val="24"/>
        </w:rPr>
        <w:t>年有息负债合计占总资产比例分析</w:t>
      </w:r>
    </w:p>
    <w:tbl>
      <w:tblPr>
        <w:tblW w:w="7360" w:type="dxa"/>
        <w:tblBorders>
          <w:top w:val="single" w:sz="12" w:space="0" w:color="000000"/>
          <w:bottom w:val="single" w:sz="12" w:space="0" w:color="000000"/>
          <w:insideH w:val="single" w:sz="4" w:space="0" w:color="000000"/>
        </w:tblBorders>
        <w:tblLook w:val="04A0" w:firstRow="1" w:lastRow="0" w:firstColumn="1" w:lastColumn="0" w:noHBand="0" w:noVBand="1"/>
      </w:tblPr>
      <w:tblGrid>
        <w:gridCol w:w="1716"/>
        <w:gridCol w:w="1324"/>
        <w:gridCol w:w="1080"/>
        <w:gridCol w:w="1080"/>
        <w:gridCol w:w="1080"/>
        <w:gridCol w:w="1080"/>
      </w:tblGrid>
      <w:tr w:rsidR="00165C9E" w14:paraId="2BEE5977" w14:textId="77777777">
        <w:trPr>
          <w:trHeight w:val="270"/>
        </w:trPr>
        <w:tc>
          <w:tcPr>
            <w:tcW w:w="1716" w:type="dxa"/>
            <w:shd w:val="clear" w:color="auto" w:fill="000000"/>
            <w:noWrap/>
            <w:vAlign w:val="center"/>
          </w:tcPr>
          <w:p w14:paraId="07C8D89A" w14:textId="77777777" w:rsidR="00165C9E" w:rsidRDefault="00000000">
            <w:pPr>
              <w:widowControl/>
              <w:ind w:firstLine="442"/>
              <w:jc w:val="center"/>
              <w:rPr>
                <w:rFonts w:ascii="宋体"/>
                <w:b/>
                <w:bCs/>
                <w:color w:val="FFFFFF"/>
                <w:kern w:val="0"/>
              </w:rPr>
            </w:pPr>
            <w:r>
              <w:rPr>
                <w:rFonts w:ascii="宋体" w:hAnsi="宋体" w:cs="宋体" w:hint="eastAsia"/>
                <w:b/>
                <w:bCs/>
                <w:color w:val="FFFFFF"/>
                <w:kern w:val="0"/>
              </w:rPr>
              <w:t>名称</w:t>
            </w:r>
          </w:p>
        </w:tc>
        <w:tc>
          <w:tcPr>
            <w:tcW w:w="1324" w:type="dxa"/>
            <w:shd w:val="clear" w:color="auto" w:fill="000000"/>
            <w:noWrap/>
            <w:vAlign w:val="center"/>
          </w:tcPr>
          <w:p w14:paraId="3F2A34A2" w14:textId="77777777" w:rsidR="00165C9E" w:rsidRDefault="00000000">
            <w:pPr>
              <w:widowControl/>
              <w:jc w:val="center"/>
              <w:rPr>
                <w:rFonts w:ascii="宋体"/>
                <w:b/>
                <w:bCs/>
                <w:color w:val="FFFFFF"/>
                <w:kern w:val="0"/>
              </w:rPr>
            </w:pPr>
            <w:r>
              <w:rPr>
                <w:rFonts w:ascii="宋体" w:hAnsi="宋体" w:cs="宋体" w:hint="eastAsia"/>
                <w:b/>
                <w:bCs/>
                <w:color w:val="FFFFFF"/>
                <w:kern w:val="0"/>
              </w:rPr>
              <w:t>单位</w:t>
            </w:r>
          </w:p>
        </w:tc>
        <w:tc>
          <w:tcPr>
            <w:tcW w:w="1080" w:type="dxa"/>
            <w:shd w:val="clear" w:color="auto" w:fill="000000"/>
            <w:noWrap/>
            <w:vAlign w:val="center"/>
          </w:tcPr>
          <w:p w14:paraId="5131F687" w14:textId="77777777" w:rsidR="00165C9E" w:rsidRDefault="00000000">
            <w:pPr>
              <w:widowControl/>
              <w:jc w:val="center"/>
              <w:rPr>
                <w:rFonts w:ascii="宋体"/>
                <w:b/>
                <w:bCs/>
                <w:color w:val="FFFFFF"/>
                <w:kern w:val="0"/>
              </w:rPr>
            </w:pPr>
            <w:r>
              <w:rPr>
                <w:rFonts w:ascii="宋体" w:hAnsi="宋体" w:cs="宋体" w:hint="eastAsia"/>
                <w:b/>
                <w:bCs/>
                <w:color w:val="FFFFFF"/>
                <w:kern w:val="0"/>
              </w:rPr>
              <w:t>2015年</w:t>
            </w:r>
          </w:p>
        </w:tc>
        <w:tc>
          <w:tcPr>
            <w:tcW w:w="1080" w:type="dxa"/>
            <w:shd w:val="clear" w:color="auto" w:fill="000000"/>
            <w:noWrap/>
            <w:vAlign w:val="center"/>
          </w:tcPr>
          <w:p w14:paraId="04CB846B" w14:textId="77777777" w:rsidR="00165C9E" w:rsidRDefault="00000000">
            <w:pPr>
              <w:widowControl/>
              <w:jc w:val="center"/>
              <w:rPr>
                <w:rFonts w:ascii="宋体"/>
                <w:b/>
                <w:bCs/>
                <w:color w:val="FFFFFF"/>
                <w:kern w:val="0"/>
              </w:rPr>
            </w:pPr>
            <w:r>
              <w:rPr>
                <w:rFonts w:ascii="宋体" w:hAnsi="宋体" w:cs="宋体" w:hint="eastAsia"/>
                <w:b/>
                <w:bCs/>
                <w:color w:val="FFFFFF"/>
                <w:kern w:val="0"/>
              </w:rPr>
              <w:t>2016年</w:t>
            </w:r>
          </w:p>
        </w:tc>
        <w:tc>
          <w:tcPr>
            <w:tcW w:w="1080" w:type="dxa"/>
            <w:shd w:val="clear" w:color="auto" w:fill="000000"/>
            <w:noWrap/>
            <w:vAlign w:val="center"/>
          </w:tcPr>
          <w:p w14:paraId="0EA3BB84" w14:textId="77777777" w:rsidR="00165C9E" w:rsidRDefault="00000000">
            <w:pPr>
              <w:widowControl/>
              <w:jc w:val="center"/>
              <w:rPr>
                <w:rFonts w:ascii="宋体"/>
                <w:b/>
                <w:bCs/>
                <w:color w:val="FFFFFF"/>
                <w:kern w:val="0"/>
              </w:rPr>
            </w:pPr>
            <w:r>
              <w:rPr>
                <w:rFonts w:ascii="宋体" w:hAnsi="宋体" w:cs="宋体" w:hint="eastAsia"/>
                <w:b/>
                <w:bCs/>
                <w:color w:val="FFFFFF"/>
                <w:kern w:val="0"/>
              </w:rPr>
              <w:t>2017年</w:t>
            </w:r>
          </w:p>
        </w:tc>
        <w:tc>
          <w:tcPr>
            <w:tcW w:w="1080" w:type="dxa"/>
            <w:shd w:val="clear" w:color="auto" w:fill="000000"/>
            <w:noWrap/>
            <w:vAlign w:val="center"/>
          </w:tcPr>
          <w:p w14:paraId="3A5D64BC" w14:textId="77777777" w:rsidR="00165C9E" w:rsidRDefault="00000000">
            <w:pPr>
              <w:widowControl/>
              <w:jc w:val="center"/>
              <w:rPr>
                <w:rFonts w:ascii="宋体"/>
                <w:b/>
                <w:bCs/>
                <w:color w:val="FFFFFF"/>
                <w:kern w:val="0"/>
              </w:rPr>
            </w:pPr>
            <w:r>
              <w:rPr>
                <w:rFonts w:ascii="宋体" w:hAnsi="宋体" w:cs="宋体" w:hint="eastAsia"/>
                <w:b/>
                <w:bCs/>
                <w:color w:val="FFFFFF"/>
                <w:kern w:val="0"/>
              </w:rPr>
              <w:t>2018年</w:t>
            </w:r>
          </w:p>
        </w:tc>
      </w:tr>
      <w:tr w:rsidR="00165C9E" w14:paraId="0B414AF9" w14:textId="77777777">
        <w:trPr>
          <w:trHeight w:val="285"/>
        </w:trPr>
        <w:tc>
          <w:tcPr>
            <w:tcW w:w="1716" w:type="dxa"/>
            <w:noWrap/>
            <w:vAlign w:val="center"/>
          </w:tcPr>
          <w:p w14:paraId="71EAE38C" w14:textId="77777777" w:rsidR="00165C9E" w:rsidRDefault="00000000">
            <w:pPr>
              <w:widowControl/>
              <w:jc w:val="center"/>
              <w:rPr>
                <w:rFonts w:ascii="宋体"/>
                <w:color w:val="000000"/>
                <w:kern w:val="0"/>
              </w:rPr>
            </w:pPr>
            <w:r>
              <w:rPr>
                <w:rFonts w:ascii="宋体" w:hAnsi="宋体" w:cs="宋体" w:hint="eastAsia"/>
                <w:color w:val="000000"/>
                <w:kern w:val="0"/>
              </w:rPr>
              <w:t>有息负债合计</w:t>
            </w:r>
          </w:p>
        </w:tc>
        <w:tc>
          <w:tcPr>
            <w:tcW w:w="1324" w:type="dxa"/>
            <w:noWrap/>
            <w:vAlign w:val="center"/>
          </w:tcPr>
          <w:p w14:paraId="5B287056" w14:textId="77777777" w:rsidR="00165C9E" w:rsidRDefault="00000000">
            <w:pPr>
              <w:widowControl/>
              <w:jc w:val="center"/>
              <w:rPr>
                <w:rFonts w:ascii="宋体"/>
                <w:color w:val="000000"/>
                <w:kern w:val="0"/>
              </w:rPr>
            </w:pPr>
            <w:r>
              <w:rPr>
                <w:rFonts w:ascii="宋体" w:hAnsi="宋体" w:cs="宋体" w:hint="eastAsia"/>
                <w:color w:val="000000"/>
                <w:kern w:val="0"/>
              </w:rPr>
              <w:t>亿元</w:t>
            </w:r>
          </w:p>
        </w:tc>
        <w:tc>
          <w:tcPr>
            <w:tcW w:w="1080" w:type="dxa"/>
            <w:noWrap/>
            <w:vAlign w:val="center"/>
          </w:tcPr>
          <w:p w14:paraId="396A8476" w14:textId="77777777" w:rsidR="00165C9E" w:rsidRDefault="00000000">
            <w:pPr>
              <w:widowControl/>
              <w:jc w:val="center"/>
              <w:rPr>
                <w:rFonts w:ascii="宋体"/>
                <w:color w:val="000000"/>
                <w:kern w:val="0"/>
              </w:rPr>
            </w:pPr>
            <w:r>
              <w:rPr>
                <w:rFonts w:ascii="宋体" w:hAnsi="宋体" w:cs="宋体" w:hint="eastAsia"/>
                <w:color w:val="000000"/>
                <w:kern w:val="0"/>
              </w:rPr>
              <w:t>794.9</w:t>
            </w:r>
          </w:p>
        </w:tc>
        <w:tc>
          <w:tcPr>
            <w:tcW w:w="1080" w:type="dxa"/>
            <w:noWrap/>
            <w:vAlign w:val="center"/>
          </w:tcPr>
          <w:p w14:paraId="466867F3" w14:textId="77777777" w:rsidR="00165C9E" w:rsidRDefault="00000000">
            <w:pPr>
              <w:widowControl/>
              <w:jc w:val="center"/>
              <w:rPr>
                <w:rFonts w:ascii="宋体"/>
                <w:color w:val="000000"/>
                <w:kern w:val="0"/>
              </w:rPr>
            </w:pPr>
            <w:r>
              <w:rPr>
                <w:rFonts w:ascii="宋体" w:hAnsi="宋体" w:cs="宋体" w:hint="eastAsia"/>
                <w:color w:val="000000"/>
                <w:kern w:val="0"/>
              </w:rPr>
              <w:t>1288.6</w:t>
            </w:r>
          </w:p>
        </w:tc>
        <w:tc>
          <w:tcPr>
            <w:tcW w:w="1080" w:type="dxa"/>
            <w:noWrap/>
            <w:vAlign w:val="center"/>
          </w:tcPr>
          <w:p w14:paraId="2E68C140" w14:textId="77777777" w:rsidR="00165C9E" w:rsidRDefault="00000000">
            <w:pPr>
              <w:widowControl/>
              <w:jc w:val="center"/>
              <w:rPr>
                <w:rFonts w:ascii="宋体"/>
                <w:color w:val="000000"/>
                <w:kern w:val="0"/>
              </w:rPr>
            </w:pPr>
            <w:r>
              <w:rPr>
                <w:rFonts w:ascii="宋体" w:hAnsi="宋体" w:cs="宋体" w:hint="eastAsia"/>
                <w:color w:val="000000"/>
                <w:kern w:val="0"/>
              </w:rPr>
              <w:t>1906.2</w:t>
            </w:r>
          </w:p>
        </w:tc>
        <w:tc>
          <w:tcPr>
            <w:tcW w:w="1080" w:type="dxa"/>
            <w:noWrap/>
            <w:vAlign w:val="center"/>
          </w:tcPr>
          <w:p w14:paraId="03CA8447" w14:textId="77777777" w:rsidR="00165C9E" w:rsidRDefault="00000000">
            <w:pPr>
              <w:widowControl/>
              <w:jc w:val="center"/>
              <w:rPr>
                <w:rFonts w:ascii="宋体"/>
                <w:color w:val="000000"/>
                <w:kern w:val="0"/>
              </w:rPr>
            </w:pPr>
            <w:r>
              <w:rPr>
                <w:rFonts w:ascii="宋体" w:hAnsi="宋体" w:cs="宋体" w:hint="eastAsia"/>
                <w:color w:val="000000"/>
                <w:kern w:val="0"/>
              </w:rPr>
              <w:t>2612.1</w:t>
            </w:r>
          </w:p>
        </w:tc>
      </w:tr>
      <w:tr w:rsidR="00165C9E" w14:paraId="6FC6F15F" w14:textId="77777777">
        <w:trPr>
          <w:trHeight w:val="270"/>
        </w:trPr>
        <w:tc>
          <w:tcPr>
            <w:tcW w:w="1716" w:type="dxa"/>
            <w:noWrap/>
            <w:vAlign w:val="center"/>
          </w:tcPr>
          <w:p w14:paraId="62E5E841" w14:textId="77777777" w:rsidR="00165C9E" w:rsidRDefault="00000000">
            <w:pPr>
              <w:widowControl/>
              <w:jc w:val="center"/>
              <w:rPr>
                <w:rFonts w:ascii="宋体"/>
                <w:color w:val="000000"/>
                <w:kern w:val="0"/>
              </w:rPr>
            </w:pPr>
            <w:r>
              <w:rPr>
                <w:rFonts w:ascii="宋体" w:hAnsi="宋体" w:cs="宋体" w:hint="eastAsia"/>
                <w:color w:val="000000"/>
                <w:kern w:val="0"/>
              </w:rPr>
              <w:t>占总资产比例</w:t>
            </w:r>
          </w:p>
        </w:tc>
        <w:tc>
          <w:tcPr>
            <w:tcW w:w="1324" w:type="dxa"/>
            <w:noWrap/>
            <w:vAlign w:val="center"/>
          </w:tcPr>
          <w:p w14:paraId="290BEF7D" w14:textId="77777777" w:rsidR="00165C9E" w:rsidRDefault="00000000">
            <w:pPr>
              <w:widowControl/>
              <w:jc w:val="center"/>
              <w:rPr>
                <w:rFonts w:ascii="宋体"/>
                <w:color w:val="000000"/>
                <w:kern w:val="0"/>
              </w:rPr>
            </w:pPr>
            <w:r>
              <w:rPr>
                <w:rFonts w:ascii="宋体" w:hAnsi="宋体" w:cs="宋体" w:hint="eastAsia"/>
                <w:color w:val="000000"/>
                <w:kern w:val="0"/>
              </w:rPr>
              <w:t>%</w:t>
            </w:r>
          </w:p>
        </w:tc>
        <w:tc>
          <w:tcPr>
            <w:tcW w:w="1080" w:type="dxa"/>
            <w:noWrap/>
            <w:vAlign w:val="center"/>
          </w:tcPr>
          <w:p w14:paraId="49EF5B23" w14:textId="77777777" w:rsidR="00165C9E" w:rsidRDefault="00000000">
            <w:pPr>
              <w:widowControl/>
              <w:jc w:val="center"/>
              <w:rPr>
                <w:rFonts w:ascii="宋体"/>
                <w:color w:val="000000"/>
                <w:kern w:val="0"/>
              </w:rPr>
            </w:pPr>
            <w:r>
              <w:rPr>
                <w:rFonts w:ascii="宋体" w:hAnsi="宋体" w:cs="宋体" w:hint="eastAsia"/>
                <w:color w:val="000000"/>
                <w:kern w:val="0"/>
              </w:rPr>
              <w:t>13</w:t>
            </w:r>
          </w:p>
        </w:tc>
        <w:tc>
          <w:tcPr>
            <w:tcW w:w="1080" w:type="dxa"/>
            <w:noWrap/>
            <w:vAlign w:val="center"/>
          </w:tcPr>
          <w:p w14:paraId="7E88278D" w14:textId="77777777" w:rsidR="00165C9E" w:rsidRDefault="00000000">
            <w:pPr>
              <w:widowControl/>
              <w:jc w:val="center"/>
              <w:rPr>
                <w:rFonts w:ascii="宋体"/>
                <w:color w:val="000000"/>
                <w:kern w:val="0"/>
              </w:rPr>
            </w:pPr>
            <w:r>
              <w:rPr>
                <w:rFonts w:ascii="宋体" w:hAnsi="宋体" w:cs="宋体" w:hint="eastAsia"/>
                <w:color w:val="000000"/>
                <w:kern w:val="0"/>
              </w:rPr>
              <w:t>15.5</w:t>
            </w:r>
          </w:p>
        </w:tc>
        <w:tc>
          <w:tcPr>
            <w:tcW w:w="1080" w:type="dxa"/>
            <w:noWrap/>
            <w:vAlign w:val="center"/>
          </w:tcPr>
          <w:p w14:paraId="48624442" w14:textId="77777777" w:rsidR="00165C9E" w:rsidRDefault="00000000">
            <w:pPr>
              <w:widowControl/>
              <w:jc w:val="center"/>
              <w:rPr>
                <w:rFonts w:ascii="宋体"/>
                <w:color w:val="000000"/>
                <w:kern w:val="0"/>
              </w:rPr>
            </w:pPr>
            <w:r>
              <w:rPr>
                <w:rFonts w:ascii="宋体" w:hAnsi="宋体" w:cs="宋体" w:hint="eastAsia"/>
                <w:color w:val="000000"/>
                <w:kern w:val="0"/>
              </w:rPr>
              <w:t>16.4</w:t>
            </w:r>
          </w:p>
        </w:tc>
        <w:tc>
          <w:tcPr>
            <w:tcW w:w="1080" w:type="dxa"/>
            <w:noWrap/>
            <w:vAlign w:val="center"/>
          </w:tcPr>
          <w:p w14:paraId="7CE1715D" w14:textId="77777777" w:rsidR="00165C9E" w:rsidRDefault="00000000">
            <w:pPr>
              <w:widowControl/>
              <w:jc w:val="center"/>
              <w:rPr>
                <w:rFonts w:ascii="宋体"/>
                <w:color w:val="000000"/>
                <w:kern w:val="0"/>
              </w:rPr>
            </w:pPr>
            <w:r>
              <w:rPr>
                <w:rFonts w:ascii="宋体" w:hAnsi="宋体" w:cs="宋体" w:hint="eastAsia"/>
                <w:color w:val="000000"/>
                <w:kern w:val="0"/>
              </w:rPr>
              <w:t>17.1</w:t>
            </w:r>
          </w:p>
        </w:tc>
      </w:tr>
    </w:tbl>
    <w:p w14:paraId="3E26BBA1" w14:textId="77777777" w:rsidR="00165C9E" w:rsidRDefault="00000000">
      <w:pPr>
        <w:spacing w:line="400" w:lineRule="exact"/>
        <w:ind w:firstLineChars="200" w:firstLine="420"/>
        <w:jc w:val="left"/>
        <w:rPr>
          <w:rFonts w:ascii="黑体" w:eastAsia="黑体" w:hAnsi="黑体" w:cs="宋体"/>
        </w:rPr>
      </w:pPr>
      <w:r>
        <w:rPr>
          <w:rFonts w:ascii="黑体" w:eastAsia="黑体" w:hAnsi="黑体" w:cs="宋体" w:hint="eastAsia"/>
        </w:rPr>
        <w:t>数据来源：新浪财经数据万科A年报（http://vip.stock.finance.sina.com.cn/corp/go.php/vCB_Bulletin/stockid/000002/page_type/ndbg.phtml）</w:t>
      </w:r>
    </w:p>
    <w:p w14:paraId="6EF8DB8A" w14:textId="77777777" w:rsidR="00165C9E" w:rsidRDefault="00000000">
      <w:pPr>
        <w:spacing w:line="400" w:lineRule="exact"/>
        <w:ind w:firstLineChars="200" w:firstLine="480"/>
        <w:rPr>
          <w:rFonts w:cs="宋体"/>
          <w:sz w:val="24"/>
          <w:szCs w:val="24"/>
        </w:rPr>
      </w:pPr>
      <w:r>
        <w:rPr>
          <w:rFonts w:cs="宋体" w:hint="eastAsia"/>
          <w:sz w:val="24"/>
          <w:szCs w:val="24"/>
        </w:rPr>
        <w:t>房地产行业融资成本一般在</w:t>
      </w:r>
      <w:r>
        <w:rPr>
          <w:rFonts w:cs="宋体" w:hint="eastAsia"/>
          <w:sz w:val="24"/>
          <w:szCs w:val="24"/>
        </w:rPr>
        <w:t>12%</w:t>
      </w:r>
      <w:r>
        <w:rPr>
          <w:rFonts w:cs="宋体" w:hint="eastAsia"/>
          <w:sz w:val="24"/>
          <w:szCs w:val="24"/>
        </w:rPr>
        <w:t>左右，而万科是</w:t>
      </w:r>
      <w:r>
        <w:rPr>
          <w:rFonts w:cs="宋体" w:hint="eastAsia"/>
          <w:sz w:val="24"/>
          <w:szCs w:val="24"/>
        </w:rPr>
        <w:t>10%</w:t>
      </w:r>
      <w:r>
        <w:rPr>
          <w:rFonts w:cs="宋体" w:hint="eastAsia"/>
          <w:sz w:val="24"/>
          <w:szCs w:val="24"/>
        </w:rPr>
        <w:t>以下；如上表所示</w:t>
      </w:r>
      <w:r>
        <w:rPr>
          <w:rFonts w:cs="宋体" w:hint="eastAsia"/>
          <w:sz w:val="24"/>
          <w:szCs w:val="24"/>
        </w:rPr>
        <w:t>2015-2018</w:t>
      </w:r>
      <w:r>
        <w:rPr>
          <w:rFonts w:cs="宋体" w:hint="eastAsia"/>
          <w:sz w:val="24"/>
          <w:szCs w:val="24"/>
        </w:rPr>
        <w:t>年报告期内，有息负债占总资产比例</w:t>
      </w:r>
      <w:r>
        <w:rPr>
          <w:rFonts w:cs="宋体" w:hint="eastAsia"/>
          <w:sz w:val="24"/>
          <w:szCs w:val="24"/>
        </w:rPr>
        <w:t>13%~17.1%</w:t>
      </w:r>
      <w:r>
        <w:rPr>
          <w:rFonts w:cs="宋体" w:hint="eastAsia"/>
          <w:sz w:val="24"/>
          <w:szCs w:val="24"/>
        </w:rPr>
        <w:t>之间，可以看出万科总体融资成本处于较低水平。说明万科融资成本低得益于合理选择融资方式，值得其他企业借鉴。</w:t>
      </w:r>
    </w:p>
    <w:p w14:paraId="5C0B24FB" w14:textId="77777777" w:rsidR="00165C9E" w:rsidRDefault="00165C9E">
      <w:pPr>
        <w:spacing w:line="400" w:lineRule="exact"/>
        <w:ind w:firstLineChars="200" w:firstLine="480"/>
        <w:rPr>
          <w:rFonts w:cs="宋体"/>
          <w:sz w:val="24"/>
          <w:szCs w:val="24"/>
        </w:rPr>
      </w:pPr>
    </w:p>
    <w:p w14:paraId="3296A7F2" w14:textId="77777777" w:rsidR="00165C9E" w:rsidRDefault="00000000">
      <w:pPr>
        <w:pStyle w:val="Heading10"/>
        <w:spacing w:afterLines="50" w:after="156"/>
        <w:ind w:firstLineChars="200" w:firstLine="612"/>
        <w:jc w:val="left"/>
        <w:rPr>
          <w:rFonts w:ascii="黑体" w:eastAsia="黑体" w:hAnsi="黑体"/>
          <w:sz w:val="30"/>
          <w:szCs w:val="30"/>
        </w:rPr>
      </w:pPr>
      <w:bookmarkStart w:id="24" w:name="_Toc21266"/>
      <w:r>
        <w:rPr>
          <w:rFonts w:ascii="黑体" w:eastAsia="黑体" w:hAnsi="黑体" w:cs="黑体" w:hint="eastAsia"/>
          <w:sz w:val="30"/>
          <w:szCs w:val="30"/>
        </w:rPr>
        <w:t>六、影响万科企业股份有限公司融资成本的因素</w:t>
      </w:r>
      <w:bookmarkEnd w:id="24"/>
    </w:p>
    <w:p w14:paraId="58B5C4EE" w14:textId="77777777" w:rsidR="00165C9E" w:rsidRDefault="00000000">
      <w:pPr>
        <w:spacing w:line="400" w:lineRule="exact"/>
        <w:ind w:firstLineChars="200" w:firstLine="480"/>
        <w:rPr>
          <w:sz w:val="24"/>
          <w:szCs w:val="24"/>
        </w:rPr>
      </w:pPr>
      <w:r>
        <w:rPr>
          <w:rFonts w:cs="宋体" w:hint="eastAsia"/>
          <w:sz w:val="24"/>
          <w:szCs w:val="24"/>
        </w:rPr>
        <w:t>本章通过收集万科房地产企业的公司经营状况和财务报表，研究可能会影响万科企业股份有限公司融资成本的因素。首先分析内部融资融资方式影响因素，内部融资来源于企业自有资金，很少会受外界影响和约束，内部融资是不用支付融资成本</w:t>
      </w:r>
      <w:r>
        <w:rPr>
          <w:rStyle w:val="af6"/>
          <w:rFonts w:cs="宋体"/>
          <w:sz w:val="24"/>
          <w:szCs w:val="24"/>
        </w:rPr>
        <w:footnoteReference w:id="5"/>
      </w:r>
      <w:r>
        <w:rPr>
          <w:rFonts w:cs="宋体" w:hint="eastAsia"/>
          <w:sz w:val="24"/>
          <w:szCs w:val="24"/>
        </w:rPr>
        <w:t>的，当上市公司需要使用时候，主要是要股东大会或者董事会批准；最后再从外部融资的债务融资方式和股权融资方式这两部分具体分析，如下：。</w:t>
      </w:r>
    </w:p>
    <w:p w14:paraId="5050CC61" w14:textId="77777777" w:rsidR="00165C9E" w:rsidRDefault="00000000">
      <w:pPr>
        <w:pStyle w:val="Heading20"/>
        <w:spacing w:line="400" w:lineRule="exact"/>
        <w:ind w:firstLineChars="200" w:firstLine="560"/>
        <w:jc w:val="left"/>
        <w:rPr>
          <w:rFonts w:ascii="黑体" w:eastAsia="黑体" w:hAnsi="黑体" w:cs="黑体"/>
          <w:b w:val="0"/>
          <w:bCs w:val="0"/>
          <w:sz w:val="28"/>
          <w:szCs w:val="28"/>
        </w:rPr>
      </w:pPr>
      <w:bookmarkStart w:id="25" w:name="_Toc14388"/>
      <w:r>
        <w:rPr>
          <w:rFonts w:ascii="黑体" w:eastAsia="黑体" w:hAnsi="黑体" w:cs="黑体" w:hint="eastAsia"/>
          <w:b w:val="0"/>
          <w:bCs w:val="0"/>
          <w:sz w:val="28"/>
          <w:szCs w:val="28"/>
        </w:rPr>
        <w:t>（一）债务融资方式对融资成本的影响因素</w:t>
      </w:r>
      <w:bookmarkEnd w:id="25"/>
    </w:p>
    <w:p w14:paraId="46BD90FC" w14:textId="77777777" w:rsidR="00165C9E" w:rsidRDefault="00000000">
      <w:pPr>
        <w:pStyle w:val="Heading30"/>
        <w:ind w:firstLineChars="200" w:firstLine="480"/>
        <w:rPr>
          <w:rFonts w:ascii="黑体" w:eastAsia="黑体" w:hAnsi="黑体" w:cs="黑体"/>
          <w:b w:val="0"/>
          <w:bCs w:val="0"/>
          <w:sz w:val="24"/>
          <w:szCs w:val="24"/>
        </w:rPr>
      </w:pPr>
      <w:bookmarkStart w:id="26" w:name="_Toc33871927"/>
      <w:bookmarkStart w:id="27" w:name="_Toc15859"/>
      <w:r>
        <w:rPr>
          <w:rFonts w:ascii="黑体" w:eastAsia="黑体" w:hAnsi="黑体" w:cs="黑体" w:hint="eastAsia"/>
          <w:b w:val="0"/>
          <w:bCs w:val="0"/>
          <w:sz w:val="24"/>
          <w:szCs w:val="24"/>
        </w:rPr>
        <w:t>1.盈利能力</w:t>
      </w:r>
      <w:bookmarkEnd w:id="26"/>
      <w:bookmarkEnd w:id="27"/>
    </w:p>
    <w:p w14:paraId="716FF507" w14:textId="77777777" w:rsidR="00165C9E" w:rsidRDefault="00000000">
      <w:pPr>
        <w:ind w:firstLine="420"/>
        <w:rPr>
          <w:rFonts w:cs="宋体"/>
          <w:sz w:val="24"/>
          <w:szCs w:val="24"/>
        </w:rPr>
      </w:pPr>
      <w:r>
        <w:rPr>
          <w:rFonts w:cs="宋体" w:hint="eastAsia"/>
          <w:sz w:val="24"/>
          <w:szCs w:val="24"/>
        </w:rPr>
        <w:t>盈利是每个企业持续稳定发展的经营目标，对企业融资成本是至关重要的。本章主要从净资产收益率和净利润率两个重要指标来分析对企业融资成本影响</w:t>
      </w:r>
    </w:p>
    <w:p w14:paraId="6F17F371" w14:textId="77777777" w:rsidR="00165C9E" w:rsidRDefault="00000000">
      <w:pPr>
        <w:ind w:firstLine="420"/>
        <w:jc w:val="center"/>
        <w:rPr>
          <w:rFonts w:cs="宋体"/>
          <w:sz w:val="24"/>
          <w:szCs w:val="24"/>
        </w:rPr>
      </w:pPr>
      <w:r>
        <w:rPr>
          <w:rFonts w:cs="宋体" w:hint="eastAsia"/>
          <w:sz w:val="24"/>
          <w:szCs w:val="24"/>
        </w:rPr>
        <w:t>表</w:t>
      </w:r>
      <w:r>
        <w:rPr>
          <w:rFonts w:cs="宋体"/>
          <w:sz w:val="24"/>
          <w:szCs w:val="24"/>
        </w:rPr>
        <w:t>6-1</w:t>
      </w:r>
      <w:r>
        <w:rPr>
          <w:rFonts w:cs="宋体" w:hint="eastAsia"/>
          <w:sz w:val="24"/>
          <w:szCs w:val="24"/>
        </w:rPr>
        <w:t>万科</w:t>
      </w:r>
      <w:r>
        <w:rPr>
          <w:rFonts w:cs="宋体"/>
          <w:sz w:val="24"/>
          <w:szCs w:val="24"/>
        </w:rPr>
        <w:t>2015-2018</w:t>
      </w:r>
      <w:r>
        <w:rPr>
          <w:rFonts w:cs="宋体" w:hint="eastAsia"/>
          <w:sz w:val="24"/>
          <w:szCs w:val="24"/>
        </w:rPr>
        <w:t>年盈利能力指标</w:t>
      </w:r>
    </w:p>
    <w:tbl>
      <w:tblPr>
        <w:tblW w:w="0" w:type="auto"/>
        <w:tblInd w:w="-106" w:type="dxa"/>
        <w:tblBorders>
          <w:top w:val="single" w:sz="12" w:space="0" w:color="auto"/>
          <w:bottom w:val="single" w:sz="12" w:space="0" w:color="auto"/>
          <w:insideH w:val="single" w:sz="4" w:space="0" w:color="auto"/>
        </w:tblBorders>
        <w:tblLook w:val="04A0" w:firstRow="1" w:lastRow="0" w:firstColumn="1" w:lastColumn="0" w:noHBand="0" w:noVBand="1"/>
      </w:tblPr>
      <w:tblGrid>
        <w:gridCol w:w="1951"/>
        <w:gridCol w:w="1457"/>
        <w:gridCol w:w="1704"/>
        <w:gridCol w:w="1705"/>
        <w:gridCol w:w="1705"/>
      </w:tblGrid>
      <w:tr w:rsidR="00165C9E" w14:paraId="2DBFF10E" w14:textId="77777777">
        <w:tc>
          <w:tcPr>
            <w:tcW w:w="1951" w:type="dxa"/>
          </w:tcPr>
          <w:p w14:paraId="04E33775" w14:textId="77777777" w:rsidR="00165C9E" w:rsidRDefault="00000000">
            <w:pPr>
              <w:spacing w:line="360" w:lineRule="exact"/>
              <w:rPr>
                <w:rFonts w:asciiTheme="minorEastAsia" w:eastAsiaTheme="minorEastAsia" w:hAnsiTheme="minorEastAsia"/>
                <w:kern w:val="0"/>
              </w:rPr>
            </w:pPr>
            <w:r>
              <w:rPr>
                <w:rFonts w:asciiTheme="minorEastAsia" w:eastAsiaTheme="minorEastAsia" w:hAnsiTheme="minorEastAsia" w:cs="Calibri"/>
                <w:noProof/>
              </w:rPr>
              <mc:AlternateContent>
                <mc:Choice Requires="wps">
                  <w:drawing>
                    <wp:anchor distT="0" distB="0" distL="114300" distR="114300" simplePos="0" relativeHeight="251701248" behindDoc="0" locked="0" layoutInCell="1" allowOverlap="1" wp14:anchorId="3F49E826" wp14:editId="115BDA17">
                      <wp:simplePos x="0" y="0"/>
                      <wp:positionH relativeFrom="column">
                        <wp:posOffset>-69850</wp:posOffset>
                      </wp:positionH>
                      <wp:positionV relativeFrom="paragraph">
                        <wp:posOffset>-12065</wp:posOffset>
                      </wp:positionV>
                      <wp:extent cx="1240155" cy="254000"/>
                      <wp:effectExtent l="0" t="0" r="17145" b="31750"/>
                      <wp:wrapNone/>
                      <wp:docPr id="3" name="直接连接符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40155" cy="254000"/>
                              </a:xfrm>
                              <a:prstGeom prst="line">
                                <a:avLst/>
                              </a:prstGeom>
                              <a:noFill/>
                              <a:ln w="9525">
                                <a:solidFill>
                                  <a:srgbClr val="000000"/>
                                </a:solidFill>
                                <a:round/>
                              </a:ln>
                            </wps:spPr>
                            <wps:bodyPr/>
                          </wps:wsp>
                        </a:graphicData>
                      </a:graphic>
                    </wp:anchor>
                  </w:drawing>
                </mc:Choice>
                <mc:Fallback>
                  <w:pict>
                    <v:line id="直接连接符 3" o:spid="_x0000_s1047" style="mso-wrap-distance-bottom:0;mso-wrap-distance-left:9pt;mso-wrap-distance-right:9pt;mso-wrap-distance-top:0;position:absolute;v-text-anchor:top;z-index:251700224" from="-5.5pt,-0.95pt" to="92.15pt,19.05pt" fillcolor="this" stroked="t" strokecolor="black" strokeweight="0.75pt">
                      <v:stroke joinstyle="round"/>
                    </v:line>
                  </w:pict>
                </mc:Fallback>
              </mc:AlternateContent>
            </w:r>
            <w:r>
              <w:rPr>
                <w:rFonts w:asciiTheme="minorEastAsia" w:eastAsiaTheme="minorEastAsia" w:hAnsiTheme="minorEastAsia" w:cs="宋体" w:hint="eastAsia"/>
                <w:kern w:val="0"/>
              </w:rPr>
              <w:t>财务指标年度</w:t>
            </w:r>
          </w:p>
        </w:tc>
        <w:tc>
          <w:tcPr>
            <w:tcW w:w="1457" w:type="dxa"/>
          </w:tcPr>
          <w:p w14:paraId="1BD32B4B" w14:textId="77777777" w:rsidR="00165C9E" w:rsidRDefault="00000000">
            <w:pPr>
              <w:spacing w:line="360" w:lineRule="exact"/>
              <w:rPr>
                <w:rFonts w:asciiTheme="minorEastAsia" w:eastAsiaTheme="minorEastAsia" w:hAnsiTheme="minorEastAsia"/>
                <w:kern w:val="0"/>
              </w:rPr>
            </w:pPr>
            <w:r>
              <w:rPr>
                <w:rFonts w:asciiTheme="minorEastAsia" w:eastAsiaTheme="minorEastAsia" w:hAnsiTheme="minorEastAsia"/>
                <w:kern w:val="0"/>
              </w:rPr>
              <w:t>2015</w:t>
            </w:r>
            <w:r>
              <w:rPr>
                <w:rFonts w:asciiTheme="minorEastAsia" w:eastAsiaTheme="minorEastAsia" w:hAnsiTheme="minorEastAsia" w:cs="宋体" w:hint="eastAsia"/>
                <w:kern w:val="0"/>
              </w:rPr>
              <w:t>年</w:t>
            </w:r>
          </w:p>
        </w:tc>
        <w:tc>
          <w:tcPr>
            <w:tcW w:w="1704" w:type="dxa"/>
          </w:tcPr>
          <w:p w14:paraId="0F30A109" w14:textId="77777777" w:rsidR="00165C9E" w:rsidRDefault="00000000">
            <w:pPr>
              <w:spacing w:line="360" w:lineRule="exact"/>
              <w:rPr>
                <w:rFonts w:asciiTheme="minorEastAsia" w:eastAsiaTheme="minorEastAsia" w:hAnsiTheme="minorEastAsia"/>
                <w:kern w:val="0"/>
              </w:rPr>
            </w:pPr>
            <w:r>
              <w:rPr>
                <w:rFonts w:asciiTheme="minorEastAsia" w:eastAsiaTheme="minorEastAsia" w:hAnsiTheme="minorEastAsia"/>
                <w:kern w:val="0"/>
              </w:rPr>
              <w:t>2016</w:t>
            </w:r>
            <w:r>
              <w:rPr>
                <w:rFonts w:asciiTheme="minorEastAsia" w:eastAsiaTheme="minorEastAsia" w:hAnsiTheme="minorEastAsia" w:cs="宋体" w:hint="eastAsia"/>
                <w:kern w:val="0"/>
              </w:rPr>
              <w:t>年</w:t>
            </w:r>
          </w:p>
        </w:tc>
        <w:tc>
          <w:tcPr>
            <w:tcW w:w="1705" w:type="dxa"/>
          </w:tcPr>
          <w:p w14:paraId="579E8001" w14:textId="77777777" w:rsidR="00165C9E" w:rsidRDefault="00000000">
            <w:pPr>
              <w:spacing w:line="360" w:lineRule="exact"/>
              <w:rPr>
                <w:rFonts w:asciiTheme="minorEastAsia" w:eastAsiaTheme="minorEastAsia" w:hAnsiTheme="minorEastAsia"/>
                <w:kern w:val="0"/>
              </w:rPr>
            </w:pPr>
            <w:r>
              <w:rPr>
                <w:rFonts w:asciiTheme="minorEastAsia" w:eastAsiaTheme="minorEastAsia" w:hAnsiTheme="minorEastAsia"/>
                <w:kern w:val="0"/>
              </w:rPr>
              <w:t>2017</w:t>
            </w:r>
            <w:r>
              <w:rPr>
                <w:rFonts w:asciiTheme="minorEastAsia" w:eastAsiaTheme="minorEastAsia" w:hAnsiTheme="minorEastAsia" w:cs="宋体" w:hint="eastAsia"/>
                <w:kern w:val="0"/>
              </w:rPr>
              <w:t>年</w:t>
            </w:r>
          </w:p>
        </w:tc>
        <w:tc>
          <w:tcPr>
            <w:tcW w:w="1705" w:type="dxa"/>
          </w:tcPr>
          <w:p w14:paraId="76A186DE" w14:textId="77777777" w:rsidR="00165C9E" w:rsidRDefault="00000000">
            <w:pPr>
              <w:spacing w:line="360" w:lineRule="exact"/>
              <w:rPr>
                <w:rFonts w:asciiTheme="minorEastAsia" w:eastAsiaTheme="minorEastAsia" w:hAnsiTheme="minorEastAsia"/>
                <w:kern w:val="0"/>
              </w:rPr>
            </w:pPr>
            <w:r>
              <w:rPr>
                <w:rFonts w:asciiTheme="minorEastAsia" w:eastAsiaTheme="minorEastAsia" w:hAnsiTheme="minorEastAsia"/>
                <w:kern w:val="0"/>
              </w:rPr>
              <w:t>2018</w:t>
            </w:r>
            <w:r>
              <w:rPr>
                <w:rFonts w:asciiTheme="minorEastAsia" w:eastAsiaTheme="minorEastAsia" w:hAnsiTheme="minorEastAsia" w:cs="宋体" w:hint="eastAsia"/>
                <w:kern w:val="0"/>
              </w:rPr>
              <w:t>年</w:t>
            </w:r>
          </w:p>
        </w:tc>
      </w:tr>
      <w:tr w:rsidR="00165C9E" w14:paraId="3A991EBC" w14:textId="77777777">
        <w:tc>
          <w:tcPr>
            <w:tcW w:w="1951" w:type="dxa"/>
          </w:tcPr>
          <w:p w14:paraId="378F6A0C" w14:textId="77777777" w:rsidR="00165C9E" w:rsidRDefault="00000000">
            <w:pPr>
              <w:spacing w:line="360" w:lineRule="exact"/>
              <w:rPr>
                <w:rFonts w:asciiTheme="minorEastAsia" w:eastAsiaTheme="minorEastAsia" w:hAnsiTheme="minorEastAsia"/>
                <w:kern w:val="0"/>
              </w:rPr>
            </w:pPr>
            <w:r>
              <w:rPr>
                <w:rFonts w:asciiTheme="minorEastAsia" w:eastAsiaTheme="minorEastAsia" w:hAnsiTheme="minorEastAsia" w:cs="宋体" w:hint="eastAsia"/>
                <w:kern w:val="0"/>
              </w:rPr>
              <w:t>净资产收益率</w:t>
            </w:r>
            <w:r>
              <w:rPr>
                <w:rStyle w:val="af6"/>
                <w:rFonts w:asciiTheme="minorEastAsia" w:eastAsiaTheme="minorEastAsia" w:hAnsiTheme="minorEastAsia" w:cs="宋体"/>
                <w:kern w:val="0"/>
              </w:rPr>
              <w:footnoteReference w:id="6"/>
            </w:r>
            <w:r>
              <w:rPr>
                <w:rFonts w:asciiTheme="minorEastAsia" w:eastAsiaTheme="minorEastAsia" w:hAnsiTheme="minorEastAsia" w:cs="宋体" w:hint="eastAsia"/>
                <w:kern w:val="0"/>
              </w:rPr>
              <w:t>（</w:t>
            </w:r>
            <w:r>
              <w:rPr>
                <w:rFonts w:asciiTheme="minorEastAsia" w:eastAsiaTheme="minorEastAsia" w:hAnsiTheme="minorEastAsia"/>
                <w:kern w:val="0"/>
              </w:rPr>
              <w:t>%</w:t>
            </w:r>
            <w:r>
              <w:rPr>
                <w:rFonts w:asciiTheme="minorEastAsia" w:eastAsiaTheme="minorEastAsia" w:hAnsiTheme="minorEastAsia" w:cs="宋体" w:hint="eastAsia"/>
                <w:kern w:val="0"/>
              </w:rPr>
              <w:t>）</w:t>
            </w:r>
          </w:p>
        </w:tc>
        <w:tc>
          <w:tcPr>
            <w:tcW w:w="1457" w:type="dxa"/>
          </w:tcPr>
          <w:p w14:paraId="13E41E89" w14:textId="77777777" w:rsidR="00165C9E" w:rsidRDefault="00000000">
            <w:pPr>
              <w:spacing w:line="360" w:lineRule="exact"/>
              <w:rPr>
                <w:rFonts w:asciiTheme="minorEastAsia" w:eastAsiaTheme="minorEastAsia" w:hAnsiTheme="minorEastAsia"/>
                <w:kern w:val="0"/>
              </w:rPr>
            </w:pPr>
            <w:r>
              <w:rPr>
                <w:rFonts w:asciiTheme="minorEastAsia" w:eastAsiaTheme="minorEastAsia" w:hAnsiTheme="minorEastAsia"/>
                <w:kern w:val="0"/>
              </w:rPr>
              <w:t>19.14</w:t>
            </w:r>
          </w:p>
        </w:tc>
        <w:tc>
          <w:tcPr>
            <w:tcW w:w="1704" w:type="dxa"/>
          </w:tcPr>
          <w:p w14:paraId="31742EE2" w14:textId="77777777" w:rsidR="00165C9E" w:rsidRDefault="00000000">
            <w:pPr>
              <w:spacing w:line="360" w:lineRule="exact"/>
              <w:rPr>
                <w:rFonts w:asciiTheme="minorEastAsia" w:eastAsiaTheme="minorEastAsia" w:hAnsiTheme="minorEastAsia"/>
                <w:kern w:val="0"/>
              </w:rPr>
            </w:pPr>
            <w:r>
              <w:rPr>
                <w:rFonts w:asciiTheme="minorEastAsia" w:eastAsiaTheme="minorEastAsia" w:hAnsiTheme="minorEastAsia"/>
                <w:kern w:val="0"/>
              </w:rPr>
              <w:t>19.68</w:t>
            </w:r>
          </w:p>
        </w:tc>
        <w:tc>
          <w:tcPr>
            <w:tcW w:w="1705" w:type="dxa"/>
          </w:tcPr>
          <w:p w14:paraId="51376805" w14:textId="77777777" w:rsidR="00165C9E" w:rsidRDefault="00000000">
            <w:pPr>
              <w:spacing w:line="360" w:lineRule="exact"/>
              <w:rPr>
                <w:rFonts w:asciiTheme="minorEastAsia" w:eastAsiaTheme="minorEastAsia" w:hAnsiTheme="minorEastAsia"/>
                <w:kern w:val="0"/>
              </w:rPr>
            </w:pPr>
            <w:r>
              <w:rPr>
                <w:rFonts w:asciiTheme="minorEastAsia" w:eastAsiaTheme="minorEastAsia" w:hAnsiTheme="minorEastAsia"/>
                <w:kern w:val="0"/>
              </w:rPr>
              <w:t>22.80</w:t>
            </w:r>
          </w:p>
        </w:tc>
        <w:tc>
          <w:tcPr>
            <w:tcW w:w="1705" w:type="dxa"/>
          </w:tcPr>
          <w:p w14:paraId="559E7270" w14:textId="77777777" w:rsidR="00165C9E" w:rsidRDefault="00000000">
            <w:pPr>
              <w:spacing w:line="360" w:lineRule="exact"/>
              <w:rPr>
                <w:rFonts w:asciiTheme="minorEastAsia" w:eastAsiaTheme="minorEastAsia" w:hAnsiTheme="minorEastAsia"/>
                <w:kern w:val="0"/>
              </w:rPr>
            </w:pPr>
            <w:r>
              <w:rPr>
                <w:rFonts w:asciiTheme="minorEastAsia" w:eastAsiaTheme="minorEastAsia" w:hAnsiTheme="minorEastAsia"/>
                <w:kern w:val="0"/>
              </w:rPr>
              <w:t>23.24</w:t>
            </w:r>
          </w:p>
        </w:tc>
      </w:tr>
      <w:tr w:rsidR="00165C9E" w14:paraId="180EC0DB" w14:textId="77777777">
        <w:tc>
          <w:tcPr>
            <w:tcW w:w="1951" w:type="dxa"/>
          </w:tcPr>
          <w:p w14:paraId="1F3CE94A" w14:textId="77777777" w:rsidR="00165C9E" w:rsidRDefault="00000000">
            <w:pPr>
              <w:spacing w:line="360" w:lineRule="exact"/>
              <w:rPr>
                <w:rFonts w:asciiTheme="minorEastAsia" w:eastAsiaTheme="minorEastAsia" w:hAnsiTheme="minorEastAsia"/>
                <w:kern w:val="0"/>
              </w:rPr>
            </w:pPr>
            <w:r>
              <w:rPr>
                <w:rFonts w:asciiTheme="minorEastAsia" w:eastAsiaTheme="minorEastAsia" w:hAnsiTheme="minorEastAsia" w:cs="宋体" w:hint="eastAsia"/>
                <w:kern w:val="0"/>
              </w:rPr>
              <w:t>净利润率（</w:t>
            </w:r>
            <w:r>
              <w:rPr>
                <w:rFonts w:asciiTheme="minorEastAsia" w:eastAsiaTheme="minorEastAsia" w:hAnsiTheme="minorEastAsia"/>
                <w:kern w:val="0"/>
              </w:rPr>
              <w:t>%</w:t>
            </w:r>
            <w:r>
              <w:rPr>
                <w:rFonts w:asciiTheme="minorEastAsia" w:eastAsiaTheme="minorEastAsia" w:hAnsiTheme="minorEastAsia" w:cs="宋体" w:hint="eastAsia"/>
                <w:kern w:val="0"/>
              </w:rPr>
              <w:t>）</w:t>
            </w:r>
          </w:p>
        </w:tc>
        <w:tc>
          <w:tcPr>
            <w:tcW w:w="1457" w:type="dxa"/>
          </w:tcPr>
          <w:p w14:paraId="7ECE914C" w14:textId="77777777" w:rsidR="00165C9E" w:rsidRDefault="00000000">
            <w:pPr>
              <w:spacing w:line="360" w:lineRule="exact"/>
              <w:rPr>
                <w:rFonts w:asciiTheme="minorEastAsia" w:eastAsiaTheme="minorEastAsia" w:hAnsiTheme="minorEastAsia"/>
                <w:kern w:val="0"/>
              </w:rPr>
            </w:pPr>
            <w:r>
              <w:rPr>
                <w:rFonts w:asciiTheme="minorEastAsia" w:eastAsiaTheme="minorEastAsia" w:hAnsiTheme="minorEastAsia"/>
                <w:kern w:val="0"/>
              </w:rPr>
              <w:t>13.27</w:t>
            </w:r>
          </w:p>
        </w:tc>
        <w:tc>
          <w:tcPr>
            <w:tcW w:w="1704" w:type="dxa"/>
          </w:tcPr>
          <w:p w14:paraId="55A91382" w14:textId="77777777" w:rsidR="00165C9E" w:rsidRDefault="00000000">
            <w:pPr>
              <w:spacing w:line="360" w:lineRule="exact"/>
              <w:rPr>
                <w:rFonts w:asciiTheme="minorEastAsia" w:eastAsiaTheme="minorEastAsia" w:hAnsiTheme="minorEastAsia"/>
                <w:kern w:val="0"/>
              </w:rPr>
            </w:pPr>
            <w:r>
              <w:rPr>
                <w:rFonts w:asciiTheme="minorEastAsia" w:eastAsiaTheme="minorEastAsia" w:hAnsiTheme="minorEastAsia"/>
                <w:kern w:val="0"/>
              </w:rPr>
              <w:t>11.79</w:t>
            </w:r>
          </w:p>
        </w:tc>
        <w:tc>
          <w:tcPr>
            <w:tcW w:w="1705" w:type="dxa"/>
          </w:tcPr>
          <w:p w14:paraId="525E48A7" w14:textId="77777777" w:rsidR="00165C9E" w:rsidRDefault="00000000">
            <w:pPr>
              <w:spacing w:line="360" w:lineRule="exact"/>
              <w:rPr>
                <w:rFonts w:asciiTheme="minorEastAsia" w:eastAsiaTheme="minorEastAsia" w:hAnsiTheme="minorEastAsia"/>
                <w:kern w:val="0"/>
              </w:rPr>
            </w:pPr>
            <w:r>
              <w:rPr>
                <w:rFonts w:asciiTheme="minorEastAsia" w:eastAsiaTheme="minorEastAsia" w:hAnsiTheme="minorEastAsia"/>
                <w:kern w:val="0"/>
              </w:rPr>
              <w:t>15.32</w:t>
            </w:r>
          </w:p>
        </w:tc>
        <w:tc>
          <w:tcPr>
            <w:tcW w:w="1705" w:type="dxa"/>
          </w:tcPr>
          <w:p w14:paraId="06161420" w14:textId="77777777" w:rsidR="00165C9E" w:rsidRDefault="00000000">
            <w:pPr>
              <w:spacing w:line="360" w:lineRule="exact"/>
              <w:rPr>
                <w:rFonts w:asciiTheme="minorEastAsia" w:eastAsiaTheme="minorEastAsia" w:hAnsiTheme="minorEastAsia"/>
                <w:kern w:val="0"/>
              </w:rPr>
            </w:pPr>
            <w:r>
              <w:rPr>
                <w:rFonts w:asciiTheme="minorEastAsia" w:eastAsiaTheme="minorEastAsia" w:hAnsiTheme="minorEastAsia"/>
                <w:kern w:val="0"/>
              </w:rPr>
              <w:t>16.55</w:t>
            </w:r>
          </w:p>
        </w:tc>
      </w:tr>
    </w:tbl>
    <w:p w14:paraId="09095200" w14:textId="77777777" w:rsidR="00165C9E" w:rsidRDefault="00000000">
      <w:pPr>
        <w:spacing w:line="400" w:lineRule="exact"/>
        <w:ind w:firstLineChars="200" w:firstLine="420"/>
        <w:jc w:val="left"/>
        <w:rPr>
          <w:rFonts w:ascii="黑体" w:eastAsia="黑体" w:hAnsi="黑体" w:cs="宋体"/>
        </w:rPr>
      </w:pPr>
      <w:r>
        <w:rPr>
          <w:rFonts w:ascii="黑体" w:eastAsia="黑体" w:hAnsi="黑体" w:cs="宋体" w:hint="eastAsia"/>
        </w:rPr>
        <w:t>数据来源：东方财富万科A（</w:t>
      </w:r>
      <w:hyperlink r:id="rId20" w:history="1">
        <w:r>
          <w:rPr>
            <w:rStyle w:val="af4"/>
            <w:rFonts w:ascii="黑体" w:eastAsia="黑体" w:hAnsi="黑体" w:cs="宋体"/>
          </w:rPr>
          <w:t>http://f10.eastmoney.com/f10_v2/FinanceAnalysis.aspx?code=sz000002</w:t>
        </w:r>
      </w:hyperlink>
      <w:r>
        <w:rPr>
          <w:rFonts w:ascii="黑体" w:eastAsia="黑体" w:hAnsi="黑体" w:cs="宋体"/>
        </w:rPr>
        <w:t>）</w:t>
      </w:r>
    </w:p>
    <w:p w14:paraId="459B8591" w14:textId="77777777" w:rsidR="00165C9E" w:rsidRDefault="00000000">
      <w:pPr>
        <w:ind w:firstLine="420"/>
        <w:rPr>
          <w:rFonts w:cs="宋体"/>
          <w:sz w:val="24"/>
          <w:szCs w:val="24"/>
        </w:rPr>
      </w:pPr>
      <w:r>
        <w:rPr>
          <w:rFonts w:cs="宋体" w:hint="eastAsia"/>
          <w:sz w:val="24"/>
          <w:szCs w:val="24"/>
        </w:rPr>
        <w:lastRenderedPageBreak/>
        <w:t>从表中我们可以看到万科</w:t>
      </w:r>
      <w:r>
        <w:rPr>
          <w:rFonts w:cs="宋体" w:hint="eastAsia"/>
          <w:sz w:val="24"/>
          <w:szCs w:val="24"/>
        </w:rPr>
        <w:t>2015-2018</w:t>
      </w:r>
      <w:r>
        <w:rPr>
          <w:rFonts w:cs="宋体" w:hint="eastAsia"/>
          <w:sz w:val="24"/>
          <w:szCs w:val="24"/>
        </w:rPr>
        <w:t>年的净资产收益率和净利润率从整体上看都是提高的，特别是</w:t>
      </w:r>
      <w:r>
        <w:rPr>
          <w:rFonts w:cs="宋体" w:hint="eastAsia"/>
          <w:sz w:val="24"/>
          <w:szCs w:val="24"/>
        </w:rPr>
        <w:t>2016</w:t>
      </w:r>
      <w:r>
        <w:rPr>
          <w:rFonts w:cs="宋体" w:hint="eastAsia"/>
          <w:sz w:val="24"/>
          <w:szCs w:val="24"/>
        </w:rPr>
        <w:t>年到</w:t>
      </w:r>
      <w:r>
        <w:rPr>
          <w:rFonts w:cs="宋体" w:hint="eastAsia"/>
          <w:sz w:val="24"/>
          <w:szCs w:val="24"/>
        </w:rPr>
        <w:t>2017</w:t>
      </w:r>
      <w:r>
        <w:rPr>
          <w:rFonts w:cs="宋体" w:hint="eastAsia"/>
          <w:sz w:val="24"/>
          <w:szCs w:val="24"/>
        </w:rPr>
        <w:t>年增长幅度是最大的分别增长</w:t>
      </w:r>
      <w:r>
        <w:rPr>
          <w:rFonts w:cs="宋体" w:hint="eastAsia"/>
          <w:sz w:val="24"/>
          <w:szCs w:val="24"/>
        </w:rPr>
        <w:t>3.12%</w:t>
      </w:r>
      <w:r>
        <w:rPr>
          <w:rFonts w:cs="宋体" w:hint="eastAsia"/>
          <w:sz w:val="24"/>
          <w:szCs w:val="24"/>
        </w:rPr>
        <w:t>和</w:t>
      </w:r>
      <w:r>
        <w:rPr>
          <w:rFonts w:cs="宋体" w:hint="eastAsia"/>
          <w:sz w:val="24"/>
          <w:szCs w:val="24"/>
        </w:rPr>
        <w:t>3.53%</w:t>
      </w:r>
      <w:r>
        <w:rPr>
          <w:rFonts w:cs="宋体" w:hint="eastAsia"/>
          <w:sz w:val="24"/>
          <w:szCs w:val="24"/>
        </w:rPr>
        <w:t>，随着万科盈利水平逐渐提高和发展，将不断扩大企业发展规模，然而内部融资的增长速度难以满足万科发展速度，因此要分析影响外部融资因素。首先根据薄庚申（</w:t>
      </w:r>
      <w:r>
        <w:rPr>
          <w:rFonts w:cs="宋体" w:hint="eastAsia"/>
          <w:sz w:val="24"/>
          <w:szCs w:val="24"/>
        </w:rPr>
        <w:t>2019</w:t>
      </w:r>
      <w:r>
        <w:rPr>
          <w:rFonts w:cs="宋体" w:hint="eastAsia"/>
          <w:sz w:val="24"/>
          <w:szCs w:val="24"/>
        </w:rPr>
        <w:t>）通过格兰杰因果检验分析得出结论企业融资成本和该企业净资产收益率、净利润率分别成反比比例。也就是说随着万科的净资产收益率和净利润率不断上升，万科的融资成本会越来越低；其次根据权衡理论，企业盈利额越大，所需要缴纳的税款越多。然而债务融资可以抵消部分税负作用进而降低该企业融资成本；最后从银行角度来说，银行放款会考虑该企业放贷安全和盈利方面，因为当该企业拥有比较高的盈利能力时，说明该企业在贷款到期时可以及时还本付息的能力并且可以保证银行收回贷款的成功率，从而提高企业评估的信誉，信誉提高了给企业贷款的利率也会比较低，因此企业比较容易从银行中得到贷款，其相对应的债务融资成本也会低。</w:t>
      </w:r>
    </w:p>
    <w:p w14:paraId="7A5FF506" w14:textId="77777777" w:rsidR="00165C9E" w:rsidRDefault="00000000">
      <w:pPr>
        <w:pStyle w:val="Heading30"/>
        <w:ind w:firstLineChars="200" w:firstLine="480"/>
        <w:rPr>
          <w:rFonts w:ascii="黑体" w:eastAsia="黑体" w:hAnsi="黑体" w:cs="黑体"/>
          <w:b w:val="0"/>
          <w:bCs w:val="0"/>
          <w:sz w:val="24"/>
          <w:szCs w:val="24"/>
        </w:rPr>
      </w:pPr>
      <w:bookmarkStart w:id="28" w:name="_Toc2167"/>
      <w:bookmarkStart w:id="29" w:name="_Toc33871928"/>
      <w:r>
        <w:rPr>
          <w:rFonts w:ascii="黑体" w:eastAsia="黑体" w:hAnsi="黑体" w:cs="黑体" w:hint="eastAsia"/>
          <w:b w:val="0"/>
          <w:bCs w:val="0"/>
          <w:sz w:val="24"/>
          <w:szCs w:val="24"/>
        </w:rPr>
        <w:t>2.会计稳健性</w:t>
      </w:r>
      <w:bookmarkEnd w:id="28"/>
      <w:bookmarkEnd w:id="29"/>
    </w:p>
    <w:p w14:paraId="4E47CFDB" w14:textId="77777777" w:rsidR="00165C9E" w:rsidRDefault="00000000">
      <w:pPr>
        <w:ind w:firstLine="420"/>
        <w:rPr>
          <w:rFonts w:cs="宋体"/>
          <w:sz w:val="24"/>
          <w:szCs w:val="24"/>
        </w:rPr>
      </w:pPr>
      <w:r>
        <w:rPr>
          <w:rFonts w:cs="宋体" w:hint="eastAsia"/>
          <w:sz w:val="24"/>
          <w:szCs w:val="24"/>
        </w:rPr>
        <w:t>会计稳健性起源于契约机制，企业公布的财务信息的在契约机制下会计稳健性可以保障信息质量，同时还可以增强报表信息的真实性与可靠性，并且也会影响企业的经济效益，具体体现在对企业融资成本影响。一方面会计稳健性对融资双方有不同的作用，对于债权人来说是“保护”作用，而对于债务人来说是“抑制”作用。比如在债权人和债务人关系之中，债权人要求在确定好时间收回本金及利息，但是，如果债务人如果存在低估损失与负债，高估收益与资产，到了还本付息时间，然而由于信息不对称，债权人无法掌握真实信息，遭受未识别高风险损失代价。但如果该企业会计信息稳健是有利于降低债权人遭受该风险概率，即可保护债权人利益。同时会计信息稳健性要求该企业必须要低估收益和资产。但企业在融资时，债权人需要的企业信息确定方案刚好是通过资产和收益来评估。企业在保持较高的会计稳健性过程中会削弱企业竞争优势。因而，债务因为会计稳健性原则付出成本得到最好的补偿即是债权人降低其贷款率，同时可以看到企业会计信息稳健性有利于降低债务成本；另一方面会计稳健性不利于管理者收益提高，万科管理层的薪酬大部分取决企业的经营状况，如果运用稳健性原则，会使资产减少，进一步使企业利润也减少，最后管理层薪酬也因此降低。然而要使管理层愿意提高信息质量，要债权人对其进行补偿，同样对于借方来说最直接方式还是降低贷款率，因此债务人因为运用稳健性而降低融资成本。</w:t>
      </w:r>
    </w:p>
    <w:p w14:paraId="33FDD4F5" w14:textId="77777777" w:rsidR="00165C9E" w:rsidRDefault="00000000">
      <w:pPr>
        <w:pStyle w:val="Heading20"/>
        <w:spacing w:line="400" w:lineRule="exact"/>
        <w:ind w:firstLineChars="200" w:firstLine="560"/>
        <w:rPr>
          <w:rFonts w:cs="宋体"/>
          <w:b w:val="0"/>
          <w:bCs w:val="0"/>
          <w:sz w:val="28"/>
          <w:szCs w:val="28"/>
        </w:rPr>
      </w:pPr>
      <w:bookmarkStart w:id="30" w:name="_Toc25624"/>
      <w:bookmarkStart w:id="31" w:name="_Toc33871929"/>
      <w:r>
        <w:rPr>
          <w:rFonts w:ascii="黑体" w:eastAsia="黑体" w:hAnsi="黑体" w:cs="黑体" w:hint="eastAsia"/>
          <w:b w:val="0"/>
          <w:bCs w:val="0"/>
          <w:sz w:val="28"/>
          <w:szCs w:val="28"/>
        </w:rPr>
        <w:t>（二）股权融资方式对融资成本影响因素</w:t>
      </w:r>
      <w:bookmarkEnd w:id="30"/>
      <w:bookmarkEnd w:id="31"/>
    </w:p>
    <w:p w14:paraId="2BDF9106" w14:textId="77777777" w:rsidR="00165C9E" w:rsidRDefault="00000000">
      <w:pPr>
        <w:pStyle w:val="Heading30"/>
        <w:ind w:firstLineChars="200" w:firstLine="480"/>
        <w:rPr>
          <w:rFonts w:cs="Calibri"/>
        </w:rPr>
      </w:pPr>
      <w:bookmarkStart w:id="32" w:name="_Toc29789"/>
      <w:bookmarkStart w:id="33" w:name="_Toc33871930"/>
      <w:r>
        <w:rPr>
          <w:rFonts w:ascii="黑体" w:eastAsia="黑体" w:hAnsi="黑体" w:cs="黑体"/>
          <w:b w:val="0"/>
          <w:bCs w:val="0"/>
          <w:sz w:val="24"/>
          <w:szCs w:val="24"/>
        </w:rPr>
        <w:t>1.</w:t>
      </w:r>
      <w:r>
        <w:rPr>
          <w:rFonts w:ascii="黑体" w:eastAsia="黑体" w:hAnsi="黑体" w:cs="黑体" w:hint="eastAsia"/>
          <w:b w:val="0"/>
          <w:bCs w:val="0"/>
          <w:sz w:val="24"/>
          <w:szCs w:val="24"/>
        </w:rPr>
        <w:t>经营风险和财务风险</w:t>
      </w:r>
      <w:bookmarkEnd w:id="32"/>
      <w:bookmarkEnd w:id="33"/>
    </w:p>
    <w:p w14:paraId="3ACB5ABD" w14:textId="77777777" w:rsidR="00165C9E" w:rsidRDefault="00000000">
      <w:pPr>
        <w:ind w:firstLine="420"/>
        <w:rPr>
          <w:rFonts w:cs="宋体"/>
          <w:sz w:val="24"/>
          <w:szCs w:val="24"/>
        </w:rPr>
      </w:pPr>
      <w:r>
        <w:rPr>
          <w:rFonts w:cs="宋体" w:hint="eastAsia"/>
          <w:sz w:val="24"/>
          <w:szCs w:val="24"/>
        </w:rPr>
        <w:t>根据收益与风险相匹配原则，当一个企业的经营风险提高时，股权投资者所承担的风险也会随着提高，从而要求的必要汇报率也会提高，最终导致企业融资成本增加。财务风险指的是资产负债率给企业带来的风险。当资产负债率比较高时，投资者将承担更多的债务成本。</w:t>
      </w:r>
    </w:p>
    <w:p w14:paraId="2664CA0C" w14:textId="77777777" w:rsidR="00165C9E" w:rsidRDefault="00000000">
      <w:pPr>
        <w:ind w:firstLine="420"/>
        <w:rPr>
          <w:rFonts w:cs="宋体"/>
          <w:sz w:val="24"/>
          <w:szCs w:val="24"/>
        </w:rPr>
      </w:pPr>
      <w:r>
        <w:rPr>
          <w:rFonts w:cs="宋体" w:hint="eastAsia"/>
          <w:sz w:val="24"/>
          <w:szCs w:val="24"/>
        </w:rPr>
        <w:t>表</w:t>
      </w:r>
      <w:r>
        <w:rPr>
          <w:rFonts w:cs="宋体"/>
          <w:sz w:val="24"/>
          <w:szCs w:val="24"/>
        </w:rPr>
        <w:t>6-2</w:t>
      </w:r>
      <w:r>
        <w:rPr>
          <w:rFonts w:cs="宋体" w:hint="eastAsia"/>
          <w:sz w:val="24"/>
          <w:szCs w:val="24"/>
        </w:rPr>
        <w:t>万科</w:t>
      </w:r>
      <w:r>
        <w:rPr>
          <w:rFonts w:cs="宋体"/>
          <w:sz w:val="24"/>
          <w:szCs w:val="24"/>
        </w:rPr>
        <w:t>2015-2018</w:t>
      </w:r>
      <w:r>
        <w:rPr>
          <w:rFonts w:cs="宋体" w:hint="eastAsia"/>
          <w:sz w:val="24"/>
          <w:szCs w:val="24"/>
        </w:rPr>
        <w:t>年偿债能力指标</w:t>
      </w:r>
    </w:p>
    <w:p w14:paraId="03A7E97B" w14:textId="77777777" w:rsidR="00165C9E" w:rsidRDefault="00000000">
      <w:pPr>
        <w:ind w:firstLine="420"/>
        <w:rPr>
          <w:rFonts w:ascii="黑体" w:eastAsia="黑体" w:hAnsi="黑体" w:cs="宋体"/>
        </w:rPr>
      </w:pPr>
      <w:r>
        <w:rPr>
          <w:rFonts w:ascii="黑体" w:eastAsia="黑体" w:hAnsi="黑体" w:cs="宋体" w:hint="eastAsia"/>
        </w:rPr>
        <w:t>注：资产负债率</w:t>
      </w:r>
      <w:r>
        <w:rPr>
          <w:rFonts w:ascii="黑体" w:eastAsia="黑体" w:hAnsi="黑体" w:cs="宋体"/>
        </w:rPr>
        <w:t>=</w:t>
      </w:r>
      <w:r>
        <w:rPr>
          <w:rFonts w:ascii="黑体" w:eastAsia="黑体" w:hAnsi="黑体" w:cs="宋体" w:hint="eastAsia"/>
        </w:rPr>
        <w:t>负债总额</w:t>
      </w:r>
      <w:r>
        <w:rPr>
          <w:rFonts w:ascii="黑体" w:eastAsia="黑体" w:hAnsi="黑体" w:cs="宋体"/>
        </w:rPr>
        <w:t>/</w:t>
      </w:r>
      <w:r>
        <w:rPr>
          <w:rFonts w:ascii="黑体" w:eastAsia="黑体" w:hAnsi="黑体" w:cs="宋体" w:hint="eastAsia"/>
        </w:rPr>
        <w:t>总资产</w:t>
      </w:r>
      <w:r>
        <w:rPr>
          <w:rFonts w:ascii="黑体" w:eastAsia="黑体" w:hAnsi="黑体" w:cs="宋体"/>
        </w:rPr>
        <w:t>*100%</w:t>
      </w:r>
    </w:p>
    <w:tbl>
      <w:tblPr>
        <w:tblW w:w="0" w:type="auto"/>
        <w:tblInd w:w="-106" w:type="dxa"/>
        <w:tblBorders>
          <w:top w:val="single" w:sz="12" w:space="0" w:color="auto"/>
          <w:bottom w:val="single" w:sz="12" w:space="0" w:color="auto"/>
          <w:insideH w:val="single" w:sz="4" w:space="0" w:color="auto"/>
        </w:tblBorders>
        <w:tblLook w:val="04A0" w:firstRow="1" w:lastRow="0" w:firstColumn="1" w:lastColumn="0" w:noHBand="0" w:noVBand="1"/>
      </w:tblPr>
      <w:tblGrid>
        <w:gridCol w:w="2235"/>
        <w:gridCol w:w="1173"/>
        <w:gridCol w:w="1704"/>
        <w:gridCol w:w="1705"/>
        <w:gridCol w:w="1705"/>
      </w:tblGrid>
      <w:tr w:rsidR="00165C9E" w14:paraId="552885E6" w14:textId="77777777">
        <w:tc>
          <w:tcPr>
            <w:tcW w:w="2235" w:type="dxa"/>
          </w:tcPr>
          <w:p w14:paraId="5BB4D339" w14:textId="77777777" w:rsidR="00165C9E" w:rsidRDefault="00000000">
            <w:pPr>
              <w:spacing w:line="360" w:lineRule="exact"/>
              <w:jc w:val="center"/>
              <w:rPr>
                <w:rFonts w:asciiTheme="minorEastAsia" w:eastAsiaTheme="minorEastAsia" w:hAnsiTheme="minorEastAsia"/>
                <w:b/>
                <w:bCs/>
                <w:color w:val="333333"/>
                <w:kern w:val="0"/>
              </w:rPr>
            </w:pPr>
            <w:r>
              <w:rPr>
                <w:rFonts w:asciiTheme="minorEastAsia" w:eastAsiaTheme="minorEastAsia" w:hAnsiTheme="minorEastAsia" w:cs="宋体" w:hint="eastAsia"/>
                <w:b/>
                <w:bCs/>
                <w:color w:val="333333"/>
                <w:kern w:val="0"/>
              </w:rPr>
              <w:t>财务指标</w:t>
            </w:r>
          </w:p>
        </w:tc>
        <w:tc>
          <w:tcPr>
            <w:tcW w:w="1173" w:type="dxa"/>
          </w:tcPr>
          <w:p w14:paraId="43180CBF" w14:textId="77777777" w:rsidR="00165C9E" w:rsidRDefault="00000000">
            <w:pPr>
              <w:spacing w:line="360" w:lineRule="exact"/>
              <w:rPr>
                <w:rFonts w:asciiTheme="minorEastAsia" w:eastAsiaTheme="minorEastAsia" w:hAnsiTheme="minorEastAsia"/>
                <w:kern w:val="0"/>
              </w:rPr>
            </w:pPr>
            <w:r>
              <w:rPr>
                <w:rFonts w:asciiTheme="minorEastAsia" w:eastAsiaTheme="minorEastAsia" w:hAnsiTheme="minorEastAsia"/>
                <w:kern w:val="0"/>
              </w:rPr>
              <w:t>2015</w:t>
            </w:r>
            <w:r>
              <w:rPr>
                <w:rFonts w:asciiTheme="minorEastAsia" w:eastAsiaTheme="minorEastAsia" w:hAnsiTheme="minorEastAsia" w:cs="宋体" w:hint="eastAsia"/>
                <w:kern w:val="0"/>
              </w:rPr>
              <w:t>年</w:t>
            </w:r>
          </w:p>
        </w:tc>
        <w:tc>
          <w:tcPr>
            <w:tcW w:w="1704" w:type="dxa"/>
          </w:tcPr>
          <w:p w14:paraId="0CADC977" w14:textId="77777777" w:rsidR="00165C9E" w:rsidRDefault="00000000">
            <w:pPr>
              <w:spacing w:line="360" w:lineRule="exact"/>
              <w:rPr>
                <w:rFonts w:asciiTheme="minorEastAsia" w:eastAsiaTheme="minorEastAsia" w:hAnsiTheme="minorEastAsia"/>
                <w:kern w:val="0"/>
              </w:rPr>
            </w:pPr>
            <w:r>
              <w:rPr>
                <w:rFonts w:asciiTheme="minorEastAsia" w:eastAsiaTheme="minorEastAsia" w:hAnsiTheme="minorEastAsia"/>
                <w:kern w:val="0"/>
              </w:rPr>
              <w:t>2016</w:t>
            </w:r>
            <w:r>
              <w:rPr>
                <w:rFonts w:asciiTheme="minorEastAsia" w:eastAsiaTheme="minorEastAsia" w:hAnsiTheme="minorEastAsia" w:cs="宋体" w:hint="eastAsia"/>
                <w:kern w:val="0"/>
              </w:rPr>
              <w:t>年</w:t>
            </w:r>
          </w:p>
        </w:tc>
        <w:tc>
          <w:tcPr>
            <w:tcW w:w="1705" w:type="dxa"/>
          </w:tcPr>
          <w:p w14:paraId="0216980D" w14:textId="77777777" w:rsidR="00165C9E" w:rsidRDefault="00000000">
            <w:pPr>
              <w:spacing w:line="360" w:lineRule="exact"/>
              <w:rPr>
                <w:rFonts w:asciiTheme="minorEastAsia" w:eastAsiaTheme="minorEastAsia" w:hAnsiTheme="minorEastAsia"/>
                <w:kern w:val="0"/>
              </w:rPr>
            </w:pPr>
            <w:r>
              <w:rPr>
                <w:rFonts w:asciiTheme="minorEastAsia" w:eastAsiaTheme="minorEastAsia" w:hAnsiTheme="minorEastAsia"/>
                <w:kern w:val="0"/>
              </w:rPr>
              <w:t>2017</w:t>
            </w:r>
            <w:r>
              <w:rPr>
                <w:rFonts w:asciiTheme="minorEastAsia" w:eastAsiaTheme="minorEastAsia" w:hAnsiTheme="minorEastAsia" w:cs="宋体" w:hint="eastAsia"/>
                <w:kern w:val="0"/>
              </w:rPr>
              <w:t>年</w:t>
            </w:r>
          </w:p>
        </w:tc>
        <w:tc>
          <w:tcPr>
            <w:tcW w:w="1705" w:type="dxa"/>
          </w:tcPr>
          <w:p w14:paraId="37D3D894" w14:textId="77777777" w:rsidR="00165C9E" w:rsidRDefault="00000000">
            <w:pPr>
              <w:spacing w:line="360" w:lineRule="exact"/>
              <w:rPr>
                <w:rFonts w:asciiTheme="minorEastAsia" w:eastAsiaTheme="minorEastAsia" w:hAnsiTheme="minorEastAsia"/>
                <w:kern w:val="0"/>
              </w:rPr>
            </w:pPr>
            <w:r>
              <w:rPr>
                <w:rFonts w:asciiTheme="minorEastAsia" w:eastAsiaTheme="minorEastAsia" w:hAnsiTheme="minorEastAsia"/>
                <w:kern w:val="0"/>
              </w:rPr>
              <w:t>2018</w:t>
            </w:r>
            <w:r>
              <w:rPr>
                <w:rFonts w:asciiTheme="minorEastAsia" w:eastAsiaTheme="minorEastAsia" w:hAnsiTheme="minorEastAsia" w:cs="宋体" w:hint="eastAsia"/>
                <w:kern w:val="0"/>
              </w:rPr>
              <w:t>年</w:t>
            </w:r>
          </w:p>
        </w:tc>
      </w:tr>
      <w:tr w:rsidR="00165C9E" w14:paraId="696DB7A2" w14:textId="77777777">
        <w:tc>
          <w:tcPr>
            <w:tcW w:w="2235" w:type="dxa"/>
            <w:vAlign w:val="center"/>
          </w:tcPr>
          <w:p w14:paraId="0EA5BB20" w14:textId="77777777" w:rsidR="00165C9E" w:rsidRDefault="00000000">
            <w:pPr>
              <w:spacing w:line="360" w:lineRule="exact"/>
              <w:jc w:val="center"/>
              <w:rPr>
                <w:rFonts w:asciiTheme="minorEastAsia" w:eastAsiaTheme="minorEastAsia" w:hAnsiTheme="minorEastAsia"/>
                <w:color w:val="333333"/>
                <w:kern w:val="0"/>
              </w:rPr>
            </w:pPr>
            <w:r>
              <w:rPr>
                <w:rFonts w:asciiTheme="minorEastAsia" w:eastAsiaTheme="minorEastAsia" w:hAnsiTheme="minorEastAsia" w:cs="宋体" w:hint="eastAsia"/>
                <w:color w:val="333333"/>
                <w:kern w:val="0"/>
              </w:rPr>
              <w:t>资产负债率</w:t>
            </w:r>
            <w:r>
              <w:rPr>
                <w:rFonts w:asciiTheme="minorEastAsia" w:eastAsiaTheme="minorEastAsia" w:hAnsiTheme="minorEastAsia"/>
                <w:color w:val="333333"/>
                <w:kern w:val="0"/>
              </w:rPr>
              <w:t>(%)</w:t>
            </w:r>
          </w:p>
        </w:tc>
        <w:tc>
          <w:tcPr>
            <w:tcW w:w="1173" w:type="dxa"/>
          </w:tcPr>
          <w:p w14:paraId="070863B1" w14:textId="77777777" w:rsidR="00165C9E" w:rsidRDefault="00000000">
            <w:pPr>
              <w:spacing w:line="360" w:lineRule="exact"/>
              <w:rPr>
                <w:rFonts w:asciiTheme="minorEastAsia" w:eastAsiaTheme="minorEastAsia" w:hAnsiTheme="minorEastAsia"/>
                <w:kern w:val="0"/>
              </w:rPr>
            </w:pPr>
            <w:r>
              <w:rPr>
                <w:rFonts w:asciiTheme="minorEastAsia" w:eastAsiaTheme="minorEastAsia" w:hAnsiTheme="minorEastAsia"/>
                <w:kern w:val="0"/>
              </w:rPr>
              <w:t>77.7</w:t>
            </w:r>
          </w:p>
        </w:tc>
        <w:tc>
          <w:tcPr>
            <w:tcW w:w="1704" w:type="dxa"/>
          </w:tcPr>
          <w:p w14:paraId="67E51F17" w14:textId="77777777" w:rsidR="00165C9E" w:rsidRDefault="00000000">
            <w:pPr>
              <w:spacing w:line="360" w:lineRule="exact"/>
              <w:rPr>
                <w:rFonts w:asciiTheme="minorEastAsia" w:eastAsiaTheme="minorEastAsia" w:hAnsiTheme="minorEastAsia"/>
                <w:kern w:val="0"/>
              </w:rPr>
            </w:pPr>
            <w:r>
              <w:rPr>
                <w:rFonts w:asciiTheme="minorEastAsia" w:eastAsiaTheme="minorEastAsia" w:hAnsiTheme="minorEastAsia"/>
                <w:kern w:val="0"/>
              </w:rPr>
              <w:t>80.54</w:t>
            </w:r>
          </w:p>
        </w:tc>
        <w:tc>
          <w:tcPr>
            <w:tcW w:w="1705" w:type="dxa"/>
          </w:tcPr>
          <w:p w14:paraId="5BE6B27C" w14:textId="77777777" w:rsidR="00165C9E" w:rsidRDefault="00000000">
            <w:pPr>
              <w:spacing w:line="360" w:lineRule="exact"/>
              <w:rPr>
                <w:rFonts w:asciiTheme="minorEastAsia" w:eastAsiaTheme="minorEastAsia" w:hAnsiTheme="minorEastAsia"/>
                <w:kern w:val="0"/>
              </w:rPr>
            </w:pPr>
            <w:r>
              <w:rPr>
                <w:rFonts w:asciiTheme="minorEastAsia" w:eastAsiaTheme="minorEastAsia" w:hAnsiTheme="minorEastAsia"/>
                <w:kern w:val="0"/>
              </w:rPr>
              <w:t>83.98</w:t>
            </w:r>
          </w:p>
        </w:tc>
        <w:tc>
          <w:tcPr>
            <w:tcW w:w="1705" w:type="dxa"/>
          </w:tcPr>
          <w:p w14:paraId="3C5A25ED" w14:textId="77777777" w:rsidR="00165C9E" w:rsidRDefault="00000000">
            <w:pPr>
              <w:spacing w:line="360" w:lineRule="exact"/>
              <w:rPr>
                <w:rFonts w:asciiTheme="minorEastAsia" w:eastAsiaTheme="minorEastAsia" w:hAnsiTheme="minorEastAsia"/>
                <w:kern w:val="0"/>
              </w:rPr>
            </w:pPr>
            <w:r>
              <w:rPr>
                <w:rFonts w:asciiTheme="minorEastAsia" w:eastAsiaTheme="minorEastAsia" w:hAnsiTheme="minorEastAsia"/>
                <w:kern w:val="0"/>
              </w:rPr>
              <w:t>84.59</w:t>
            </w:r>
          </w:p>
        </w:tc>
      </w:tr>
    </w:tbl>
    <w:p w14:paraId="312AA715" w14:textId="77777777" w:rsidR="00165C9E" w:rsidRDefault="00000000">
      <w:pPr>
        <w:spacing w:line="400" w:lineRule="exact"/>
        <w:ind w:firstLineChars="200" w:firstLine="420"/>
        <w:jc w:val="left"/>
        <w:rPr>
          <w:rFonts w:ascii="黑体" w:eastAsia="黑体" w:hAnsi="黑体" w:cs="宋体"/>
        </w:rPr>
      </w:pPr>
      <w:r>
        <w:rPr>
          <w:rFonts w:ascii="黑体" w:eastAsia="黑体" w:hAnsi="黑体" w:cs="宋体" w:hint="eastAsia"/>
        </w:rPr>
        <w:t>数据来源：东方财富万科A</w:t>
      </w:r>
      <w:r>
        <w:rPr>
          <w:rFonts w:ascii="黑体" w:eastAsia="黑体" w:hAnsi="黑体" w:cs="宋体" w:hint="eastAsia"/>
        </w:rPr>
        <w:lastRenderedPageBreak/>
        <w:t>（</w:t>
      </w:r>
      <w:hyperlink r:id="rId21" w:history="1">
        <w:r>
          <w:rPr>
            <w:rStyle w:val="af4"/>
            <w:rFonts w:ascii="黑体" w:eastAsia="黑体" w:hAnsi="黑体" w:cs="宋体"/>
          </w:rPr>
          <w:t>http://f10.eastmoney.com/f10_v2/FinanceAnalysis.aspx?code=sz000002</w:t>
        </w:r>
      </w:hyperlink>
      <w:r>
        <w:rPr>
          <w:rFonts w:ascii="黑体" w:eastAsia="黑体" w:hAnsi="黑体" w:cs="宋体"/>
        </w:rPr>
        <w:t>）</w:t>
      </w:r>
    </w:p>
    <w:p w14:paraId="4C589351" w14:textId="77777777" w:rsidR="00165C9E" w:rsidRDefault="00000000">
      <w:pPr>
        <w:ind w:firstLine="420"/>
        <w:rPr>
          <w:rFonts w:cs="宋体"/>
          <w:sz w:val="24"/>
          <w:szCs w:val="24"/>
        </w:rPr>
      </w:pPr>
      <w:r>
        <w:rPr>
          <w:rFonts w:cs="宋体" w:hint="eastAsia"/>
          <w:sz w:val="24"/>
          <w:szCs w:val="24"/>
        </w:rPr>
        <w:t>银监会规定，房地产企业债务资本不能高于</w:t>
      </w:r>
      <w:r>
        <w:rPr>
          <w:rFonts w:cs="宋体"/>
          <w:sz w:val="24"/>
          <w:szCs w:val="24"/>
        </w:rPr>
        <w:t>65%</w:t>
      </w:r>
      <w:r>
        <w:rPr>
          <w:rFonts w:cs="宋体" w:hint="eastAsia"/>
          <w:sz w:val="24"/>
          <w:szCs w:val="24"/>
        </w:rPr>
        <w:t>，从上表可以看出，从</w:t>
      </w:r>
      <w:r>
        <w:rPr>
          <w:rFonts w:cs="宋体" w:hint="eastAsia"/>
          <w:sz w:val="24"/>
          <w:szCs w:val="24"/>
        </w:rPr>
        <w:t>2015</w:t>
      </w:r>
      <w:r>
        <w:rPr>
          <w:rFonts w:cs="宋体" w:hint="eastAsia"/>
          <w:sz w:val="24"/>
          <w:szCs w:val="24"/>
        </w:rPr>
        <w:t>年到</w:t>
      </w:r>
      <w:r>
        <w:rPr>
          <w:rFonts w:cs="宋体" w:hint="eastAsia"/>
          <w:sz w:val="24"/>
          <w:szCs w:val="24"/>
        </w:rPr>
        <w:t>2018</w:t>
      </w:r>
      <w:r>
        <w:rPr>
          <w:rFonts w:cs="宋体" w:hint="eastAsia"/>
          <w:sz w:val="24"/>
          <w:szCs w:val="24"/>
        </w:rPr>
        <w:t>年，万科的资产负债率高于</w:t>
      </w:r>
      <w:r>
        <w:rPr>
          <w:rFonts w:cs="宋体" w:hint="eastAsia"/>
          <w:sz w:val="24"/>
          <w:szCs w:val="24"/>
        </w:rPr>
        <w:t>77.7</w:t>
      </w:r>
      <w:r>
        <w:rPr>
          <w:rFonts w:cs="宋体" w:hint="eastAsia"/>
          <w:sz w:val="24"/>
          <w:szCs w:val="24"/>
        </w:rPr>
        <w:t>％，并且在过去四年中逐年增加。这说明我万科面临较高的负债压力，自有资金不足，同时也会增加企业融资成本。根据</w:t>
      </w:r>
      <w:r>
        <w:rPr>
          <w:rFonts w:cs="宋体"/>
          <w:sz w:val="24"/>
          <w:szCs w:val="24"/>
        </w:rPr>
        <w:t>MM</w:t>
      </w:r>
      <w:r>
        <w:rPr>
          <w:rFonts w:cs="宋体" w:hint="eastAsia"/>
          <w:sz w:val="24"/>
          <w:szCs w:val="24"/>
        </w:rPr>
        <w:t>理论的推导，我们可以知道，存在债权杠杆的股权融资成本等于零杠杆股权融资成本与市值占比成比例的债权融资的风险溢价之和。</w:t>
      </w:r>
    </w:p>
    <w:p w14:paraId="7D185739" w14:textId="77777777" w:rsidR="00165C9E" w:rsidRDefault="00000000">
      <w:pPr>
        <w:pStyle w:val="Heading30"/>
        <w:ind w:firstLineChars="200" w:firstLine="480"/>
        <w:rPr>
          <w:rFonts w:ascii="黑体" w:eastAsia="黑体" w:hAnsi="黑体" w:cs="黑体"/>
          <w:b w:val="0"/>
          <w:bCs w:val="0"/>
          <w:sz w:val="24"/>
          <w:szCs w:val="24"/>
        </w:rPr>
      </w:pPr>
      <w:bookmarkStart w:id="34" w:name="_Toc33871931"/>
      <w:bookmarkStart w:id="35" w:name="_Toc7174"/>
      <w:r>
        <w:rPr>
          <w:rFonts w:ascii="黑体" w:eastAsia="黑体" w:hAnsi="黑体" w:cs="黑体"/>
          <w:b w:val="0"/>
          <w:bCs w:val="0"/>
          <w:sz w:val="24"/>
          <w:szCs w:val="24"/>
        </w:rPr>
        <w:t>2.</w:t>
      </w:r>
      <w:r>
        <w:rPr>
          <w:rFonts w:ascii="黑体" w:eastAsia="黑体" w:hAnsi="黑体" w:cs="黑体" w:hint="eastAsia"/>
          <w:b w:val="0"/>
          <w:bCs w:val="0"/>
          <w:sz w:val="24"/>
          <w:szCs w:val="24"/>
        </w:rPr>
        <w:t>股票价格</w:t>
      </w:r>
      <w:bookmarkEnd w:id="34"/>
      <w:bookmarkEnd w:id="35"/>
    </w:p>
    <w:p w14:paraId="29D72CE1" w14:textId="77777777" w:rsidR="00165C9E" w:rsidRDefault="00000000">
      <w:pPr>
        <w:ind w:firstLine="420"/>
        <w:rPr>
          <w:rFonts w:cs="宋体"/>
          <w:sz w:val="24"/>
          <w:szCs w:val="24"/>
        </w:rPr>
      </w:pPr>
      <w:r>
        <w:rPr>
          <w:rFonts w:cs="宋体" w:hint="eastAsia"/>
          <w:sz w:val="24"/>
          <w:szCs w:val="24"/>
        </w:rPr>
        <w:t>表</w:t>
      </w:r>
      <w:r>
        <w:rPr>
          <w:rFonts w:cs="宋体"/>
          <w:sz w:val="24"/>
          <w:szCs w:val="24"/>
        </w:rPr>
        <w:t>6-2</w:t>
      </w:r>
      <w:r>
        <w:rPr>
          <w:rFonts w:cs="宋体" w:hint="eastAsia"/>
          <w:sz w:val="24"/>
          <w:szCs w:val="24"/>
        </w:rPr>
        <w:t>盈利能力指标对比</w:t>
      </w:r>
      <w:r>
        <w:rPr>
          <w:rStyle w:val="af6"/>
          <w:rFonts w:cs="宋体"/>
          <w:sz w:val="24"/>
          <w:szCs w:val="24"/>
        </w:rPr>
        <w:footnoteReference w:id="7"/>
      </w:r>
    </w:p>
    <w:tbl>
      <w:tblPr>
        <w:tblW w:w="0" w:type="auto"/>
        <w:tblInd w:w="2" w:type="dxa"/>
        <w:tblBorders>
          <w:top w:val="single" w:sz="12" w:space="0" w:color="auto"/>
          <w:bottom w:val="single" w:sz="12" w:space="0" w:color="auto"/>
          <w:insideH w:val="single" w:sz="4" w:space="0" w:color="auto"/>
        </w:tblBorders>
        <w:tblLook w:val="04A0" w:firstRow="1" w:lastRow="0" w:firstColumn="1" w:lastColumn="0" w:noHBand="0" w:noVBand="1"/>
      </w:tblPr>
      <w:tblGrid>
        <w:gridCol w:w="1525"/>
        <w:gridCol w:w="1559"/>
        <w:gridCol w:w="1701"/>
        <w:gridCol w:w="1701"/>
        <w:gridCol w:w="2034"/>
      </w:tblGrid>
      <w:tr w:rsidR="00165C9E" w14:paraId="13804442" w14:textId="77777777">
        <w:tc>
          <w:tcPr>
            <w:tcW w:w="1526" w:type="dxa"/>
          </w:tcPr>
          <w:p w14:paraId="3EE1814A" w14:textId="77777777" w:rsidR="00165C9E" w:rsidRDefault="00000000">
            <w:pPr>
              <w:spacing w:line="360" w:lineRule="exact"/>
              <w:rPr>
                <w:rFonts w:asciiTheme="minorEastAsia" w:eastAsiaTheme="minorEastAsia" w:hAnsiTheme="minorEastAsia"/>
                <w:kern w:val="0"/>
              </w:rPr>
            </w:pPr>
            <w:r>
              <w:rPr>
                <w:rFonts w:asciiTheme="minorEastAsia" w:eastAsiaTheme="minorEastAsia" w:hAnsiTheme="minorEastAsia" w:cs="宋体" w:hint="eastAsia"/>
                <w:kern w:val="0"/>
              </w:rPr>
              <w:t>股票代码</w:t>
            </w:r>
          </w:p>
        </w:tc>
        <w:tc>
          <w:tcPr>
            <w:tcW w:w="1559" w:type="dxa"/>
          </w:tcPr>
          <w:p w14:paraId="6C29CDA5" w14:textId="77777777" w:rsidR="00165C9E" w:rsidRDefault="00000000">
            <w:pPr>
              <w:spacing w:line="360" w:lineRule="exact"/>
              <w:rPr>
                <w:rFonts w:asciiTheme="minorEastAsia" w:eastAsiaTheme="minorEastAsia" w:hAnsiTheme="minorEastAsia"/>
                <w:kern w:val="0"/>
              </w:rPr>
            </w:pPr>
            <w:r>
              <w:rPr>
                <w:rFonts w:asciiTheme="minorEastAsia" w:eastAsiaTheme="minorEastAsia" w:hAnsiTheme="minorEastAsia" w:cs="宋体" w:hint="eastAsia"/>
                <w:kern w:val="0"/>
              </w:rPr>
              <w:t>股票名称</w:t>
            </w:r>
          </w:p>
        </w:tc>
        <w:tc>
          <w:tcPr>
            <w:tcW w:w="1701" w:type="dxa"/>
          </w:tcPr>
          <w:p w14:paraId="1AC32403" w14:textId="77777777" w:rsidR="00165C9E" w:rsidRDefault="00000000">
            <w:pPr>
              <w:spacing w:line="360" w:lineRule="exact"/>
              <w:rPr>
                <w:rFonts w:asciiTheme="minorEastAsia" w:eastAsiaTheme="minorEastAsia" w:hAnsiTheme="minorEastAsia"/>
                <w:kern w:val="0"/>
              </w:rPr>
            </w:pPr>
            <w:r>
              <w:rPr>
                <w:rFonts w:asciiTheme="minorEastAsia" w:eastAsiaTheme="minorEastAsia" w:hAnsiTheme="minorEastAsia" w:cs="宋体" w:hint="eastAsia"/>
                <w:kern w:val="0"/>
              </w:rPr>
              <w:t>每股收益</w:t>
            </w:r>
            <w:r>
              <w:rPr>
                <w:rStyle w:val="af6"/>
                <w:rFonts w:asciiTheme="minorEastAsia" w:eastAsiaTheme="minorEastAsia" w:hAnsiTheme="minorEastAsia" w:cs="宋体"/>
                <w:kern w:val="0"/>
              </w:rPr>
              <w:footnoteReference w:id="8"/>
            </w:r>
            <w:r>
              <w:rPr>
                <w:rFonts w:asciiTheme="minorEastAsia" w:eastAsiaTheme="minorEastAsia" w:hAnsiTheme="minorEastAsia" w:cs="宋体" w:hint="eastAsia"/>
                <w:kern w:val="0"/>
              </w:rPr>
              <w:t>（元）</w:t>
            </w:r>
          </w:p>
        </w:tc>
        <w:tc>
          <w:tcPr>
            <w:tcW w:w="1701" w:type="dxa"/>
          </w:tcPr>
          <w:p w14:paraId="4B493E50" w14:textId="77777777" w:rsidR="00165C9E" w:rsidRDefault="00000000">
            <w:pPr>
              <w:spacing w:line="360" w:lineRule="exact"/>
              <w:rPr>
                <w:rFonts w:asciiTheme="minorEastAsia" w:eastAsiaTheme="minorEastAsia" w:hAnsiTheme="minorEastAsia"/>
                <w:kern w:val="0"/>
              </w:rPr>
            </w:pPr>
            <w:r>
              <w:rPr>
                <w:rFonts w:asciiTheme="minorEastAsia" w:eastAsiaTheme="minorEastAsia" w:hAnsiTheme="minorEastAsia" w:cs="宋体" w:hint="eastAsia"/>
                <w:kern w:val="0"/>
              </w:rPr>
              <w:t>每股净资产（元）</w:t>
            </w:r>
          </w:p>
        </w:tc>
        <w:tc>
          <w:tcPr>
            <w:tcW w:w="2035" w:type="dxa"/>
          </w:tcPr>
          <w:p w14:paraId="53E857E1" w14:textId="77777777" w:rsidR="00165C9E" w:rsidRDefault="00000000">
            <w:pPr>
              <w:spacing w:line="360" w:lineRule="exact"/>
              <w:rPr>
                <w:rFonts w:asciiTheme="minorEastAsia" w:eastAsiaTheme="minorEastAsia" w:hAnsiTheme="minorEastAsia"/>
                <w:kern w:val="0"/>
              </w:rPr>
            </w:pPr>
            <w:r>
              <w:rPr>
                <w:rFonts w:asciiTheme="minorEastAsia" w:eastAsiaTheme="minorEastAsia" w:hAnsiTheme="minorEastAsia" w:cs="宋体" w:hint="eastAsia"/>
                <w:kern w:val="0"/>
              </w:rPr>
              <w:t>净资产收益率（</w:t>
            </w:r>
            <w:r>
              <w:rPr>
                <w:rFonts w:asciiTheme="minorEastAsia" w:eastAsiaTheme="minorEastAsia" w:hAnsiTheme="minorEastAsia"/>
                <w:kern w:val="0"/>
              </w:rPr>
              <w:t>%</w:t>
            </w:r>
            <w:r>
              <w:rPr>
                <w:rFonts w:asciiTheme="minorEastAsia" w:eastAsiaTheme="minorEastAsia" w:hAnsiTheme="minorEastAsia" w:cs="宋体" w:hint="eastAsia"/>
                <w:kern w:val="0"/>
              </w:rPr>
              <w:t>）</w:t>
            </w:r>
          </w:p>
        </w:tc>
      </w:tr>
      <w:tr w:rsidR="00165C9E" w14:paraId="3E10D382" w14:textId="77777777">
        <w:tc>
          <w:tcPr>
            <w:tcW w:w="1526" w:type="dxa"/>
          </w:tcPr>
          <w:p w14:paraId="3AC75292" w14:textId="77777777" w:rsidR="00165C9E" w:rsidRDefault="00000000">
            <w:pPr>
              <w:spacing w:line="360" w:lineRule="exact"/>
              <w:rPr>
                <w:rFonts w:asciiTheme="minorEastAsia" w:eastAsiaTheme="minorEastAsia" w:hAnsiTheme="minorEastAsia"/>
                <w:kern w:val="0"/>
              </w:rPr>
            </w:pPr>
            <w:r>
              <w:rPr>
                <w:rFonts w:asciiTheme="minorEastAsia" w:eastAsiaTheme="minorEastAsia" w:hAnsiTheme="minorEastAsia"/>
                <w:kern w:val="0"/>
              </w:rPr>
              <w:t>000002</w:t>
            </w:r>
          </w:p>
        </w:tc>
        <w:tc>
          <w:tcPr>
            <w:tcW w:w="1559" w:type="dxa"/>
          </w:tcPr>
          <w:p w14:paraId="0BB78688" w14:textId="77777777" w:rsidR="00165C9E" w:rsidRDefault="00000000">
            <w:pPr>
              <w:spacing w:line="360" w:lineRule="exact"/>
              <w:rPr>
                <w:rFonts w:asciiTheme="minorEastAsia" w:eastAsiaTheme="minorEastAsia" w:hAnsiTheme="minorEastAsia"/>
                <w:kern w:val="0"/>
              </w:rPr>
            </w:pPr>
            <w:r>
              <w:rPr>
                <w:rFonts w:asciiTheme="minorEastAsia" w:eastAsiaTheme="minorEastAsia" w:hAnsiTheme="minorEastAsia" w:cs="宋体" w:hint="eastAsia"/>
                <w:kern w:val="0"/>
              </w:rPr>
              <w:t>万科</w:t>
            </w:r>
            <w:r>
              <w:rPr>
                <w:rFonts w:asciiTheme="minorEastAsia" w:eastAsiaTheme="minorEastAsia" w:hAnsiTheme="minorEastAsia"/>
                <w:kern w:val="0"/>
              </w:rPr>
              <w:t>A</w:t>
            </w:r>
          </w:p>
        </w:tc>
        <w:tc>
          <w:tcPr>
            <w:tcW w:w="1701" w:type="dxa"/>
          </w:tcPr>
          <w:p w14:paraId="1AB0BA91" w14:textId="77777777" w:rsidR="00165C9E" w:rsidRDefault="00000000">
            <w:pPr>
              <w:spacing w:line="360" w:lineRule="exact"/>
              <w:rPr>
                <w:rFonts w:asciiTheme="minorEastAsia" w:eastAsiaTheme="minorEastAsia" w:hAnsiTheme="minorEastAsia"/>
                <w:kern w:val="0"/>
              </w:rPr>
            </w:pPr>
            <w:r>
              <w:rPr>
                <w:rFonts w:asciiTheme="minorEastAsia" w:eastAsiaTheme="minorEastAsia" w:hAnsiTheme="minorEastAsia"/>
                <w:kern w:val="0"/>
              </w:rPr>
              <w:t>3.0600</w:t>
            </w:r>
          </w:p>
        </w:tc>
        <w:tc>
          <w:tcPr>
            <w:tcW w:w="1701" w:type="dxa"/>
          </w:tcPr>
          <w:p w14:paraId="08F21822" w14:textId="77777777" w:rsidR="00165C9E" w:rsidRDefault="00000000">
            <w:pPr>
              <w:spacing w:line="360" w:lineRule="exact"/>
              <w:rPr>
                <w:rFonts w:asciiTheme="minorEastAsia" w:eastAsiaTheme="minorEastAsia" w:hAnsiTheme="minorEastAsia"/>
                <w:kern w:val="0"/>
              </w:rPr>
            </w:pPr>
            <w:r>
              <w:rPr>
                <w:rFonts w:asciiTheme="minorEastAsia" w:eastAsiaTheme="minorEastAsia" w:hAnsiTheme="minorEastAsia"/>
                <w:kern w:val="0"/>
              </w:rPr>
              <w:t>14.1100</w:t>
            </w:r>
          </w:p>
        </w:tc>
        <w:tc>
          <w:tcPr>
            <w:tcW w:w="2035" w:type="dxa"/>
          </w:tcPr>
          <w:p w14:paraId="4A948075" w14:textId="77777777" w:rsidR="00165C9E" w:rsidRDefault="00000000">
            <w:pPr>
              <w:spacing w:line="360" w:lineRule="exact"/>
              <w:rPr>
                <w:rFonts w:asciiTheme="minorEastAsia" w:eastAsiaTheme="minorEastAsia" w:hAnsiTheme="minorEastAsia"/>
                <w:kern w:val="0"/>
              </w:rPr>
            </w:pPr>
            <w:r>
              <w:rPr>
                <w:rFonts w:asciiTheme="minorEastAsia" w:eastAsiaTheme="minorEastAsia" w:hAnsiTheme="minorEastAsia"/>
                <w:kern w:val="0"/>
              </w:rPr>
              <w:t>23.24</w:t>
            </w:r>
          </w:p>
        </w:tc>
      </w:tr>
      <w:tr w:rsidR="00165C9E" w14:paraId="790C0441" w14:textId="77777777">
        <w:tc>
          <w:tcPr>
            <w:tcW w:w="1526" w:type="dxa"/>
          </w:tcPr>
          <w:p w14:paraId="268EF540" w14:textId="77777777" w:rsidR="00165C9E" w:rsidRDefault="00000000">
            <w:pPr>
              <w:spacing w:line="360" w:lineRule="exact"/>
              <w:rPr>
                <w:rFonts w:asciiTheme="minorEastAsia" w:eastAsiaTheme="minorEastAsia" w:hAnsiTheme="minorEastAsia"/>
                <w:kern w:val="0"/>
              </w:rPr>
            </w:pPr>
            <w:r>
              <w:rPr>
                <w:rFonts w:asciiTheme="minorEastAsia" w:eastAsiaTheme="minorEastAsia" w:hAnsiTheme="minorEastAsia"/>
                <w:kern w:val="0"/>
              </w:rPr>
              <w:t>600048</w:t>
            </w:r>
          </w:p>
        </w:tc>
        <w:tc>
          <w:tcPr>
            <w:tcW w:w="1559" w:type="dxa"/>
          </w:tcPr>
          <w:p w14:paraId="5563559E" w14:textId="77777777" w:rsidR="00165C9E" w:rsidRDefault="00000000">
            <w:pPr>
              <w:spacing w:line="360" w:lineRule="exact"/>
              <w:rPr>
                <w:rFonts w:asciiTheme="minorEastAsia" w:eastAsiaTheme="minorEastAsia" w:hAnsiTheme="minorEastAsia"/>
                <w:kern w:val="0"/>
              </w:rPr>
            </w:pPr>
            <w:r>
              <w:rPr>
                <w:rFonts w:asciiTheme="minorEastAsia" w:eastAsiaTheme="minorEastAsia" w:hAnsiTheme="minorEastAsia" w:cs="宋体" w:hint="eastAsia"/>
                <w:kern w:val="0"/>
              </w:rPr>
              <w:t>保利</w:t>
            </w:r>
          </w:p>
        </w:tc>
        <w:tc>
          <w:tcPr>
            <w:tcW w:w="1701" w:type="dxa"/>
          </w:tcPr>
          <w:p w14:paraId="5ED85F2B" w14:textId="77777777" w:rsidR="00165C9E" w:rsidRDefault="00000000">
            <w:pPr>
              <w:spacing w:line="360" w:lineRule="exact"/>
              <w:rPr>
                <w:rFonts w:asciiTheme="minorEastAsia" w:eastAsiaTheme="minorEastAsia" w:hAnsiTheme="minorEastAsia"/>
                <w:kern w:val="0"/>
              </w:rPr>
            </w:pPr>
            <w:r>
              <w:rPr>
                <w:rFonts w:asciiTheme="minorEastAsia" w:eastAsiaTheme="minorEastAsia" w:hAnsiTheme="minorEastAsia"/>
                <w:kern w:val="0"/>
              </w:rPr>
              <w:t>1.5900</w:t>
            </w:r>
          </w:p>
        </w:tc>
        <w:tc>
          <w:tcPr>
            <w:tcW w:w="1701" w:type="dxa"/>
          </w:tcPr>
          <w:p w14:paraId="2DC7ED7B" w14:textId="77777777" w:rsidR="00165C9E" w:rsidRDefault="00000000">
            <w:pPr>
              <w:spacing w:line="360" w:lineRule="exact"/>
              <w:rPr>
                <w:rFonts w:asciiTheme="minorEastAsia" w:eastAsiaTheme="minorEastAsia" w:hAnsiTheme="minorEastAsia"/>
                <w:kern w:val="0"/>
              </w:rPr>
            </w:pPr>
            <w:r>
              <w:rPr>
                <w:rFonts w:asciiTheme="minorEastAsia" w:eastAsiaTheme="minorEastAsia" w:hAnsiTheme="minorEastAsia"/>
                <w:kern w:val="0"/>
              </w:rPr>
              <w:t>9.7034</w:t>
            </w:r>
          </w:p>
        </w:tc>
        <w:tc>
          <w:tcPr>
            <w:tcW w:w="2035" w:type="dxa"/>
          </w:tcPr>
          <w:p w14:paraId="69EE60FF" w14:textId="77777777" w:rsidR="00165C9E" w:rsidRDefault="00000000">
            <w:pPr>
              <w:spacing w:line="360" w:lineRule="exact"/>
              <w:rPr>
                <w:rFonts w:asciiTheme="minorEastAsia" w:eastAsiaTheme="minorEastAsia" w:hAnsiTheme="minorEastAsia"/>
                <w:kern w:val="0"/>
              </w:rPr>
            </w:pPr>
            <w:r>
              <w:rPr>
                <w:rFonts w:asciiTheme="minorEastAsia" w:eastAsiaTheme="minorEastAsia" w:hAnsiTheme="minorEastAsia"/>
                <w:kern w:val="0"/>
              </w:rPr>
              <w:t>16.63</w:t>
            </w:r>
          </w:p>
        </w:tc>
      </w:tr>
      <w:tr w:rsidR="00165C9E" w14:paraId="4628CCF0" w14:textId="77777777">
        <w:tc>
          <w:tcPr>
            <w:tcW w:w="1526" w:type="dxa"/>
          </w:tcPr>
          <w:p w14:paraId="5D0C27D9" w14:textId="77777777" w:rsidR="00165C9E" w:rsidRDefault="00000000">
            <w:pPr>
              <w:spacing w:line="360" w:lineRule="exact"/>
              <w:rPr>
                <w:rFonts w:asciiTheme="minorEastAsia" w:eastAsiaTheme="minorEastAsia" w:hAnsiTheme="minorEastAsia"/>
                <w:kern w:val="0"/>
              </w:rPr>
            </w:pPr>
            <w:r>
              <w:rPr>
                <w:rFonts w:asciiTheme="minorEastAsia" w:eastAsiaTheme="minorEastAsia" w:hAnsiTheme="minorEastAsia"/>
                <w:kern w:val="0"/>
              </w:rPr>
              <w:t>001979</w:t>
            </w:r>
          </w:p>
        </w:tc>
        <w:tc>
          <w:tcPr>
            <w:tcW w:w="1559" w:type="dxa"/>
          </w:tcPr>
          <w:p w14:paraId="3661A1CD" w14:textId="77777777" w:rsidR="00165C9E" w:rsidRDefault="00000000">
            <w:pPr>
              <w:spacing w:line="360" w:lineRule="exact"/>
              <w:rPr>
                <w:rFonts w:asciiTheme="minorEastAsia" w:eastAsiaTheme="minorEastAsia" w:hAnsiTheme="minorEastAsia"/>
                <w:kern w:val="0"/>
              </w:rPr>
            </w:pPr>
            <w:r>
              <w:rPr>
                <w:rFonts w:asciiTheme="minorEastAsia" w:eastAsiaTheme="minorEastAsia" w:hAnsiTheme="minorEastAsia" w:cs="宋体" w:hint="eastAsia"/>
                <w:kern w:val="0"/>
              </w:rPr>
              <w:t>招商地产</w:t>
            </w:r>
          </w:p>
        </w:tc>
        <w:tc>
          <w:tcPr>
            <w:tcW w:w="1701" w:type="dxa"/>
          </w:tcPr>
          <w:p w14:paraId="5A88F383" w14:textId="77777777" w:rsidR="00165C9E" w:rsidRDefault="00000000">
            <w:pPr>
              <w:spacing w:line="360" w:lineRule="exact"/>
              <w:rPr>
                <w:rFonts w:asciiTheme="minorEastAsia" w:eastAsiaTheme="minorEastAsia" w:hAnsiTheme="minorEastAsia"/>
                <w:kern w:val="0"/>
              </w:rPr>
            </w:pPr>
            <w:r>
              <w:rPr>
                <w:rFonts w:asciiTheme="minorEastAsia" w:eastAsiaTheme="minorEastAsia" w:hAnsiTheme="minorEastAsia"/>
                <w:kern w:val="0"/>
              </w:rPr>
              <w:t>1.8900</w:t>
            </w:r>
          </w:p>
        </w:tc>
        <w:tc>
          <w:tcPr>
            <w:tcW w:w="1701" w:type="dxa"/>
          </w:tcPr>
          <w:p w14:paraId="52F2D1B7" w14:textId="77777777" w:rsidR="00165C9E" w:rsidRDefault="00000000">
            <w:pPr>
              <w:spacing w:line="360" w:lineRule="exact"/>
              <w:rPr>
                <w:rFonts w:asciiTheme="minorEastAsia" w:eastAsiaTheme="minorEastAsia" w:hAnsiTheme="minorEastAsia"/>
                <w:kern w:val="0"/>
              </w:rPr>
            </w:pPr>
            <w:r>
              <w:rPr>
                <w:rFonts w:asciiTheme="minorEastAsia" w:eastAsiaTheme="minorEastAsia" w:hAnsiTheme="minorEastAsia"/>
                <w:kern w:val="0"/>
              </w:rPr>
              <w:t>8.7181</w:t>
            </w:r>
          </w:p>
        </w:tc>
        <w:tc>
          <w:tcPr>
            <w:tcW w:w="2035" w:type="dxa"/>
          </w:tcPr>
          <w:p w14:paraId="48642D40" w14:textId="77777777" w:rsidR="00165C9E" w:rsidRDefault="00000000">
            <w:pPr>
              <w:spacing w:line="360" w:lineRule="exact"/>
              <w:rPr>
                <w:rFonts w:asciiTheme="minorEastAsia" w:eastAsiaTheme="minorEastAsia" w:hAnsiTheme="minorEastAsia"/>
                <w:kern w:val="0"/>
              </w:rPr>
            </w:pPr>
            <w:r>
              <w:rPr>
                <w:rFonts w:asciiTheme="minorEastAsia" w:eastAsiaTheme="minorEastAsia" w:hAnsiTheme="minorEastAsia"/>
                <w:kern w:val="0"/>
              </w:rPr>
              <w:t>22.22</w:t>
            </w:r>
          </w:p>
        </w:tc>
      </w:tr>
      <w:tr w:rsidR="00165C9E" w14:paraId="4108FA5C" w14:textId="77777777">
        <w:tc>
          <w:tcPr>
            <w:tcW w:w="1526" w:type="dxa"/>
          </w:tcPr>
          <w:p w14:paraId="264AE11D" w14:textId="77777777" w:rsidR="00165C9E" w:rsidRDefault="00000000">
            <w:pPr>
              <w:spacing w:line="360" w:lineRule="exact"/>
              <w:rPr>
                <w:rFonts w:asciiTheme="minorEastAsia" w:eastAsiaTheme="minorEastAsia" w:hAnsiTheme="minorEastAsia"/>
                <w:kern w:val="0"/>
              </w:rPr>
            </w:pPr>
            <w:r>
              <w:rPr>
                <w:rFonts w:asciiTheme="minorEastAsia" w:eastAsiaTheme="minorEastAsia" w:hAnsiTheme="minorEastAsia"/>
                <w:kern w:val="0"/>
              </w:rPr>
              <w:t>601155</w:t>
            </w:r>
          </w:p>
        </w:tc>
        <w:tc>
          <w:tcPr>
            <w:tcW w:w="1559" w:type="dxa"/>
          </w:tcPr>
          <w:p w14:paraId="21AAEBC8" w14:textId="77777777" w:rsidR="00165C9E" w:rsidRDefault="00000000">
            <w:pPr>
              <w:spacing w:line="360" w:lineRule="exact"/>
              <w:rPr>
                <w:rFonts w:asciiTheme="minorEastAsia" w:eastAsiaTheme="minorEastAsia" w:hAnsiTheme="minorEastAsia"/>
                <w:kern w:val="0"/>
              </w:rPr>
            </w:pPr>
            <w:r>
              <w:rPr>
                <w:rFonts w:asciiTheme="minorEastAsia" w:eastAsiaTheme="minorEastAsia" w:hAnsiTheme="minorEastAsia" w:cs="宋体" w:hint="eastAsia"/>
                <w:kern w:val="0"/>
              </w:rPr>
              <w:t>新城控股</w:t>
            </w:r>
          </w:p>
        </w:tc>
        <w:tc>
          <w:tcPr>
            <w:tcW w:w="1701" w:type="dxa"/>
          </w:tcPr>
          <w:p w14:paraId="35240DC1" w14:textId="77777777" w:rsidR="00165C9E" w:rsidRDefault="00000000">
            <w:pPr>
              <w:spacing w:line="360" w:lineRule="exact"/>
              <w:rPr>
                <w:rFonts w:asciiTheme="minorEastAsia" w:eastAsiaTheme="minorEastAsia" w:hAnsiTheme="minorEastAsia"/>
                <w:kern w:val="0"/>
              </w:rPr>
            </w:pPr>
            <w:r>
              <w:rPr>
                <w:rFonts w:asciiTheme="minorEastAsia" w:eastAsiaTheme="minorEastAsia" w:hAnsiTheme="minorEastAsia"/>
                <w:kern w:val="0"/>
              </w:rPr>
              <w:t>4.6900</w:t>
            </w:r>
          </w:p>
        </w:tc>
        <w:tc>
          <w:tcPr>
            <w:tcW w:w="1701" w:type="dxa"/>
          </w:tcPr>
          <w:p w14:paraId="4330847F" w14:textId="77777777" w:rsidR="00165C9E" w:rsidRDefault="00000000">
            <w:pPr>
              <w:spacing w:line="360" w:lineRule="exact"/>
              <w:rPr>
                <w:rFonts w:asciiTheme="minorEastAsia" w:eastAsiaTheme="minorEastAsia" w:hAnsiTheme="minorEastAsia"/>
                <w:kern w:val="0"/>
              </w:rPr>
            </w:pPr>
            <w:r>
              <w:rPr>
                <w:rFonts w:asciiTheme="minorEastAsia" w:eastAsiaTheme="minorEastAsia" w:hAnsiTheme="minorEastAsia"/>
                <w:kern w:val="0"/>
              </w:rPr>
              <w:t>13.0691</w:t>
            </w:r>
          </w:p>
        </w:tc>
        <w:tc>
          <w:tcPr>
            <w:tcW w:w="2035" w:type="dxa"/>
          </w:tcPr>
          <w:p w14:paraId="3757DEBE" w14:textId="77777777" w:rsidR="00165C9E" w:rsidRDefault="00000000">
            <w:pPr>
              <w:spacing w:line="360" w:lineRule="exact"/>
              <w:rPr>
                <w:rFonts w:asciiTheme="minorEastAsia" w:eastAsiaTheme="minorEastAsia" w:hAnsiTheme="minorEastAsia"/>
                <w:kern w:val="0"/>
              </w:rPr>
            </w:pPr>
            <w:r>
              <w:rPr>
                <w:rFonts w:asciiTheme="minorEastAsia" w:eastAsiaTheme="minorEastAsia" w:hAnsiTheme="minorEastAsia"/>
                <w:kern w:val="0"/>
              </w:rPr>
              <w:t>41.91</w:t>
            </w:r>
          </w:p>
        </w:tc>
      </w:tr>
      <w:tr w:rsidR="00165C9E" w14:paraId="5456E8EA" w14:textId="77777777">
        <w:tc>
          <w:tcPr>
            <w:tcW w:w="1526" w:type="dxa"/>
          </w:tcPr>
          <w:p w14:paraId="10798560" w14:textId="77777777" w:rsidR="00165C9E" w:rsidRDefault="00000000">
            <w:pPr>
              <w:spacing w:line="360" w:lineRule="exact"/>
              <w:rPr>
                <w:rFonts w:asciiTheme="minorEastAsia" w:eastAsiaTheme="minorEastAsia" w:hAnsiTheme="minorEastAsia"/>
                <w:kern w:val="0"/>
              </w:rPr>
            </w:pPr>
            <w:r>
              <w:rPr>
                <w:rFonts w:asciiTheme="minorEastAsia" w:eastAsiaTheme="minorEastAsia" w:hAnsiTheme="minorEastAsia"/>
                <w:kern w:val="0"/>
              </w:rPr>
              <w:t>600340</w:t>
            </w:r>
          </w:p>
        </w:tc>
        <w:tc>
          <w:tcPr>
            <w:tcW w:w="1559" w:type="dxa"/>
          </w:tcPr>
          <w:p w14:paraId="20FE6135" w14:textId="77777777" w:rsidR="00165C9E" w:rsidRDefault="00000000">
            <w:pPr>
              <w:spacing w:line="360" w:lineRule="exact"/>
              <w:rPr>
                <w:rFonts w:asciiTheme="minorEastAsia" w:eastAsiaTheme="minorEastAsia" w:hAnsiTheme="minorEastAsia"/>
                <w:kern w:val="0"/>
              </w:rPr>
            </w:pPr>
            <w:r>
              <w:rPr>
                <w:rFonts w:asciiTheme="minorEastAsia" w:eastAsiaTheme="minorEastAsia" w:hAnsiTheme="minorEastAsia" w:cs="宋体" w:hint="eastAsia"/>
                <w:kern w:val="0"/>
              </w:rPr>
              <w:t>华夏幸福</w:t>
            </w:r>
          </w:p>
        </w:tc>
        <w:tc>
          <w:tcPr>
            <w:tcW w:w="1701" w:type="dxa"/>
          </w:tcPr>
          <w:p w14:paraId="59E403F8" w14:textId="77777777" w:rsidR="00165C9E" w:rsidRDefault="00000000">
            <w:pPr>
              <w:spacing w:line="360" w:lineRule="exact"/>
              <w:rPr>
                <w:rFonts w:asciiTheme="minorEastAsia" w:eastAsiaTheme="minorEastAsia" w:hAnsiTheme="minorEastAsia"/>
                <w:kern w:val="0"/>
              </w:rPr>
            </w:pPr>
            <w:r>
              <w:rPr>
                <w:rFonts w:asciiTheme="minorEastAsia" w:eastAsiaTheme="minorEastAsia" w:hAnsiTheme="minorEastAsia"/>
                <w:kern w:val="0"/>
              </w:rPr>
              <w:t>3.7900</w:t>
            </w:r>
          </w:p>
        </w:tc>
        <w:tc>
          <w:tcPr>
            <w:tcW w:w="1701" w:type="dxa"/>
          </w:tcPr>
          <w:p w14:paraId="1B793982" w14:textId="77777777" w:rsidR="00165C9E" w:rsidRDefault="00000000">
            <w:pPr>
              <w:spacing w:line="360" w:lineRule="exact"/>
              <w:rPr>
                <w:rFonts w:asciiTheme="minorEastAsia" w:eastAsiaTheme="minorEastAsia" w:hAnsiTheme="minorEastAsia"/>
                <w:kern w:val="0"/>
              </w:rPr>
            </w:pPr>
            <w:r>
              <w:rPr>
                <w:rFonts w:asciiTheme="minorEastAsia" w:eastAsiaTheme="minorEastAsia" w:hAnsiTheme="minorEastAsia"/>
                <w:kern w:val="0"/>
              </w:rPr>
              <w:t>11.2796</w:t>
            </w:r>
          </w:p>
        </w:tc>
        <w:tc>
          <w:tcPr>
            <w:tcW w:w="2035" w:type="dxa"/>
          </w:tcPr>
          <w:p w14:paraId="149FDFBC" w14:textId="77777777" w:rsidR="00165C9E" w:rsidRDefault="00000000">
            <w:pPr>
              <w:spacing w:line="360" w:lineRule="exact"/>
              <w:rPr>
                <w:rFonts w:asciiTheme="minorEastAsia" w:eastAsiaTheme="minorEastAsia" w:hAnsiTheme="minorEastAsia"/>
                <w:kern w:val="0"/>
              </w:rPr>
            </w:pPr>
            <w:r>
              <w:rPr>
                <w:rFonts w:asciiTheme="minorEastAsia" w:eastAsiaTheme="minorEastAsia" w:hAnsiTheme="minorEastAsia"/>
                <w:kern w:val="0"/>
              </w:rPr>
              <w:t>35.19</w:t>
            </w:r>
          </w:p>
        </w:tc>
      </w:tr>
    </w:tbl>
    <w:p w14:paraId="25324D00" w14:textId="77777777" w:rsidR="00165C9E" w:rsidRDefault="00000000">
      <w:pPr>
        <w:ind w:firstLine="420"/>
        <w:rPr>
          <w:rFonts w:ascii="黑体" w:eastAsia="黑体" w:hAnsi="黑体" w:cs="宋体"/>
        </w:rPr>
      </w:pPr>
      <w:r>
        <w:rPr>
          <w:rFonts w:ascii="黑体" w:eastAsia="黑体" w:hAnsi="黑体" w:cs="宋体" w:hint="eastAsia"/>
        </w:rPr>
        <w:t>数据来源：东方财富</w:t>
      </w:r>
      <w:r>
        <w:rPr>
          <w:rStyle w:val="af6"/>
          <w:rFonts w:ascii="黑体" w:eastAsia="黑体" w:hAnsi="黑体" w:cs="宋体"/>
        </w:rPr>
        <w:footnoteReference w:id="9"/>
      </w:r>
    </w:p>
    <w:p w14:paraId="15C0B35F" w14:textId="77777777" w:rsidR="00165C9E" w:rsidRDefault="00000000">
      <w:pPr>
        <w:ind w:firstLine="420"/>
        <w:rPr>
          <w:rFonts w:cs="宋体"/>
          <w:sz w:val="24"/>
          <w:szCs w:val="24"/>
        </w:rPr>
      </w:pPr>
      <w:r>
        <w:rPr>
          <w:rFonts w:cs="宋体" w:hint="eastAsia"/>
          <w:sz w:val="24"/>
          <w:szCs w:val="24"/>
        </w:rPr>
        <w:t>表</w:t>
      </w:r>
      <w:r>
        <w:rPr>
          <w:rFonts w:cs="宋体"/>
          <w:sz w:val="24"/>
          <w:szCs w:val="24"/>
        </w:rPr>
        <w:t>6-3</w:t>
      </w:r>
      <w:r>
        <w:rPr>
          <w:rFonts w:cs="宋体" w:hint="eastAsia"/>
          <w:sz w:val="24"/>
          <w:szCs w:val="24"/>
        </w:rPr>
        <w:t>盈利趋势</w:t>
      </w:r>
    </w:p>
    <w:tbl>
      <w:tblPr>
        <w:tblW w:w="0" w:type="auto"/>
        <w:tblInd w:w="2" w:type="dxa"/>
        <w:tblBorders>
          <w:top w:val="single" w:sz="12" w:space="0" w:color="auto"/>
          <w:bottom w:val="single" w:sz="12" w:space="0" w:color="auto"/>
          <w:insideH w:val="single" w:sz="4" w:space="0" w:color="auto"/>
        </w:tblBorders>
        <w:tblLook w:val="04A0" w:firstRow="1" w:lastRow="0" w:firstColumn="1" w:lastColumn="0" w:noHBand="0" w:noVBand="1"/>
      </w:tblPr>
      <w:tblGrid>
        <w:gridCol w:w="1703"/>
        <w:gridCol w:w="1703"/>
        <w:gridCol w:w="1704"/>
        <w:gridCol w:w="1705"/>
        <w:gridCol w:w="1705"/>
      </w:tblGrid>
      <w:tr w:rsidR="00165C9E" w14:paraId="669E0E5E" w14:textId="77777777">
        <w:tc>
          <w:tcPr>
            <w:tcW w:w="1703" w:type="dxa"/>
          </w:tcPr>
          <w:p w14:paraId="1CAE0A19" w14:textId="77777777" w:rsidR="00165C9E" w:rsidRDefault="00000000">
            <w:pPr>
              <w:spacing w:line="360" w:lineRule="exact"/>
              <w:rPr>
                <w:rFonts w:asciiTheme="minorEastAsia" w:eastAsiaTheme="minorEastAsia" w:hAnsiTheme="minorEastAsia"/>
                <w:kern w:val="0"/>
              </w:rPr>
            </w:pPr>
            <w:r>
              <w:rPr>
                <w:rFonts w:asciiTheme="minorEastAsia" w:eastAsiaTheme="minorEastAsia" w:hAnsiTheme="minorEastAsia" w:cs="宋体" w:hint="eastAsia"/>
                <w:kern w:val="0"/>
              </w:rPr>
              <w:t>年份</w:t>
            </w:r>
          </w:p>
        </w:tc>
        <w:tc>
          <w:tcPr>
            <w:tcW w:w="1703" w:type="dxa"/>
          </w:tcPr>
          <w:p w14:paraId="5BC6189A" w14:textId="77777777" w:rsidR="00165C9E" w:rsidRDefault="00000000">
            <w:pPr>
              <w:spacing w:line="360" w:lineRule="exact"/>
              <w:rPr>
                <w:rFonts w:asciiTheme="minorEastAsia" w:eastAsiaTheme="minorEastAsia" w:hAnsiTheme="minorEastAsia"/>
                <w:kern w:val="0"/>
              </w:rPr>
            </w:pPr>
            <w:r>
              <w:rPr>
                <w:rFonts w:asciiTheme="minorEastAsia" w:eastAsiaTheme="minorEastAsia" w:hAnsiTheme="minorEastAsia"/>
                <w:kern w:val="0"/>
              </w:rPr>
              <w:t>2015</w:t>
            </w:r>
            <w:r>
              <w:rPr>
                <w:rFonts w:asciiTheme="minorEastAsia" w:eastAsiaTheme="minorEastAsia" w:hAnsiTheme="minorEastAsia" w:cs="宋体" w:hint="eastAsia"/>
                <w:kern w:val="0"/>
              </w:rPr>
              <w:t>年</w:t>
            </w:r>
          </w:p>
        </w:tc>
        <w:tc>
          <w:tcPr>
            <w:tcW w:w="1704" w:type="dxa"/>
          </w:tcPr>
          <w:p w14:paraId="59AABCA3" w14:textId="77777777" w:rsidR="00165C9E" w:rsidRDefault="00000000">
            <w:pPr>
              <w:spacing w:line="360" w:lineRule="exact"/>
              <w:rPr>
                <w:rFonts w:asciiTheme="minorEastAsia" w:eastAsiaTheme="minorEastAsia" w:hAnsiTheme="minorEastAsia"/>
                <w:kern w:val="0"/>
              </w:rPr>
            </w:pPr>
            <w:r>
              <w:rPr>
                <w:rFonts w:asciiTheme="minorEastAsia" w:eastAsiaTheme="minorEastAsia" w:hAnsiTheme="minorEastAsia"/>
                <w:kern w:val="0"/>
              </w:rPr>
              <w:t>2016</w:t>
            </w:r>
            <w:r>
              <w:rPr>
                <w:rFonts w:asciiTheme="minorEastAsia" w:eastAsiaTheme="minorEastAsia" w:hAnsiTheme="minorEastAsia" w:cs="宋体" w:hint="eastAsia"/>
                <w:kern w:val="0"/>
              </w:rPr>
              <w:t>年</w:t>
            </w:r>
          </w:p>
        </w:tc>
        <w:tc>
          <w:tcPr>
            <w:tcW w:w="1705" w:type="dxa"/>
          </w:tcPr>
          <w:p w14:paraId="06139A40" w14:textId="77777777" w:rsidR="00165C9E" w:rsidRDefault="00000000">
            <w:pPr>
              <w:spacing w:line="360" w:lineRule="exact"/>
              <w:rPr>
                <w:rFonts w:asciiTheme="minorEastAsia" w:eastAsiaTheme="minorEastAsia" w:hAnsiTheme="minorEastAsia"/>
                <w:kern w:val="0"/>
              </w:rPr>
            </w:pPr>
            <w:r>
              <w:rPr>
                <w:rFonts w:asciiTheme="minorEastAsia" w:eastAsiaTheme="minorEastAsia" w:hAnsiTheme="minorEastAsia"/>
                <w:kern w:val="0"/>
              </w:rPr>
              <w:t>2017</w:t>
            </w:r>
            <w:r>
              <w:rPr>
                <w:rFonts w:asciiTheme="minorEastAsia" w:eastAsiaTheme="minorEastAsia" w:hAnsiTheme="minorEastAsia" w:cs="宋体" w:hint="eastAsia"/>
                <w:kern w:val="0"/>
              </w:rPr>
              <w:t>年</w:t>
            </w:r>
          </w:p>
        </w:tc>
        <w:tc>
          <w:tcPr>
            <w:tcW w:w="1705" w:type="dxa"/>
          </w:tcPr>
          <w:p w14:paraId="39114558" w14:textId="77777777" w:rsidR="00165C9E" w:rsidRDefault="00000000">
            <w:pPr>
              <w:spacing w:line="360" w:lineRule="exact"/>
              <w:rPr>
                <w:rFonts w:asciiTheme="minorEastAsia" w:eastAsiaTheme="minorEastAsia" w:hAnsiTheme="minorEastAsia"/>
                <w:kern w:val="0"/>
              </w:rPr>
            </w:pPr>
            <w:r>
              <w:rPr>
                <w:rFonts w:asciiTheme="minorEastAsia" w:eastAsiaTheme="minorEastAsia" w:hAnsiTheme="minorEastAsia"/>
                <w:kern w:val="0"/>
              </w:rPr>
              <w:t>2018</w:t>
            </w:r>
            <w:r>
              <w:rPr>
                <w:rFonts w:asciiTheme="minorEastAsia" w:eastAsiaTheme="minorEastAsia" w:hAnsiTheme="minorEastAsia" w:cs="宋体" w:hint="eastAsia"/>
                <w:kern w:val="0"/>
              </w:rPr>
              <w:t>年</w:t>
            </w:r>
          </w:p>
        </w:tc>
      </w:tr>
      <w:tr w:rsidR="00165C9E" w14:paraId="39223CD2" w14:textId="77777777">
        <w:tc>
          <w:tcPr>
            <w:tcW w:w="1703" w:type="dxa"/>
          </w:tcPr>
          <w:p w14:paraId="589A1E57" w14:textId="77777777" w:rsidR="00165C9E" w:rsidRDefault="00000000">
            <w:pPr>
              <w:spacing w:line="360" w:lineRule="exact"/>
              <w:rPr>
                <w:rFonts w:asciiTheme="minorEastAsia" w:eastAsiaTheme="minorEastAsia" w:hAnsiTheme="minorEastAsia"/>
                <w:kern w:val="0"/>
              </w:rPr>
            </w:pPr>
            <w:r>
              <w:rPr>
                <w:rFonts w:asciiTheme="minorEastAsia" w:eastAsiaTheme="minorEastAsia" w:hAnsiTheme="minorEastAsia" w:cs="宋体" w:hint="eastAsia"/>
                <w:kern w:val="0"/>
              </w:rPr>
              <w:t>每股收益（元）</w:t>
            </w:r>
          </w:p>
        </w:tc>
        <w:tc>
          <w:tcPr>
            <w:tcW w:w="1703" w:type="dxa"/>
          </w:tcPr>
          <w:p w14:paraId="2B8AC28D" w14:textId="77777777" w:rsidR="00165C9E" w:rsidRDefault="00000000">
            <w:pPr>
              <w:spacing w:line="360" w:lineRule="exact"/>
              <w:rPr>
                <w:rFonts w:asciiTheme="minorEastAsia" w:eastAsiaTheme="minorEastAsia" w:hAnsiTheme="minorEastAsia"/>
                <w:kern w:val="0"/>
              </w:rPr>
            </w:pPr>
            <w:r>
              <w:rPr>
                <w:rFonts w:asciiTheme="minorEastAsia" w:eastAsiaTheme="minorEastAsia" w:hAnsiTheme="minorEastAsia"/>
                <w:kern w:val="0"/>
              </w:rPr>
              <w:t>1.6400</w:t>
            </w:r>
          </w:p>
        </w:tc>
        <w:tc>
          <w:tcPr>
            <w:tcW w:w="1704" w:type="dxa"/>
          </w:tcPr>
          <w:p w14:paraId="055677FD" w14:textId="77777777" w:rsidR="00165C9E" w:rsidRDefault="00000000">
            <w:pPr>
              <w:spacing w:line="360" w:lineRule="exact"/>
              <w:rPr>
                <w:rFonts w:asciiTheme="minorEastAsia" w:eastAsiaTheme="minorEastAsia" w:hAnsiTheme="minorEastAsia"/>
                <w:kern w:val="0"/>
              </w:rPr>
            </w:pPr>
            <w:r>
              <w:rPr>
                <w:rFonts w:asciiTheme="minorEastAsia" w:eastAsiaTheme="minorEastAsia" w:hAnsiTheme="minorEastAsia"/>
                <w:kern w:val="0"/>
              </w:rPr>
              <w:t>1.9000</w:t>
            </w:r>
          </w:p>
        </w:tc>
        <w:tc>
          <w:tcPr>
            <w:tcW w:w="1705" w:type="dxa"/>
          </w:tcPr>
          <w:p w14:paraId="6145D370" w14:textId="77777777" w:rsidR="00165C9E" w:rsidRDefault="00000000">
            <w:pPr>
              <w:spacing w:line="360" w:lineRule="exact"/>
              <w:rPr>
                <w:rFonts w:asciiTheme="minorEastAsia" w:eastAsiaTheme="minorEastAsia" w:hAnsiTheme="minorEastAsia"/>
                <w:kern w:val="0"/>
              </w:rPr>
            </w:pPr>
            <w:r>
              <w:rPr>
                <w:rFonts w:asciiTheme="minorEastAsia" w:eastAsiaTheme="minorEastAsia" w:hAnsiTheme="minorEastAsia"/>
                <w:kern w:val="0"/>
              </w:rPr>
              <w:t>2.5400</w:t>
            </w:r>
          </w:p>
        </w:tc>
        <w:tc>
          <w:tcPr>
            <w:tcW w:w="1705" w:type="dxa"/>
          </w:tcPr>
          <w:p w14:paraId="4ECD682C" w14:textId="77777777" w:rsidR="00165C9E" w:rsidRDefault="00000000">
            <w:pPr>
              <w:spacing w:line="360" w:lineRule="exact"/>
              <w:rPr>
                <w:rFonts w:asciiTheme="minorEastAsia" w:eastAsiaTheme="minorEastAsia" w:hAnsiTheme="minorEastAsia"/>
                <w:kern w:val="0"/>
              </w:rPr>
            </w:pPr>
            <w:r>
              <w:rPr>
                <w:rFonts w:asciiTheme="minorEastAsia" w:eastAsiaTheme="minorEastAsia" w:hAnsiTheme="minorEastAsia"/>
                <w:kern w:val="0"/>
              </w:rPr>
              <w:t>3.0600</w:t>
            </w:r>
          </w:p>
        </w:tc>
      </w:tr>
      <w:tr w:rsidR="00165C9E" w14:paraId="6A95DE1F" w14:textId="77777777">
        <w:tc>
          <w:tcPr>
            <w:tcW w:w="1703" w:type="dxa"/>
          </w:tcPr>
          <w:p w14:paraId="71842026" w14:textId="77777777" w:rsidR="00165C9E" w:rsidRDefault="00000000">
            <w:pPr>
              <w:spacing w:line="360" w:lineRule="exact"/>
              <w:rPr>
                <w:rFonts w:asciiTheme="minorEastAsia" w:eastAsiaTheme="minorEastAsia" w:hAnsiTheme="minorEastAsia"/>
                <w:kern w:val="0"/>
              </w:rPr>
            </w:pPr>
            <w:r>
              <w:rPr>
                <w:rFonts w:asciiTheme="minorEastAsia" w:eastAsiaTheme="minorEastAsia" w:hAnsiTheme="minorEastAsia" w:cs="宋体" w:hint="eastAsia"/>
                <w:kern w:val="0"/>
              </w:rPr>
              <w:t>每股净资产（元）</w:t>
            </w:r>
          </w:p>
        </w:tc>
        <w:tc>
          <w:tcPr>
            <w:tcW w:w="1703" w:type="dxa"/>
          </w:tcPr>
          <w:p w14:paraId="74D2462A" w14:textId="77777777" w:rsidR="00165C9E" w:rsidRDefault="00000000">
            <w:pPr>
              <w:spacing w:line="360" w:lineRule="exact"/>
              <w:rPr>
                <w:rFonts w:asciiTheme="minorEastAsia" w:eastAsiaTheme="minorEastAsia" w:hAnsiTheme="minorEastAsia"/>
                <w:kern w:val="0"/>
              </w:rPr>
            </w:pPr>
            <w:r>
              <w:rPr>
                <w:rFonts w:asciiTheme="minorEastAsia" w:eastAsiaTheme="minorEastAsia" w:hAnsiTheme="minorEastAsia"/>
                <w:kern w:val="0"/>
              </w:rPr>
              <w:t>9.0800</w:t>
            </w:r>
          </w:p>
        </w:tc>
        <w:tc>
          <w:tcPr>
            <w:tcW w:w="1704" w:type="dxa"/>
          </w:tcPr>
          <w:p w14:paraId="41DABCE8" w14:textId="77777777" w:rsidR="00165C9E" w:rsidRDefault="00000000">
            <w:pPr>
              <w:spacing w:line="360" w:lineRule="exact"/>
              <w:rPr>
                <w:rFonts w:asciiTheme="minorEastAsia" w:eastAsiaTheme="minorEastAsia" w:hAnsiTheme="minorEastAsia"/>
                <w:kern w:val="0"/>
              </w:rPr>
            </w:pPr>
            <w:r>
              <w:rPr>
                <w:rFonts w:asciiTheme="minorEastAsia" w:eastAsiaTheme="minorEastAsia" w:hAnsiTheme="minorEastAsia"/>
                <w:kern w:val="0"/>
              </w:rPr>
              <w:t>10.2800</w:t>
            </w:r>
          </w:p>
        </w:tc>
        <w:tc>
          <w:tcPr>
            <w:tcW w:w="1705" w:type="dxa"/>
          </w:tcPr>
          <w:p w14:paraId="7F8DEFA9" w14:textId="77777777" w:rsidR="00165C9E" w:rsidRDefault="00000000">
            <w:pPr>
              <w:spacing w:line="360" w:lineRule="exact"/>
              <w:rPr>
                <w:rFonts w:asciiTheme="minorEastAsia" w:eastAsiaTheme="minorEastAsia" w:hAnsiTheme="minorEastAsia"/>
                <w:kern w:val="0"/>
              </w:rPr>
            </w:pPr>
            <w:r>
              <w:rPr>
                <w:rFonts w:asciiTheme="minorEastAsia" w:eastAsiaTheme="minorEastAsia" w:hAnsiTheme="minorEastAsia"/>
                <w:kern w:val="0"/>
              </w:rPr>
              <w:t>12.0200</w:t>
            </w:r>
          </w:p>
        </w:tc>
        <w:tc>
          <w:tcPr>
            <w:tcW w:w="1705" w:type="dxa"/>
          </w:tcPr>
          <w:p w14:paraId="03302F5E" w14:textId="77777777" w:rsidR="00165C9E" w:rsidRDefault="00000000">
            <w:pPr>
              <w:spacing w:line="360" w:lineRule="exact"/>
              <w:rPr>
                <w:rFonts w:asciiTheme="minorEastAsia" w:eastAsiaTheme="minorEastAsia" w:hAnsiTheme="minorEastAsia"/>
                <w:kern w:val="0"/>
              </w:rPr>
            </w:pPr>
            <w:r>
              <w:rPr>
                <w:rFonts w:asciiTheme="minorEastAsia" w:eastAsiaTheme="minorEastAsia" w:hAnsiTheme="minorEastAsia"/>
                <w:kern w:val="0"/>
              </w:rPr>
              <w:t>14.11</w:t>
            </w:r>
          </w:p>
        </w:tc>
      </w:tr>
    </w:tbl>
    <w:p w14:paraId="12773537" w14:textId="77777777" w:rsidR="00165C9E" w:rsidRDefault="00000000">
      <w:pPr>
        <w:spacing w:line="400" w:lineRule="exact"/>
        <w:ind w:firstLineChars="200" w:firstLine="420"/>
        <w:jc w:val="left"/>
        <w:rPr>
          <w:rFonts w:ascii="黑体" w:eastAsia="黑体" w:hAnsi="黑体" w:cs="宋体"/>
        </w:rPr>
      </w:pPr>
      <w:r>
        <w:rPr>
          <w:rFonts w:ascii="黑体" w:eastAsia="黑体" w:hAnsi="黑体" w:cs="宋体" w:hint="eastAsia"/>
        </w:rPr>
        <w:t>数据来源：东方财富万科A（</w:t>
      </w:r>
      <w:hyperlink r:id="rId22" w:history="1">
        <w:r>
          <w:rPr>
            <w:rStyle w:val="af4"/>
            <w:rFonts w:ascii="黑体" w:eastAsia="黑体" w:hAnsi="黑体" w:cs="宋体"/>
          </w:rPr>
          <w:t>http://f10.eastmoney.com/f10_v2/FinanceAnalysis.aspx?code=sz000002</w:t>
        </w:r>
      </w:hyperlink>
      <w:r>
        <w:rPr>
          <w:rFonts w:ascii="黑体" w:eastAsia="黑体" w:hAnsi="黑体" w:cs="宋体"/>
        </w:rPr>
        <w:t>）</w:t>
      </w:r>
    </w:p>
    <w:p w14:paraId="02414352" w14:textId="77777777" w:rsidR="00165C9E" w:rsidRDefault="00000000">
      <w:pPr>
        <w:ind w:firstLine="420"/>
        <w:rPr>
          <w:rFonts w:cs="宋体"/>
          <w:sz w:val="24"/>
          <w:szCs w:val="24"/>
        </w:rPr>
      </w:pPr>
      <w:r>
        <w:rPr>
          <w:rFonts w:cs="宋体" w:hint="eastAsia"/>
          <w:sz w:val="24"/>
          <w:szCs w:val="24"/>
        </w:rPr>
        <w:t>上面表格依据房地产类上市公司规模最近几年排名靠前选取的，我们可以看出，万科公司的整体每股收益、每股净资产、净资产收益这三个盈利指标相对于其他上市公司能力较好，在同水平的竞争对手种有一定的竞争能力，同时从表</w:t>
      </w:r>
      <w:r>
        <w:rPr>
          <w:rFonts w:cs="宋体"/>
          <w:sz w:val="24"/>
          <w:szCs w:val="24"/>
        </w:rPr>
        <w:t>6-1</w:t>
      </w:r>
      <w:r>
        <w:rPr>
          <w:rFonts w:cs="宋体" w:hint="eastAsia"/>
          <w:sz w:val="24"/>
          <w:szCs w:val="24"/>
        </w:rPr>
        <w:t>和表</w:t>
      </w:r>
      <w:r>
        <w:rPr>
          <w:rFonts w:cs="宋体" w:hint="eastAsia"/>
          <w:sz w:val="24"/>
          <w:szCs w:val="24"/>
        </w:rPr>
        <w:t>6-3</w:t>
      </w:r>
      <w:r>
        <w:rPr>
          <w:rFonts w:cs="宋体" w:hint="eastAsia"/>
          <w:sz w:val="24"/>
          <w:szCs w:val="24"/>
        </w:rPr>
        <w:t>中看到万科盈利能力逐渐增强，说明该公司发展前景好。当万科企业盈利能力保持比较长久的时候，该企业股票价格通常比较高。在这种比较持久状态下，投资者认为会导致股票收益率下降。因此，当逐渐提高万科盈利指标时候，该公司的股权融资成本也会逐渐低。</w:t>
      </w:r>
    </w:p>
    <w:p w14:paraId="1CC04714" w14:textId="77777777" w:rsidR="00165C9E" w:rsidRDefault="00165C9E">
      <w:pPr>
        <w:ind w:firstLine="420"/>
      </w:pPr>
    </w:p>
    <w:p w14:paraId="17739D24" w14:textId="77777777" w:rsidR="00165C9E" w:rsidRDefault="00000000">
      <w:pPr>
        <w:pStyle w:val="Heading10"/>
        <w:spacing w:afterLines="50" w:after="156"/>
        <w:ind w:firstLineChars="200" w:firstLine="612"/>
        <w:jc w:val="left"/>
        <w:rPr>
          <w:rFonts w:ascii="黑体" w:eastAsia="黑体" w:hAnsi="黑体" w:cs="黑体"/>
          <w:sz w:val="30"/>
          <w:szCs w:val="30"/>
        </w:rPr>
      </w:pPr>
      <w:bookmarkStart w:id="36" w:name="_Toc33871932"/>
      <w:bookmarkStart w:id="37" w:name="_Toc5585"/>
      <w:r>
        <w:rPr>
          <w:rFonts w:ascii="黑体" w:eastAsia="黑体" w:hAnsi="黑体" w:cs="黑体" w:hint="eastAsia"/>
          <w:sz w:val="30"/>
          <w:szCs w:val="30"/>
        </w:rPr>
        <w:t>七、万科企业股份有限公司融资成本分析对房地产类上市公司的借鉴意义</w:t>
      </w:r>
      <w:bookmarkEnd w:id="36"/>
      <w:bookmarkEnd w:id="37"/>
    </w:p>
    <w:p w14:paraId="49603483" w14:textId="77777777" w:rsidR="00165C9E" w:rsidRDefault="00000000">
      <w:pPr>
        <w:ind w:firstLine="420"/>
        <w:rPr>
          <w:rFonts w:ascii="黑体" w:eastAsia="黑体" w:hAnsi="黑体" w:cs="黑体"/>
          <w:kern w:val="0"/>
          <w:sz w:val="28"/>
          <w:szCs w:val="28"/>
        </w:rPr>
      </w:pPr>
      <w:bookmarkStart w:id="38" w:name="_Toc33871933"/>
      <w:r>
        <w:rPr>
          <w:rFonts w:ascii="黑体" w:eastAsia="黑体" w:hAnsi="黑体" w:cs="黑体" w:hint="eastAsia"/>
          <w:kern w:val="0"/>
          <w:sz w:val="28"/>
          <w:szCs w:val="28"/>
        </w:rPr>
        <w:t>（一）我国房地产类企业的融资现状</w:t>
      </w:r>
      <w:bookmarkEnd w:id="38"/>
    </w:p>
    <w:p w14:paraId="0ACB558B" w14:textId="77777777" w:rsidR="00165C9E" w:rsidRDefault="00000000">
      <w:pPr>
        <w:ind w:firstLine="420"/>
        <w:rPr>
          <w:rFonts w:cs="宋体"/>
          <w:sz w:val="24"/>
          <w:szCs w:val="24"/>
        </w:rPr>
      </w:pPr>
      <w:r>
        <w:rPr>
          <w:rFonts w:cs="宋体" w:hint="eastAsia"/>
          <w:sz w:val="24"/>
          <w:szCs w:val="24"/>
        </w:rPr>
        <w:lastRenderedPageBreak/>
        <w:t>在多元融资方式当中，自筹资金和银行贷款占比例仍然很大。如下面表的数据，本文中到位资金分为国内贷款、利用外资、自筹资金和其他资金</w:t>
      </w:r>
    </w:p>
    <w:p w14:paraId="359D61B4" w14:textId="77777777" w:rsidR="00165C9E" w:rsidRDefault="00165C9E">
      <w:pPr>
        <w:ind w:firstLine="420"/>
        <w:rPr>
          <w:rFonts w:cs="宋体"/>
          <w:sz w:val="24"/>
          <w:szCs w:val="24"/>
        </w:rPr>
      </w:pPr>
    </w:p>
    <w:p w14:paraId="71BA16AC" w14:textId="77777777" w:rsidR="00165C9E" w:rsidRDefault="00165C9E">
      <w:pPr>
        <w:ind w:firstLine="420"/>
        <w:rPr>
          <w:rFonts w:cs="宋体"/>
          <w:sz w:val="24"/>
          <w:szCs w:val="24"/>
        </w:rPr>
      </w:pPr>
    </w:p>
    <w:p w14:paraId="0B04ADFD" w14:textId="77777777" w:rsidR="00165C9E" w:rsidRDefault="00165C9E">
      <w:pPr>
        <w:ind w:firstLine="420"/>
        <w:rPr>
          <w:rFonts w:cs="宋体"/>
          <w:sz w:val="24"/>
          <w:szCs w:val="24"/>
        </w:rPr>
      </w:pPr>
    </w:p>
    <w:p w14:paraId="4D936CCB" w14:textId="77777777" w:rsidR="00165C9E" w:rsidRDefault="00165C9E">
      <w:pPr>
        <w:ind w:firstLine="420"/>
        <w:rPr>
          <w:rFonts w:cs="宋体"/>
          <w:sz w:val="24"/>
          <w:szCs w:val="24"/>
        </w:rPr>
      </w:pPr>
    </w:p>
    <w:p w14:paraId="2BC19631" w14:textId="77777777" w:rsidR="00165C9E" w:rsidRDefault="00000000">
      <w:pPr>
        <w:ind w:firstLine="420"/>
        <w:jc w:val="center"/>
        <w:rPr>
          <w:rFonts w:cs="宋体"/>
          <w:sz w:val="24"/>
          <w:szCs w:val="24"/>
        </w:rPr>
      </w:pPr>
      <w:r>
        <w:rPr>
          <w:rFonts w:cs="宋体"/>
          <w:sz w:val="24"/>
          <w:szCs w:val="24"/>
        </w:rPr>
        <w:t>表</w:t>
      </w:r>
      <w:r>
        <w:rPr>
          <w:rFonts w:cs="宋体"/>
          <w:sz w:val="24"/>
          <w:szCs w:val="24"/>
        </w:rPr>
        <w:t>6-4</w:t>
      </w:r>
      <w:r>
        <w:rPr>
          <w:rFonts w:cs="宋体" w:hint="eastAsia"/>
          <w:sz w:val="24"/>
          <w:szCs w:val="24"/>
        </w:rPr>
        <w:t>中国</w:t>
      </w:r>
      <w:r>
        <w:rPr>
          <w:rFonts w:cs="宋体"/>
          <w:sz w:val="24"/>
          <w:szCs w:val="24"/>
        </w:rPr>
        <w:t>房地产主要</w:t>
      </w:r>
      <w:r>
        <w:rPr>
          <w:rFonts w:cs="宋体" w:hint="eastAsia"/>
          <w:sz w:val="24"/>
          <w:szCs w:val="24"/>
        </w:rPr>
        <w:t>资金来源</w:t>
      </w:r>
      <w:r>
        <w:rPr>
          <w:rFonts w:cs="宋体" w:hint="eastAsia"/>
          <w:sz w:val="24"/>
          <w:szCs w:val="24"/>
        </w:rPr>
        <w:t>2013-2</w:t>
      </w:r>
      <w:r>
        <w:rPr>
          <w:rFonts w:cs="宋体"/>
          <w:sz w:val="24"/>
          <w:szCs w:val="24"/>
        </w:rPr>
        <w:t>0</w:t>
      </w:r>
      <w:r>
        <w:rPr>
          <w:rFonts w:cs="宋体" w:hint="eastAsia"/>
          <w:sz w:val="24"/>
          <w:szCs w:val="24"/>
        </w:rPr>
        <w:t>18</w:t>
      </w:r>
      <w:r>
        <w:rPr>
          <w:rFonts w:cs="宋体" w:hint="eastAsia"/>
          <w:sz w:val="24"/>
          <w:szCs w:val="24"/>
        </w:rPr>
        <w:t>年单位：亿元</w:t>
      </w:r>
    </w:p>
    <w:tbl>
      <w:tblPr>
        <w:tblStyle w:val="af2"/>
        <w:tblW w:w="9752" w:type="dxa"/>
        <w:tblBorders>
          <w:top w:val="single" w:sz="12" w:space="0" w:color="auto"/>
          <w:left w:val="none" w:sz="0" w:space="0" w:color="auto"/>
          <w:bottom w:val="single" w:sz="12" w:space="0" w:color="auto"/>
          <w:right w:val="none" w:sz="0" w:space="0" w:color="auto"/>
          <w:insideV w:val="none" w:sz="0" w:space="0" w:color="auto"/>
        </w:tblBorders>
        <w:tblLook w:val="04A0" w:firstRow="1" w:lastRow="0" w:firstColumn="1" w:lastColumn="0" w:noHBand="0" w:noVBand="1"/>
      </w:tblPr>
      <w:tblGrid>
        <w:gridCol w:w="1928"/>
        <w:gridCol w:w="1304"/>
        <w:gridCol w:w="1304"/>
        <w:gridCol w:w="1304"/>
        <w:gridCol w:w="1304"/>
        <w:gridCol w:w="1304"/>
        <w:gridCol w:w="1304"/>
      </w:tblGrid>
      <w:tr w:rsidR="00165C9E" w14:paraId="1B04AE2A" w14:textId="77777777">
        <w:trPr>
          <w:trHeight w:val="570"/>
        </w:trPr>
        <w:tc>
          <w:tcPr>
            <w:tcW w:w="1928" w:type="dxa"/>
          </w:tcPr>
          <w:p w14:paraId="3CABA59A" w14:textId="77777777" w:rsidR="00165C9E" w:rsidRDefault="00000000">
            <w:pPr>
              <w:widowControl/>
              <w:spacing w:line="360" w:lineRule="exact"/>
              <w:jc w:val="left"/>
              <w:rPr>
                <w:rFonts w:ascii="宋体" w:hAnsi="宋体" w:cs="宋体"/>
                <w:color w:val="000000"/>
                <w:kern w:val="0"/>
              </w:rPr>
            </w:pPr>
            <w:r>
              <w:rPr>
                <w:rFonts w:ascii="宋体" w:hAnsi="宋体" w:cs="宋体" w:hint="eastAsia"/>
                <w:color w:val="000000"/>
                <w:kern w:val="0"/>
              </w:rPr>
              <w:t>名称</w:t>
            </w:r>
          </w:p>
        </w:tc>
        <w:tc>
          <w:tcPr>
            <w:tcW w:w="1304" w:type="dxa"/>
          </w:tcPr>
          <w:p w14:paraId="1FFCC995" w14:textId="77777777" w:rsidR="00165C9E" w:rsidRDefault="00000000">
            <w:pPr>
              <w:widowControl/>
              <w:spacing w:line="360" w:lineRule="exact"/>
              <w:ind w:firstLineChars="200" w:firstLine="420"/>
              <w:jc w:val="center"/>
              <w:rPr>
                <w:rFonts w:ascii="宋体" w:hAnsi="宋体" w:cs="宋体"/>
                <w:color w:val="000000"/>
                <w:kern w:val="0"/>
              </w:rPr>
            </w:pPr>
            <w:r>
              <w:rPr>
                <w:rFonts w:ascii="宋体" w:hAnsi="宋体" w:cs="宋体" w:hint="eastAsia"/>
                <w:color w:val="000000"/>
                <w:kern w:val="0"/>
              </w:rPr>
              <w:t>2013年</w:t>
            </w:r>
          </w:p>
        </w:tc>
        <w:tc>
          <w:tcPr>
            <w:tcW w:w="1304" w:type="dxa"/>
          </w:tcPr>
          <w:p w14:paraId="3FCE1B4A" w14:textId="77777777" w:rsidR="00165C9E" w:rsidRDefault="00000000">
            <w:pPr>
              <w:widowControl/>
              <w:spacing w:line="360" w:lineRule="exact"/>
              <w:ind w:firstLineChars="200" w:firstLine="420"/>
              <w:jc w:val="center"/>
              <w:rPr>
                <w:rFonts w:ascii="宋体" w:hAnsi="宋体" w:cs="宋体"/>
                <w:color w:val="000000"/>
                <w:kern w:val="0"/>
              </w:rPr>
            </w:pPr>
            <w:r>
              <w:rPr>
                <w:rFonts w:ascii="宋体" w:hAnsi="宋体" w:cs="宋体" w:hint="eastAsia"/>
                <w:color w:val="000000"/>
                <w:kern w:val="0"/>
              </w:rPr>
              <w:t>2014年</w:t>
            </w:r>
          </w:p>
        </w:tc>
        <w:tc>
          <w:tcPr>
            <w:tcW w:w="1304" w:type="dxa"/>
          </w:tcPr>
          <w:p w14:paraId="60F9CEA2" w14:textId="77777777" w:rsidR="00165C9E" w:rsidRDefault="00000000">
            <w:pPr>
              <w:widowControl/>
              <w:spacing w:line="360" w:lineRule="exact"/>
              <w:ind w:firstLineChars="200" w:firstLine="420"/>
              <w:jc w:val="center"/>
              <w:rPr>
                <w:rFonts w:ascii="宋体" w:hAnsi="宋体" w:cs="宋体"/>
                <w:color w:val="000000"/>
                <w:kern w:val="0"/>
              </w:rPr>
            </w:pPr>
            <w:r>
              <w:rPr>
                <w:rFonts w:ascii="宋体" w:hAnsi="宋体" w:cs="宋体" w:hint="eastAsia"/>
                <w:color w:val="000000"/>
                <w:kern w:val="0"/>
              </w:rPr>
              <w:t>2015年</w:t>
            </w:r>
          </w:p>
        </w:tc>
        <w:tc>
          <w:tcPr>
            <w:tcW w:w="1304" w:type="dxa"/>
          </w:tcPr>
          <w:p w14:paraId="6A78F424" w14:textId="77777777" w:rsidR="00165C9E" w:rsidRDefault="00000000">
            <w:pPr>
              <w:widowControl/>
              <w:spacing w:line="360" w:lineRule="exact"/>
              <w:ind w:firstLineChars="200" w:firstLine="420"/>
              <w:jc w:val="center"/>
              <w:rPr>
                <w:rFonts w:ascii="宋体" w:hAnsi="宋体" w:cs="宋体"/>
                <w:color w:val="000000"/>
                <w:kern w:val="0"/>
              </w:rPr>
            </w:pPr>
            <w:r>
              <w:rPr>
                <w:rFonts w:ascii="宋体" w:hAnsi="宋体" w:cs="宋体" w:hint="eastAsia"/>
                <w:color w:val="000000"/>
                <w:kern w:val="0"/>
              </w:rPr>
              <w:t>2016年</w:t>
            </w:r>
          </w:p>
        </w:tc>
        <w:tc>
          <w:tcPr>
            <w:tcW w:w="1304" w:type="dxa"/>
          </w:tcPr>
          <w:p w14:paraId="3D3AFA5F" w14:textId="77777777" w:rsidR="00165C9E" w:rsidRDefault="00000000">
            <w:pPr>
              <w:widowControl/>
              <w:spacing w:line="360" w:lineRule="exact"/>
              <w:ind w:firstLineChars="200" w:firstLine="420"/>
              <w:jc w:val="center"/>
              <w:rPr>
                <w:rFonts w:ascii="宋体" w:hAnsi="宋体" w:cs="宋体"/>
                <w:color w:val="000000"/>
                <w:kern w:val="0"/>
              </w:rPr>
            </w:pPr>
            <w:r>
              <w:rPr>
                <w:rFonts w:ascii="宋体" w:hAnsi="宋体" w:cs="宋体" w:hint="eastAsia"/>
                <w:color w:val="000000"/>
                <w:kern w:val="0"/>
              </w:rPr>
              <w:t>2017年</w:t>
            </w:r>
          </w:p>
        </w:tc>
        <w:tc>
          <w:tcPr>
            <w:tcW w:w="1304" w:type="dxa"/>
          </w:tcPr>
          <w:p w14:paraId="1AA3DA91" w14:textId="77777777" w:rsidR="00165C9E" w:rsidRDefault="00000000">
            <w:pPr>
              <w:widowControl/>
              <w:spacing w:line="360" w:lineRule="exact"/>
              <w:ind w:firstLineChars="200" w:firstLine="420"/>
              <w:jc w:val="center"/>
              <w:rPr>
                <w:rFonts w:ascii="宋体" w:hAnsi="宋体" w:cs="宋体"/>
                <w:color w:val="000000"/>
                <w:kern w:val="0"/>
              </w:rPr>
            </w:pPr>
            <w:r>
              <w:rPr>
                <w:rFonts w:ascii="宋体" w:hAnsi="宋体" w:cs="宋体" w:hint="eastAsia"/>
                <w:color w:val="000000"/>
                <w:kern w:val="0"/>
              </w:rPr>
              <w:t>2018年</w:t>
            </w:r>
          </w:p>
        </w:tc>
      </w:tr>
      <w:tr w:rsidR="00165C9E" w14:paraId="057F4126" w14:textId="77777777">
        <w:trPr>
          <w:trHeight w:val="570"/>
        </w:trPr>
        <w:tc>
          <w:tcPr>
            <w:tcW w:w="1928" w:type="dxa"/>
          </w:tcPr>
          <w:p w14:paraId="1D9A51A9" w14:textId="77777777" w:rsidR="00165C9E" w:rsidRDefault="00000000">
            <w:pPr>
              <w:widowControl/>
              <w:spacing w:line="360" w:lineRule="exact"/>
              <w:jc w:val="left"/>
              <w:rPr>
                <w:rFonts w:ascii="宋体" w:hAnsi="宋体"/>
                <w:color w:val="000000"/>
                <w:kern w:val="0"/>
              </w:rPr>
            </w:pPr>
            <w:r>
              <w:rPr>
                <w:rFonts w:ascii="宋体" w:hAnsi="宋体" w:cs="宋体" w:hint="eastAsia"/>
                <w:color w:val="000000"/>
                <w:kern w:val="0"/>
              </w:rPr>
              <w:t>当年实际到位资金</w:t>
            </w:r>
          </w:p>
        </w:tc>
        <w:tc>
          <w:tcPr>
            <w:tcW w:w="1304" w:type="dxa"/>
          </w:tcPr>
          <w:p w14:paraId="443B700D" w14:textId="77777777" w:rsidR="00165C9E" w:rsidRDefault="00000000">
            <w:pPr>
              <w:widowControl/>
              <w:spacing w:line="360" w:lineRule="exact"/>
              <w:ind w:firstLineChars="200" w:firstLine="420"/>
              <w:jc w:val="center"/>
              <w:rPr>
                <w:rFonts w:ascii="宋体" w:hAnsi="宋体" w:cs="宋体"/>
                <w:color w:val="000000"/>
                <w:kern w:val="0"/>
              </w:rPr>
            </w:pPr>
            <w:r>
              <w:rPr>
                <w:rFonts w:ascii="宋体" w:hAnsi="宋体" w:cs="宋体" w:hint="eastAsia"/>
                <w:color w:val="000000"/>
                <w:kern w:val="0"/>
              </w:rPr>
              <w:t>122122</w:t>
            </w:r>
          </w:p>
        </w:tc>
        <w:tc>
          <w:tcPr>
            <w:tcW w:w="1304" w:type="dxa"/>
          </w:tcPr>
          <w:p w14:paraId="37466A48" w14:textId="77777777" w:rsidR="00165C9E" w:rsidRDefault="00000000">
            <w:pPr>
              <w:widowControl/>
              <w:spacing w:line="360" w:lineRule="exact"/>
              <w:ind w:firstLineChars="200" w:firstLine="420"/>
              <w:jc w:val="center"/>
              <w:rPr>
                <w:rFonts w:ascii="宋体" w:hAnsi="宋体" w:cs="宋体"/>
                <w:color w:val="000000"/>
                <w:kern w:val="0"/>
              </w:rPr>
            </w:pPr>
            <w:r>
              <w:rPr>
                <w:rFonts w:ascii="宋体" w:hAnsi="宋体" w:cs="宋体" w:hint="eastAsia"/>
                <w:color w:val="000000"/>
                <w:kern w:val="0"/>
              </w:rPr>
              <w:t>121991</w:t>
            </w:r>
          </w:p>
        </w:tc>
        <w:tc>
          <w:tcPr>
            <w:tcW w:w="1304" w:type="dxa"/>
          </w:tcPr>
          <w:p w14:paraId="2368118B" w14:textId="77777777" w:rsidR="00165C9E" w:rsidRDefault="00000000">
            <w:pPr>
              <w:widowControl/>
              <w:spacing w:line="360" w:lineRule="exact"/>
              <w:ind w:firstLineChars="200" w:firstLine="420"/>
              <w:jc w:val="center"/>
              <w:rPr>
                <w:rFonts w:ascii="宋体" w:hAnsi="宋体" w:cs="宋体"/>
                <w:color w:val="000000"/>
                <w:kern w:val="0"/>
              </w:rPr>
            </w:pPr>
            <w:r>
              <w:rPr>
                <w:rFonts w:ascii="宋体" w:hAnsi="宋体" w:cs="宋体" w:hint="eastAsia"/>
                <w:color w:val="000000"/>
                <w:kern w:val="0"/>
              </w:rPr>
              <w:t>125203</w:t>
            </w:r>
          </w:p>
        </w:tc>
        <w:tc>
          <w:tcPr>
            <w:tcW w:w="1304" w:type="dxa"/>
          </w:tcPr>
          <w:p w14:paraId="6A75BC9D" w14:textId="77777777" w:rsidR="00165C9E" w:rsidRDefault="00000000">
            <w:pPr>
              <w:widowControl/>
              <w:spacing w:line="360" w:lineRule="exact"/>
              <w:ind w:firstLineChars="200" w:firstLine="420"/>
              <w:jc w:val="center"/>
              <w:rPr>
                <w:rFonts w:ascii="宋体" w:hAnsi="宋体" w:cs="宋体"/>
                <w:color w:val="000000"/>
                <w:kern w:val="0"/>
              </w:rPr>
            </w:pPr>
            <w:r>
              <w:rPr>
                <w:rFonts w:ascii="宋体" w:hAnsi="宋体" w:cs="宋体" w:hint="eastAsia"/>
                <w:color w:val="000000"/>
                <w:kern w:val="0"/>
              </w:rPr>
              <w:t>144214</w:t>
            </w:r>
          </w:p>
        </w:tc>
        <w:tc>
          <w:tcPr>
            <w:tcW w:w="1304" w:type="dxa"/>
          </w:tcPr>
          <w:p w14:paraId="41D1B8F0" w14:textId="77777777" w:rsidR="00165C9E" w:rsidRDefault="00000000">
            <w:pPr>
              <w:widowControl/>
              <w:spacing w:line="360" w:lineRule="exact"/>
              <w:ind w:firstLineChars="200" w:firstLine="420"/>
              <w:jc w:val="center"/>
              <w:rPr>
                <w:rFonts w:ascii="宋体" w:hAnsi="宋体" w:cs="宋体"/>
                <w:color w:val="000000"/>
                <w:kern w:val="0"/>
              </w:rPr>
            </w:pPr>
            <w:r>
              <w:rPr>
                <w:rFonts w:ascii="宋体" w:hAnsi="宋体" w:cs="宋体" w:hint="eastAsia"/>
                <w:color w:val="000000"/>
                <w:kern w:val="0"/>
              </w:rPr>
              <w:t>156053</w:t>
            </w:r>
          </w:p>
        </w:tc>
        <w:tc>
          <w:tcPr>
            <w:tcW w:w="1304" w:type="dxa"/>
          </w:tcPr>
          <w:p w14:paraId="25B0AA3A" w14:textId="77777777" w:rsidR="00165C9E" w:rsidRDefault="00000000">
            <w:pPr>
              <w:widowControl/>
              <w:spacing w:line="360" w:lineRule="exact"/>
              <w:ind w:firstLineChars="200" w:firstLine="420"/>
              <w:jc w:val="center"/>
              <w:rPr>
                <w:rFonts w:ascii="宋体" w:hAnsi="宋体" w:cs="宋体"/>
                <w:color w:val="000000"/>
                <w:kern w:val="0"/>
              </w:rPr>
            </w:pPr>
            <w:r>
              <w:rPr>
                <w:rFonts w:ascii="宋体" w:hAnsi="宋体" w:cs="宋体" w:hint="eastAsia"/>
                <w:color w:val="000000"/>
                <w:kern w:val="0"/>
              </w:rPr>
              <w:t>165963</w:t>
            </w:r>
          </w:p>
        </w:tc>
      </w:tr>
      <w:tr w:rsidR="00165C9E" w14:paraId="55AA83F0" w14:textId="77777777">
        <w:trPr>
          <w:trHeight w:val="330"/>
        </w:trPr>
        <w:tc>
          <w:tcPr>
            <w:tcW w:w="1928" w:type="dxa"/>
          </w:tcPr>
          <w:p w14:paraId="7DF30C9E" w14:textId="77777777" w:rsidR="00165C9E" w:rsidRDefault="00000000">
            <w:pPr>
              <w:widowControl/>
              <w:spacing w:line="360" w:lineRule="exact"/>
              <w:ind w:firstLineChars="95" w:firstLine="199"/>
              <w:jc w:val="left"/>
              <w:rPr>
                <w:rFonts w:ascii="宋体" w:hAnsi="宋体"/>
                <w:color w:val="000000"/>
                <w:kern w:val="0"/>
              </w:rPr>
            </w:pPr>
            <w:r>
              <w:rPr>
                <w:rFonts w:ascii="宋体" w:hAnsi="宋体" w:cs="宋体" w:hint="eastAsia"/>
                <w:color w:val="000000"/>
                <w:kern w:val="0"/>
              </w:rPr>
              <w:t>增长速度</w:t>
            </w:r>
          </w:p>
        </w:tc>
        <w:tc>
          <w:tcPr>
            <w:tcW w:w="1304" w:type="dxa"/>
            <w:noWrap/>
          </w:tcPr>
          <w:p w14:paraId="703803FA" w14:textId="77777777" w:rsidR="00165C9E" w:rsidRDefault="00000000">
            <w:pPr>
              <w:widowControl/>
              <w:spacing w:line="360" w:lineRule="exact"/>
              <w:ind w:firstLineChars="200" w:firstLine="420"/>
              <w:jc w:val="center"/>
              <w:rPr>
                <w:rFonts w:ascii="宋体" w:hAnsi="宋体" w:cs="宋体"/>
                <w:color w:val="000000"/>
                <w:kern w:val="0"/>
              </w:rPr>
            </w:pPr>
            <w:r>
              <w:rPr>
                <w:rFonts w:ascii="宋体" w:hAnsi="宋体" w:cs="宋体" w:hint="eastAsia"/>
                <w:color w:val="000000"/>
                <w:kern w:val="0"/>
              </w:rPr>
              <w:t>26.50%</w:t>
            </w:r>
          </w:p>
        </w:tc>
        <w:tc>
          <w:tcPr>
            <w:tcW w:w="1304" w:type="dxa"/>
            <w:noWrap/>
          </w:tcPr>
          <w:p w14:paraId="2FFD9451" w14:textId="77777777" w:rsidR="00165C9E" w:rsidRDefault="00000000">
            <w:pPr>
              <w:widowControl/>
              <w:spacing w:line="360" w:lineRule="exact"/>
              <w:ind w:firstLineChars="200" w:firstLine="420"/>
              <w:jc w:val="center"/>
              <w:rPr>
                <w:rFonts w:ascii="宋体" w:hAnsi="宋体" w:cs="宋体"/>
                <w:color w:val="000000"/>
                <w:kern w:val="0"/>
              </w:rPr>
            </w:pPr>
            <w:r>
              <w:rPr>
                <w:rFonts w:ascii="宋体" w:hAnsi="宋体" w:cs="宋体" w:hint="eastAsia"/>
                <w:color w:val="000000"/>
                <w:kern w:val="0"/>
              </w:rPr>
              <w:t>-0.11%</w:t>
            </w:r>
          </w:p>
        </w:tc>
        <w:tc>
          <w:tcPr>
            <w:tcW w:w="1304" w:type="dxa"/>
            <w:noWrap/>
          </w:tcPr>
          <w:p w14:paraId="2E2FC311" w14:textId="77777777" w:rsidR="00165C9E" w:rsidRDefault="00000000">
            <w:pPr>
              <w:widowControl/>
              <w:spacing w:line="360" w:lineRule="exact"/>
              <w:ind w:firstLineChars="200" w:firstLine="420"/>
              <w:jc w:val="center"/>
              <w:rPr>
                <w:rFonts w:ascii="宋体" w:hAnsi="宋体" w:cs="宋体"/>
                <w:color w:val="000000"/>
                <w:kern w:val="0"/>
              </w:rPr>
            </w:pPr>
            <w:r>
              <w:rPr>
                <w:rFonts w:ascii="宋体" w:hAnsi="宋体" w:cs="宋体" w:hint="eastAsia"/>
                <w:color w:val="000000"/>
                <w:kern w:val="0"/>
              </w:rPr>
              <w:t>2.63%</w:t>
            </w:r>
          </w:p>
        </w:tc>
        <w:tc>
          <w:tcPr>
            <w:tcW w:w="1304" w:type="dxa"/>
            <w:noWrap/>
          </w:tcPr>
          <w:p w14:paraId="795B1C45" w14:textId="77777777" w:rsidR="00165C9E" w:rsidRDefault="00000000">
            <w:pPr>
              <w:widowControl/>
              <w:spacing w:line="360" w:lineRule="exact"/>
              <w:ind w:firstLineChars="200" w:firstLine="420"/>
              <w:jc w:val="center"/>
              <w:rPr>
                <w:rFonts w:ascii="宋体" w:hAnsi="宋体" w:cs="宋体"/>
                <w:color w:val="000000"/>
                <w:kern w:val="0"/>
              </w:rPr>
            </w:pPr>
            <w:r>
              <w:rPr>
                <w:rFonts w:ascii="宋体" w:hAnsi="宋体" w:cs="宋体" w:hint="eastAsia"/>
                <w:color w:val="000000"/>
                <w:kern w:val="0"/>
              </w:rPr>
              <w:t>15.18%</w:t>
            </w:r>
          </w:p>
        </w:tc>
        <w:tc>
          <w:tcPr>
            <w:tcW w:w="1304" w:type="dxa"/>
            <w:noWrap/>
          </w:tcPr>
          <w:p w14:paraId="37586CA4" w14:textId="77777777" w:rsidR="00165C9E" w:rsidRDefault="00000000">
            <w:pPr>
              <w:widowControl/>
              <w:spacing w:line="360" w:lineRule="exact"/>
              <w:ind w:firstLineChars="200" w:firstLine="420"/>
              <w:jc w:val="center"/>
              <w:rPr>
                <w:rFonts w:ascii="宋体" w:hAnsi="宋体" w:cs="宋体"/>
                <w:color w:val="000000"/>
                <w:kern w:val="0"/>
              </w:rPr>
            </w:pPr>
            <w:r>
              <w:rPr>
                <w:rFonts w:ascii="宋体" w:hAnsi="宋体" w:cs="宋体" w:hint="eastAsia"/>
                <w:color w:val="000000"/>
                <w:kern w:val="0"/>
              </w:rPr>
              <w:t>8.21%</w:t>
            </w:r>
          </w:p>
        </w:tc>
        <w:tc>
          <w:tcPr>
            <w:tcW w:w="1304" w:type="dxa"/>
            <w:noWrap/>
          </w:tcPr>
          <w:p w14:paraId="564CA6DE" w14:textId="77777777" w:rsidR="00165C9E" w:rsidRDefault="00000000">
            <w:pPr>
              <w:widowControl/>
              <w:spacing w:line="360" w:lineRule="exact"/>
              <w:ind w:firstLineChars="200" w:firstLine="420"/>
              <w:jc w:val="center"/>
              <w:rPr>
                <w:rFonts w:ascii="宋体" w:hAnsi="宋体" w:cs="宋体"/>
                <w:color w:val="000000"/>
                <w:kern w:val="0"/>
              </w:rPr>
            </w:pPr>
            <w:r>
              <w:rPr>
                <w:rFonts w:ascii="宋体" w:hAnsi="宋体" w:cs="宋体" w:hint="eastAsia"/>
                <w:color w:val="000000"/>
                <w:kern w:val="0"/>
              </w:rPr>
              <w:t>6.35%</w:t>
            </w:r>
          </w:p>
        </w:tc>
      </w:tr>
      <w:tr w:rsidR="00165C9E" w14:paraId="3DCC6DD5" w14:textId="77777777">
        <w:trPr>
          <w:trHeight w:val="555"/>
        </w:trPr>
        <w:tc>
          <w:tcPr>
            <w:tcW w:w="1928" w:type="dxa"/>
          </w:tcPr>
          <w:p w14:paraId="0994809B" w14:textId="77777777" w:rsidR="00165C9E" w:rsidRDefault="00000000">
            <w:pPr>
              <w:widowControl/>
              <w:spacing w:line="360" w:lineRule="exact"/>
              <w:jc w:val="left"/>
              <w:rPr>
                <w:rFonts w:ascii="宋体" w:hAnsi="宋体"/>
                <w:color w:val="000000"/>
                <w:kern w:val="0"/>
              </w:rPr>
            </w:pPr>
            <w:r>
              <w:rPr>
                <w:rFonts w:ascii="宋体" w:hAnsi="宋体" w:cs="宋体" w:hint="eastAsia"/>
                <w:color w:val="000000"/>
                <w:kern w:val="0"/>
              </w:rPr>
              <w:t>国内贷款融资总额</w:t>
            </w:r>
          </w:p>
        </w:tc>
        <w:tc>
          <w:tcPr>
            <w:tcW w:w="1304" w:type="dxa"/>
            <w:noWrap/>
          </w:tcPr>
          <w:p w14:paraId="21167BCC" w14:textId="77777777" w:rsidR="00165C9E" w:rsidRDefault="00000000">
            <w:pPr>
              <w:widowControl/>
              <w:spacing w:line="360" w:lineRule="exact"/>
              <w:ind w:firstLineChars="200" w:firstLine="420"/>
              <w:jc w:val="center"/>
              <w:rPr>
                <w:rFonts w:ascii="宋体" w:hAnsi="宋体" w:cs="宋体"/>
                <w:color w:val="000000"/>
                <w:kern w:val="0"/>
              </w:rPr>
            </w:pPr>
            <w:r>
              <w:rPr>
                <w:rFonts w:ascii="宋体" w:hAnsi="宋体" w:cs="宋体" w:hint="eastAsia"/>
                <w:color w:val="000000"/>
                <w:kern w:val="0"/>
              </w:rPr>
              <w:t>19673</w:t>
            </w:r>
          </w:p>
        </w:tc>
        <w:tc>
          <w:tcPr>
            <w:tcW w:w="1304" w:type="dxa"/>
            <w:noWrap/>
          </w:tcPr>
          <w:p w14:paraId="76981181" w14:textId="77777777" w:rsidR="00165C9E" w:rsidRDefault="00000000">
            <w:pPr>
              <w:widowControl/>
              <w:spacing w:line="360" w:lineRule="exact"/>
              <w:ind w:firstLineChars="200" w:firstLine="420"/>
              <w:jc w:val="center"/>
              <w:rPr>
                <w:rFonts w:ascii="宋体" w:hAnsi="宋体" w:cs="宋体"/>
                <w:color w:val="000000"/>
                <w:kern w:val="0"/>
              </w:rPr>
            </w:pPr>
            <w:r>
              <w:rPr>
                <w:rFonts w:ascii="宋体" w:hAnsi="宋体" w:cs="宋体" w:hint="eastAsia"/>
                <w:color w:val="000000"/>
                <w:kern w:val="0"/>
              </w:rPr>
              <w:t>21243</w:t>
            </w:r>
          </w:p>
        </w:tc>
        <w:tc>
          <w:tcPr>
            <w:tcW w:w="1304" w:type="dxa"/>
            <w:noWrap/>
          </w:tcPr>
          <w:p w14:paraId="42E47E3F" w14:textId="77777777" w:rsidR="00165C9E" w:rsidRDefault="00000000">
            <w:pPr>
              <w:widowControl/>
              <w:spacing w:line="360" w:lineRule="exact"/>
              <w:ind w:firstLineChars="200" w:firstLine="420"/>
              <w:jc w:val="center"/>
              <w:rPr>
                <w:rFonts w:ascii="宋体" w:hAnsi="宋体" w:cs="宋体"/>
                <w:color w:val="000000"/>
                <w:kern w:val="0"/>
              </w:rPr>
            </w:pPr>
            <w:r>
              <w:rPr>
                <w:rFonts w:ascii="宋体" w:hAnsi="宋体" w:cs="宋体" w:hint="eastAsia"/>
                <w:color w:val="000000"/>
                <w:kern w:val="0"/>
              </w:rPr>
              <w:t>20214</w:t>
            </w:r>
          </w:p>
        </w:tc>
        <w:tc>
          <w:tcPr>
            <w:tcW w:w="1304" w:type="dxa"/>
            <w:noWrap/>
          </w:tcPr>
          <w:p w14:paraId="52CBFE71" w14:textId="77777777" w:rsidR="00165C9E" w:rsidRDefault="00000000">
            <w:pPr>
              <w:widowControl/>
              <w:spacing w:line="360" w:lineRule="exact"/>
              <w:ind w:firstLineChars="200" w:firstLine="420"/>
              <w:jc w:val="center"/>
              <w:rPr>
                <w:rFonts w:ascii="宋体" w:hAnsi="宋体" w:cs="宋体"/>
                <w:color w:val="000000"/>
                <w:kern w:val="0"/>
              </w:rPr>
            </w:pPr>
            <w:r>
              <w:rPr>
                <w:rFonts w:ascii="宋体" w:hAnsi="宋体" w:cs="宋体" w:hint="eastAsia"/>
                <w:color w:val="000000"/>
                <w:kern w:val="0"/>
              </w:rPr>
              <w:t>21512</w:t>
            </w:r>
          </w:p>
        </w:tc>
        <w:tc>
          <w:tcPr>
            <w:tcW w:w="1304" w:type="dxa"/>
            <w:noWrap/>
          </w:tcPr>
          <w:p w14:paraId="76ED20CB" w14:textId="77777777" w:rsidR="00165C9E" w:rsidRDefault="00000000">
            <w:pPr>
              <w:widowControl/>
              <w:spacing w:line="360" w:lineRule="exact"/>
              <w:ind w:firstLineChars="200" w:firstLine="420"/>
              <w:jc w:val="center"/>
              <w:rPr>
                <w:rFonts w:ascii="宋体" w:hAnsi="宋体" w:cs="宋体"/>
                <w:color w:val="000000"/>
                <w:kern w:val="0"/>
              </w:rPr>
            </w:pPr>
            <w:r>
              <w:rPr>
                <w:rFonts w:ascii="宋体" w:hAnsi="宋体" w:cs="宋体" w:hint="eastAsia"/>
                <w:color w:val="000000"/>
                <w:kern w:val="0"/>
              </w:rPr>
              <w:t>25242</w:t>
            </w:r>
          </w:p>
        </w:tc>
        <w:tc>
          <w:tcPr>
            <w:tcW w:w="1304" w:type="dxa"/>
            <w:noWrap/>
          </w:tcPr>
          <w:p w14:paraId="02101398" w14:textId="77777777" w:rsidR="00165C9E" w:rsidRDefault="00000000">
            <w:pPr>
              <w:widowControl/>
              <w:spacing w:line="360" w:lineRule="exact"/>
              <w:ind w:firstLineChars="200" w:firstLine="420"/>
              <w:jc w:val="center"/>
              <w:rPr>
                <w:rFonts w:ascii="宋体" w:hAnsi="宋体" w:cs="宋体"/>
                <w:color w:val="000000"/>
                <w:kern w:val="0"/>
              </w:rPr>
            </w:pPr>
            <w:r>
              <w:rPr>
                <w:rFonts w:ascii="宋体" w:hAnsi="宋体" w:cs="宋体" w:hint="eastAsia"/>
                <w:color w:val="000000"/>
                <w:kern w:val="0"/>
              </w:rPr>
              <w:t>24005</w:t>
            </w:r>
          </w:p>
        </w:tc>
      </w:tr>
      <w:tr w:rsidR="00165C9E" w14:paraId="35D6A9EE" w14:textId="77777777">
        <w:trPr>
          <w:trHeight w:val="270"/>
        </w:trPr>
        <w:tc>
          <w:tcPr>
            <w:tcW w:w="1928" w:type="dxa"/>
          </w:tcPr>
          <w:p w14:paraId="669E6663" w14:textId="77777777" w:rsidR="00165C9E" w:rsidRDefault="00000000">
            <w:pPr>
              <w:widowControl/>
              <w:spacing w:line="360" w:lineRule="exact"/>
              <w:ind w:firstLineChars="200" w:firstLine="420"/>
              <w:jc w:val="left"/>
              <w:rPr>
                <w:rFonts w:ascii="宋体" w:hAnsi="宋体"/>
                <w:color w:val="000000"/>
                <w:kern w:val="0"/>
              </w:rPr>
            </w:pPr>
            <w:r>
              <w:rPr>
                <w:rFonts w:ascii="宋体" w:hAnsi="宋体" w:cs="宋体" w:hint="eastAsia"/>
                <w:color w:val="000000"/>
                <w:kern w:val="0"/>
              </w:rPr>
              <w:t>所占比重</w:t>
            </w:r>
          </w:p>
        </w:tc>
        <w:tc>
          <w:tcPr>
            <w:tcW w:w="1304" w:type="dxa"/>
            <w:noWrap/>
          </w:tcPr>
          <w:p w14:paraId="65CAC4EC" w14:textId="77777777" w:rsidR="00165C9E" w:rsidRDefault="00000000">
            <w:pPr>
              <w:widowControl/>
              <w:spacing w:line="360" w:lineRule="exact"/>
              <w:ind w:firstLineChars="200" w:firstLine="420"/>
              <w:jc w:val="center"/>
              <w:rPr>
                <w:rFonts w:ascii="宋体" w:hAnsi="宋体" w:cs="宋体"/>
                <w:color w:val="000000"/>
                <w:kern w:val="0"/>
              </w:rPr>
            </w:pPr>
            <w:r>
              <w:rPr>
                <w:rFonts w:ascii="宋体" w:hAnsi="宋体" w:cs="宋体" w:hint="eastAsia"/>
                <w:color w:val="000000"/>
                <w:kern w:val="0"/>
              </w:rPr>
              <w:t>16.11%</w:t>
            </w:r>
          </w:p>
        </w:tc>
        <w:tc>
          <w:tcPr>
            <w:tcW w:w="1304" w:type="dxa"/>
            <w:noWrap/>
          </w:tcPr>
          <w:p w14:paraId="2EF16D39" w14:textId="77777777" w:rsidR="00165C9E" w:rsidRDefault="00000000">
            <w:pPr>
              <w:widowControl/>
              <w:spacing w:line="360" w:lineRule="exact"/>
              <w:ind w:firstLineChars="200" w:firstLine="420"/>
              <w:jc w:val="center"/>
              <w:rPr>
                <w:rFonts w:ascii="宋体" w:hAnsi="宋体" w:cs="宋体"/>
                <w:color w:val="000000"/>
                <w:kern w:val="0"/>
              </w:rPr>
            </w:pPr>
            <w:r>
              <w:rPr>
                <w:rFonts w:ascii="宋体" w:hAnsi="宋体" w:cs="宋体" w:hint="eastAsia"/>
                <w:color w:val="000000"/>
                <w:kern w:val="0"/>
              </w:rPr>
              <w:t>17.41%</w:t>
            </w:r>
          </w:p>
        </w:tc>
        <w:tc>
          <w:tcPr>
            <w:tcW w:w="1304" w:type="dxa"/>
            <w:noWrap/>
          </w:tcPr>
          <w:p w14:paraId="7EF7F53A" w14:textId="77777777" w:rsidR="00165C9E" w:rsidRDefault="00000000">
            <w:pPr>
              <w:widowControl/>
              <w:spacing w:line="360" w:lineRule="exact"/>
              <w:ind w:firstLineChars="200" w:firstLine="420"/>
              <w:jc w:val="center"/>
              <w:rPr>
                <w:rFonts w:ascii="宋体" w:hAnsi="宋体" w:cs="宋体"/>
                <w:color w:val="000000"/>
                <w:kern w:val="0"/>
              </w:rPr>
            </w:pPr>
            <w:r>
              <w:rPr>
                <w:rFonts w:ascii="宋体" w:hAnsi="宋体" w:cs="宋体" w:hint="eastAsia"/>
                <w:color w:val="000000"/>
                <w:kern w:val="0"/>
              </w:rPr>
              <w:t>16.15%</w:t>
            </w:r>
          </w:p>
        </w:tc>
        <w:tc>
          <w:tcPr>
            <w:tcW w:w="1304" w:type="dxa"/>
            <w:noWrap/>
          </w:tcPr>
          <w:p w14:paraId="0987A3E4" w14:textId="77777777" w:rsidR="00165C9E" w:rsidRDefault="00000000">
            <w:pPr>
              <w:widowControl/>
              <w:spacing w:line="360" w:lineRule="exact"/>
              <w:ind w:firstLineChars="200" w:firstLine="420"/>
              <w:jc w:val="center"/>
              <w:rPr>
                <w:rFonts w:ascii="宋体" w:hAnsi="宋体" w:cs="宋体"/>
                <w:color w:val="000000"/>
                <w:kern w:val="0"/>
              </w:rPr>
            </w:pPr>
            <w:r>
              <w:rPr>
                <w:rFonts w:ascii="宋体" w:hAnsi="宋体" w:cs="宋体" w:hint="eastAsia"/>
                <w:color w:val="000000"/>
                <w:kern w:val="0"/>
              </w:rPr>
              <w:t>14.92%</w:t>
            </w:r>
          </w:p>
        </w:tc>
        <w:tc>
          <w:tcPr>
            <w:tcW w:w="1304" w:type="dxa"/>
            <w:noWrap/>
          </w:tcPr>
          <w:p w14:paraId="33A71202" w14:textId="77777777" w:rsidR="00165C9E" w:rsidRDefault="00000000">
            <w:pPr>
              <w:widowControl/>
              <w:spacing w:line="360" w:lineRule="exact"/>
              <w:ind w:firstLineChars="200" w:firstLine="420"/>
              <w:jc w:val="center"/>
              <w:rPr>
                <w:rFonts w:ascii="宋体" w:hAnsi="宋体" w:cs="宋体"/>
                <w:color w:val="000000"/>
                <w:kern w:val="0"/>
              </w:rPr>
            </w:pPr>
            <w:r>
              <w:rPr>
                <w:rFonts w:ascii="宋体" w:hAnsi="宋体" w:cs="宋体" w:hint="eastAsia"/>
                <w:color w:val="000000"/>
                <w:kern w:val="0"/>
              </w:rPr>
              <w:t>16.18%</w:t>
            </w:r>
          </w:p>
        </w:tc>
        <w:tc>
          <w:tcPr>
            <w:tcW w:w="1304" w:type="dxa"/>
            <w:noWrap/>
          </w:tcPr>
          <w:p w14:paraId="2B6AA8B3" w14:textId="77777777" w:rsidR="00165C9E" w:rsidRDefault="00000000">
            <w:pPr>
              <w:widowControl/>
              <w:spacing w:line="360" w:lineRule="exact"/>
              <w:ind w:firstLineChars="200" w:firstLine="420"/>
              <w:jc w:val="center"/>
              <w:rPr>
                <w:rFonts w:ascii="宋体" w:hAnsi="宋体" w:cs="宋体"/>
                <w:color w:val="000000"/>
                <w:kern w:val="0"/>
              </w:rPr>
            </w:pPr>
            <w:r>
              <w:rPr>
                <w:rFonts w:ascii="宋体" w:hAnsi="宋体" w:cs="宋体" w:hint="eastAsia"/>
                <w:color w:val="000000"/>
                <w:kern w:val="0"/>
              </w:rPr>
              <w:t>14.46%</w:t>
            </w:r>
          </w:p>
        </w:tc>
      </w:tr>
      <w:tr w:rsidR="00165C9E" w14:paraId="4564F3CF" w14:textId="77777777">
        <w:trPr>
          <w:trHeight w:val="555"/>
        </w:trPr>
        <w:tc>
          <w:tcPr>
            <w:tcW w:w="1928" w:type="dxa"/>
          </w:tcPr>
          <w:p w14:paraId="0741CD35" w14:textId="77777777" w:rsidR="00165C9E" w:rsidRDefault="00000000">
            <w:pPr>
              <w:widowControl/>
              <w:spacing w:line="360" w:lineRule="exact"/>
              <w:jc w:val="left"/>
              <w:rPr>
                <w:rFonts w:ascii="宋体" w:hAnsi="宋体"/>
                <w:color w:val="000000"/>
                <w:kern w:val="0"/>
              </w:rPr>
            </w:pPr>
            <w:r>
              <w:rPr>
                <w:rFonts w:ascii="宋体" w:hAnsi="宋体" w:cs="宋体" w:hint="eastAsia"/>
                <w:color w:val="000000"/>
                <w:kern w:val="0"/>
              </w:rPr>
              <w:t>利用外资融资总额</w:t>
            </w:r>
          </w:p>
        </w:tc>
        <w:tc>
          <w:tcPr>
            <w:tcW w:w="1304" w:type="dxa"/>
            <w:noWrap/>
          </w:tcPr>
          <w:p w14:paraId="026A1125" w14:textId="77777777" w:rsidR="00165C9E" w:rsidRDefault="00000000">
            <w:pPr>
              <w:widowControl/>
              <w:spacing w:line="360" w:lineRule="exact"/>
              <w:ind w:firstLineChars="200" w:firstLine="420"/>
              <w:jc w:val="center"/>
              <w:rPr>
                <w:rFonts w:ascii="宋体" w:hAnsi="宋体" w:cs="宋体"/>
                <w:color w:val="000000"/>
                <w:kern w:val="0"/>
              </w:rPr>
            </w:pPr>
            <w:r>
              <w:rPr>
                <w:rFonts w:ascii="宋体" w:hAnsi="宋体" w:cs="宋体" w:hint="eastAsia"/>
                <w:color w:val="000000"/>
                <w:kern w:val="0"/>
              </w:rPr>
              <w:t>534</w:t>
            </w:r>
          </w:p>
        </w:tc>
        <w:tc>
          <w:tcPr>
            <w:tcW w:w="1304" w:type="dxa"/>
            <w:noWrap/>
          </w:tcPr>
          <w:p w14:paraId="3A207655" w14:textId="77777777" w:rsidR="00165C9E" w:rsidRDefault="00000000">
            <w:pPr>
              <w:widowControl/>
              <w:spacing w:line="360" w:lineRule="exact"/>
              <w:ind w:firstLineChars="200" w:firstLine="420"/>
              <w:jc w:val="center"/>
              <w:rPr>
                <w:rFonts w:ascii="宋体" w:hAnsi="宋体" w:cs="宋体"/>
                <w:color w:val="000000"/>
                <w:kern w:val="0"/>
              </w:rPr>
            </w:pPr>
            <w:r>
              <w:rPr>
                <w:rFonts w:ascii="宋体" w:hAnsi="宋体" w:cs="宋体" w:hint="eastAsia"/>
                <w:color w:val="000000"/>
                <w:kern w:val="0"/>
              </w:rPr>
              <w:t>639</w:t>
            </w:r>
          </w:p>
        </w:tc>
        <w:tc>
          <w:tcPr>
            <w:tcW w:w="1304" w:type="dxa"/>
            <w:noWrap/>
          </w:tcPr>
          <w:p w14:paraId="0A687613" w14:textId="77777777" w:rsidR="00165C9E" w:rsidRDefault="00000000">
            <w:pPr>
              <w:widowControl/>
              <w:spacing w:line="360" w:lineRule="exact"/>
              <w:ind w:firstLineChars="200" w:firstLine="420"/>
              <w:jc w:val="center"/>
              <w:rPr>
                <w:rFonts w:ascii="宋体" w:hAnsi="宋体" w:cs="宋体"/>
                <w:color w:val="000000"/>
                <w:kern w:val="0"/>
              </w:rPr>
            </w:pPr>
            <w:r>
              <w:rPr>
                <w:rFonts w:ascii="宋体" w:hAnsi="宋体" w:cs="宋体" w:hint="eastAsia"/>
                <w:color w:val="000000"/>
                <w:kern w:val="0"/>
              </w:rPr>
              <w:t>297</w:t>
            </w:r>
          </w:p>
        </w:tc>
        <w:tc>
          <w:tcPr>
            <w:tcW w:w="1304" w:type="dxa"/>
            <w:noWrap/>
          </w:tcPr>
          <w:p w14:paraId="64865D30" w14:textId="77777777" w:rsidR="00165C9E" w:rsidRDefault="00000000">
            <w:pPr>
              <w:widowControl/>
              <w:spacing w:line="360" w:lineRule="exact"/>
              <w:ind w:firstLineChars="200" w:firstLine="420"/>
              <w:jc w:val="center"/>
              <w:rPr>
                <w:rFonts w:ascii="宋体" w:hAnsi="宋体" w:cs="宋体"/>
                <w:color w:val="000000"/>
                <w:kern w:val="0"/>
              </w:rPr>
            </w:pPr>
            <w:r>
              <w:rPr>
                <w:rFonts w:ascii="宋体" w:hAnsi="宋体" w:cs="宋体" w:hint="eastAsia"/>
                <w:color w:val="000000"/>
                <w:kern w:val="0"/>
              </w:rPr>
              <w:t>140</w:t>
            </w:r>
          </w:p>
        </w:tc>
        <w:tc>
          <w:tcPr>
            <w:tcW w:w="1304" w:type="dxa"/>
            <w:noWrap/>
          </w:tcPr>
          <w:p w14:paraId="11B1F3AD" w14:textId="77777777" w:rsidR="00165C9E" w:rsidRDefault="00000000">
            <w:pPr>
              <w:widowControl/>
              <w:spacing w:line="360" w:lineRule="exact"/>
              <w:ind w:firstLineChars="200" w:firstLine="420"/>
              <w:jc w:val="center"/>
              <w:rPr>
                <w:rFonts w:ascii="宋体" w:hAnsi="宋体" w:cs="宋体"/>
                <w:color w:val="000000"/>
                <w:kern w:val="0"/>
              </w:rPr>
            </w:pPr>
            <w:r>
              <w:rPr>
                <w:rFonts w:ascii="宋体" w:hAnsi="宋体" w:cs="宋体" w:hint="eastAsia"/>
                <w:color w:val="000000"/>
                <w:kern w:val="0"/>
              </w:rPr>
              <w:t>168</w:t>
            </w:r>
          </w:p>
        </w:tc>
        <w:tc>
          <w:tcPr>
            <w:tcW w:w="1304" w:type="dxa"/>
            <w:noWrap/>
          </w:tcPr>
          <w:p w14:paraId="72DDE346" w14:textId="77777777" w:rsidR="00165C9E" w:rsidRDefault="00000000">
            <w:pPr>
              <w:widowControl/>
              <w:spacing w:line="360" w:lineRule="exact"/>
              <w:ind w:firstLineChars="200" w:firstLine="420"/>
              <w:jc w:val="center"/>
              <w:rPr>
                <w:rFonts w:ascii="宋体" w:hAnsi="宋体" w:cs="宋体"/>
                <w:color w:val="000000"/>
                <w:kern w:val="0"/>
              </w:rPr>
            </w:pPr>
            <w:r>
              <w:rPr>
                <w:rFonts w:ascii="宋体" w:hAnsi="宋体" w:cs="宋体" w:hint="eastAsia"/>
                <w:color w:val="000000"/>
                <w:kern w:val="0"/>
              </w:rPr>
              <w:t>108</w:t>
            </w:r>
          </w:p>
        </w:tc>
      </w:tr>
      <w:tr w:rsidR="00165C9E" w14:paraId="5F456E88" w14:textId="77777777">
        <w:trPr>
          <w:trHeight w:val="270"/>
        </w:trPr>
        <w:tc>
          <w:tcPr>
            <w:tcW w:w="1928" w:type="dxa"/>
          </w:tcPr>
          <w:p w14:paraId="4CEA1DF2" w14:textId="77777777" w:rsidR="00165C9E" w:rsidRDefault="00000000">
            <w:pPr>
              <w:widowControl/>
              <w:spacing w:line="360" w:lineRule="exact"/>
              <w:ind w:firstLineChars="200" w:firstLine="420"/>
              <w:jc w:val="left"/>
              <w:rPr>
                <w:rFonts w:ascii="宋体" w:hAnsi="宋体"/>
                <w:color w:val="000000"/>
                <w:kern w:val="0"/>
              </w:rPr>
            </w:pPr>
            <w:r>
              <w:rPr>
                <w:rFonts w:ascii="宋体" w:hAnsi="宋体" w:cs="宋体" w:hint="eastAsia"/>
                <w:color w:val="000000"/>
                <w:kern w:val="0"/>
              </w:rPr>
              <w:t>所占比例</w:t>
            </w:r>
          </w:p>
        </w:tc>
        <w:tc>
          <w:tcPr>
            <w:tcW w:w="1304" w:type="dxa"/>
            <w:noWrap/>
          </w:tcPr>
          <w:p w14:paraId="4C8BAD45" w14:textId="77777777" w:rsidR="00165C9E" w:rsidRDefault="00000000">
            <w:pPr>
              <w:widowControl/>
              <w:spacing w:line="360" w:lineRule="exact"/>
              <w:ind w:firstLineChars="200" w:firstLine="420"/>
              <w:jc w:val="center"/>
              <w:rPr>
                <w:rFonts w:ascii="宋体" w:hAnsi="宋体" w:cs="宋体"/>
                <w:color w:val="000000"/>
                <w:kern w:val="0"/>
              </w:rPr>
            </w:pPr>
            <w:r>
              <w:rPr>
                <w:rFonts w:ascii="宋体" w:hAnsi="宋体" w:cs="宋体" w:hint="eastAsia"/>
                <w:color w:val="000000"/>
                <w:kern w:val="0"/>
              </w:rPr>
              <w:t>0.44%</w:t>
            </w:r>
          </w:p>
        </w:tc>
        <w:tc>
          <w:tcPr>
            <w:tcW w:w="1304" w:type="dxa"/>
            <w:noWrap/>
          </w:tcPr>
          <w:p w14:paraId="25832089" w14:textId="77777777" w:rsidR="00165C9E" w:rsidRDefault="00000000">
            <w:pPr>
              <w:widowControl/>
              <w:spacing w:line="360" w:lineRule="exact"/>
              <w:ind w:firstLineChars="200" w:firstLine="420"/>
              <w:jc w:val="center"/>
              <w:rPr>
                <w:rFonts w:ascii="宋体" w:hAnsi="宋体" w:cs="宋体"/>
                <w:color w:val="000000"/>
                <w:kern w:val="0"/>
              </w:rPr>
            </w:pPr>
            <w:r>
              <w:rPr>
                <w:rFonts w:ascii="宋体" w:hAnsi="宋体" w:cs="宋体" w:hint="eastAsia"/>
                <w:color w:val="000000"/>
                <w:kern w:val="0"/>
              </w:rPr>
              <w:t>0.52%</w:t>
            </w:r>
          </w:p>
        </w:tc>
        <w:tc>
          <w:tcPr>
            <w:tcW w:w="1304" w:type="dxa"/>
            <w:noWrap/>
          </w:tcPr>
          <w:p w14:paraId="3283F3E6" w14:textId="77777777" w:rsidR="00165C9E" w:rsidRDefault="00000000">
            <w:pPr>
              <w:widowControl/>
              <w:spacing w:line="360" w:lineRule="exact"/>
              <w:ind w:firstLineChars="200" w:firstLine="420"/>
              <w:jc w:val="center"/>
              <w:rPr>
                <w:rFonts w:ascii="宋体" w:hAnsi="宋体" w:cs="宋体"/>
                <w:color w:val="000000"/>
                <w:kern w:val="0"/>
              </w:rPr>
            </w:pPr>
            <w:r>
              <w:rPr>
                <w:rFonts w:ascii="宋体" w:hAnsi="宋体" w:cs="宋体" w:hint="eastAsia"/>
                <w:color w:val="000000"/>
                <w:kern w:val="0"/>
              </w:rPr>
              <w:t>0.24%</w:t>
            </w:r>
          </w:p>
        </w:tc>
        <w:tc>
          <w:tcPr>
            <w:tcW w:w="1304" w:type="dxa"/>
            <w:noWrap/>
          </w:tcPr>
          <w:p w14:paraId="0B308704" w14:textId="77777777" w:rsidR="00165C9E" w:rsidRDefault="00000000">
            <w:pPr>
              <w:widowControl/>
              <w:spacing w:line="360" w:lineRule="exact"/>
              <w:ind w:firstLineChars="200" w:firstLine="420"/>
              <w:jc w:val="center"/>
              <w:rPr>
                <w:rFonts w:ascii="宋体" w:hAnsi="宋体" w:cs="宋体"/>
                <w:color w:val="000000"/>
                <w:kern w:val="0"/>
              </w:rPr>
            </w:pPr>
            <w:r>
              <w:rPr>
                <w:rFonts w:ascii="宋体" w:hAnsi="宋体" w:cs="宋体" w:hint="eastAsia"/>
                <w:color w:val="000000"/>
                <w:kern w:val="0"/>
              </w:rPr>
              <w:t>0.10%</w:t>
            </w:r>
          </w:p>
        </w:tc>
        <w:tc>
          <w:tcPr>
            <w:tcW w:w="1304" w:type="dxa"/>
            <w:noWrap/>
          </w:tcPr>
          <w:p w14:paraId="5FB84A5E" w14:textId="77777777" w:rsidR="00165C9E" w:rsidRDefault="00000000">
            <w:pPr>
              <w:widowControl/>
              <w:spacing w:line="360" w:lineRule="exact"/>
              <w:ind w:firstLineChars="200" w:firstLine="420"/>
              <w:jc w:val="center"/>
              <w:rPr>
                <w:rFonts w:ascii="宋体" w:hAnsi="宋体" w:cs="宋体"/>
                <w:color w:val="000000"/>
                <w:kern w:val="0"/>
              </w:rPr>
            </w:pPr>
            <w:r>
              <w:rPr>
                <w:rFonts w:ascii="宋体" w:hAnsi="宋体" w:cs="宋体" w:hint="eastAsia"/>
                <w:color w:val="000000"/>
                <w:kern w:val="0"/>
              </w:rPr>
              <w:t>0.11%</w:t>
            </w:r>
          </w:p>
        </w:tc>
        <w:tc>
          <w:tcPr>
            <w:tcW w:w="1304" w:type="dxa"/>
            <w:noWrap/>
          </w:tcPr>
          <w:p w14:paraId="3C09CE8B" w14:textId="77777777" w:rsidR="00165C9E" w:rsidRDefault="00000000">
            <w:pPr>
              <w:widowControl/>
              <w:spacing w:line="360" w:lineRule="exact"/>
              <w:ind w:firstLineChars="200" w:firstLine="420"/>
              <w:jc w:val="center"/>
              <w:rPr>
                <w:rFonts w:ascii="宋体" w:hAnsi="宋体" w:cs="宋体"/>
                <w:color w:val="000000"/>
                <w:kern w:val="0"/>
              </w:rPr>
            </w:pPr>
            <w:r>
              <w:rPr>
                <w:rFonts w:ascii="宋体" w:hAnsi="宋体" w:cs="宋体" w:hint="eastAsia"/>
                <w:color w:val="000000"/>
                <w:kern w:val="0"/>
              </w:rPr>
              <w:t>0.07%</w:t>
            </w:r>
          </w:p>
        </w:tc>
      </w:tr>
      <w:tr w:rsidR="00165C9E" w14:paraId="3AB85758" w14:textId="77777777">
        <w:trPr>
          <w:trHeight w:val="300"/>
        </w:trPr>
        <w:tc>
          <w:tcPr>
            <w:tcW w:w="1928" w:type="dxa"/>
          </w:tcPr>
          <w:p w14:paraId="05AE2E8D" w14:textId="77777777" w:rsidR="00165C9E" w:rsidRDefault="00000000">
            <w:pPr>
              <w:widowControl/>
              <w:spacing w:line="360" w:lineRule="exact"/>
              <w:ind w:firstLineChars="200" w:firstLine="420"/>
              <w:jc w:val="left"/>
              <w:rPr>
                <w:rFonts w:ascii="宋体" w:hAnsi="宋体"/>
                <w:color w:val="000000"/>
                <w:kern w:val="0"/>
              </w:rPr>
            </w:pPr>
            <w:r>
              <w:rPr>
                <w:rFonts w:ascii="宋体" w:hAnsi="宋体" w:cs="宋体" w:hint="eastAsia"/>
                <w:color w:val="000000"/>
                <w:kern w:val="0"/>
              </w:rPr>
              <w:t>自筹资金</w:t>
            </w:r>
          </w:p>
        </w:tc>
        <w:tc>
          <w:tcPr>
            <w:tcW w:w="1304" w:type="dxa"/>
            <w:noWrap/>
          </w:tcPr>
          <w:p w14:paraId="063C9438" w14:textId="77777777" w:rsidR="00165C9E" w:rsidRDefault="00000000">
            <w:pPr>
              <w:widowControl/>
              <w:spacing w:line="360" w:lineRule="exact"/>
              <w:ind w:firstLineChars="200" w:firstLine="420"/>
              <w:jc w:val="center"/>
              <w:rPr>
                <w:rFonts w:ascii="宋体" w:hAnsi="宋体" w:cs="宋体"/>
                <w:color w:val="000000"/>
                <w:kern w:val="0"/>
              </w:rPr>
            </w:pPr>
            <w:r>
              <w:rPr>
                <w:rFonts w:ascii="宋体" w:hAnsi="宋体" w:cs="宋体" w:hint="eastAsia"/>
                <w:color w:val="000000"/>
                <w:kern w:val="0"/>
              </w:rPr>
              <w:t>47425</w:t>
            </w:r>
          </w:p>
        </w:tc>
        <w:tc>
          <w:tcPr>
            <w:tcW w:w="1304" w:type="dxa"/>
            <w:noWrap/>
          </w:tcPr>
          <w:p w14:paraId="5D0ED646" w14:textId="77777777" w:rsidR="00165C9E" w:rsidRDefault="00000000">
            <w:pPr>
              <w:widowControl/>
              <w:spacing w:line="360" w:lineRule="exact"/>
              <w:ind w:firstLineChars="200" w:firstLine="420"/>
              <w:jc w:val="center"/>
              <w:rPr>
                <w:rFonts w:ascii="宋体" w:hAnsi="宋体" w:cs="宋体"/>
                <w:color w:val="000000"/>
                <w:kern w:val="0"/>
              </w:rPr>
            </w:pPr>
            <w:r>
              <w:rPr>
                <w:rFonts w:ascii="宋体" w:hAnsi="宋体" w:cs="宋体" w:hint="eastAsia"/>
                <w:color w:val="000000"/>
                <w:kern w:val="0"/>
              </w:rPr>
              <w:t>50420</w:t>
            </w:r>
          </w:p>
        </w:tc>
        <w:tc>
          <w:tcPr>
            <w:tcW w:w="1304" w:type="dxa"/>
            <w:noWrap/>
          </w:tcPr>
          <w:p w14:paraId="1D3F2289" w14:textId="77777777" w:rsidR="00165C9E" w:rsidRDefault="00000000">
            <w:pPr>
              <w:widowControl/>
              <w:spacing w:line="360" w:lineRule="exact"/>
              <w:ind w:firstLineChars="200" w:firstLine="420"/>
              <w:jc w:val="center"/>
              <w:rPr>
                <w:rFonts w:ascii="宋体" w:hAnsi="宋体" w:cs="宋体"/>
                <w:color w:val="000000"/>
                <w:kern w:val="0"/>
              </w:rPr>
            </w:pPr>
            <w:r>
              <w:rPr>
                <w:rFonts w:ascii="宋体" w:hAnsi="宋体" w:cs="宋体" w:hint="eastAsia"/>
                <w:color w:val="000000"/>
                <w:kern w:val="0"/>
              </w:rPr>
              <w:t>49038</w:t>
            </w:r>
          </w:p>
        </w:tc>
        <w:tc>
          <w:tcPr>
            <w:tcW w:w="1304" w:type="dxa"/>
            <w:noWrap/>
          </w:tcPr>
          <w:p w14:paraId="1A1C92DA" w14:textId="77777777" w:rsidR="00165C9E" w:rsidRDefault="00000000">
            <w:pPr>
              <w:widowControl/>
              <w:spacing w:line="360" w:lineRule="exact"/>
              <w:ind w:firstLineChars="200" w:firstLine="420"/>
              <w:jc w:val="center"/>
              <w:rPr>
                <w:rFonts w:ascii="宋体" w:hAnsi="宋体" w:cs="宋体"/>
                <w:color w:val="000000"/>
                <w:kern w:val="0"/>
              </w:rPr>
            </w:pPr>
            <w:r>
              <w:rPr>
                <w:rFonts w:ascii="宋体" w:hAnsi="宋体" w:cs="宋体" w:hint="eastAsia"/>
                <w:color w:val="000000"/>
                <w:kern w:val="0"/>
              </w:rPr>
              <w:t>49133</w:t>
            </w:r>
          </w:p>
        </w:tc>
        <w:tc>
          <w:tcPr>
            <w:tcW w:w="1304" w:type="dxa"/>
            <w:noWrap/>
          </w:tcPr>
          <w:p w14:paraId="553A67B2" w14:textId="77777777" w:rsidR="00165C9E" w:rsidRDefault="00000000">
            <w:pPr>
              <w:widowControl/>
              <w:spacing w:line="360" w:lineRule="exact"/>
              <w:ind w:firstLineChars="200" w:firstLine="420"/>
              <w:jc w:val="center"/>
              <w:rPr>
                <w:rFonts w:ascii="宋体" w:hAnsi="宋体" w:cs="宋体"/>
                <w:color w:val="000000"/>
                <w:kern w:val="0"/>
              </w:rPr>
            </w:pPr>
            <w:r>
              <w:rPr>
                <w:rFonts w:ascii="宋体" w:hAnsi="宋体" w:cs="宋体" w:hint="eastAsia"/>
                <w:color w:val="000000"/>
                <w:kern w:val="0"/>
              </w:rPr>
              <w:t>50872</w:t>
            </w:r>
          </w:p>
        </w:tc>
        <w:tc>
          <w:tcPr>
            <w:tcW w:w="1304" w:type="dxa"/>
            <w:noWrap/>
          </w:tcPr>
          <w:p w14:paraId="3CA901D7" w14:textId="77777777" w:rsidR="00165C9E" w:rsidRDefault="00000000">
            <w:pPr>
              <w:widowControl/>
              <w:spacing w:line="360" w:lineRule="exact"/>
              <w:ind w:firstLineChars="200" w:firstLine="420"/>
              <w:jc w:val="center"/>
              <w:rPr>
                <w:rFonts w:ascii="宋体" w:hAnsi="宋体" w:cs="宋体"/>
                <w:color w:val="000000"/>
                <w:kern w:val="0"/>
              </w:rPr>
            </w:pPr>
            <w:r>
              <w:rPr>
                <w:rFonts w:ascii="宋体" w:hAnsi="宋体" w:cs="宋体" w:hint="eastAsia"/>
                <w:color w:val="000000"/>
                <w:kern w:val="0"/>
              </w:rPr>
              <w:t>55831</w:t>
            </w:r>
          </w:p>
        </w:tc>
      </w:tr>
      <w:tr w:rsidR="00165C9E" w14:paraId="5F77F84D" w14:textId="77777777">
        <w:trPr>
          <w:trHeight w:val="270"/>
        </w:trPr>
        <w:tc>
          <w:tcPr>
            <w:tcW w:w="1928" w:type="dxa"/>
          </w:tcPr>
          <w:p w14:paraId="4CFB9453" w14:textId="77777777" w:rsidR="00165C9E" w:rsidRDefault="00000000">
            <w:pPr>
              <w:widowControl/>
              <w:spacing w:line="360" w:lineRule="exact"/>
              <w:ind w:firstLineChars="200" w:firstLine="420"/>
              <w:jc w:val="left"/>
              <w:rPr>
                <w:rFonts w:ascii="宋体" w:hAnsi="宋体"/>
                <w:color w:val="000000"/>
                <w:kern w:val="0"/>
              </w:rPr>
            </w:pPr>
            <w:r>
              <w:rPr>
                <w:rFonts w:ascii="宋体" w:hAnsi="宋体" w:cs="宋体" w:hint="eastAsia"/>
                <w:color w:val="000000"/>
                <w:kern w:val="0"/>
              </w:rPr>
              <w:t>所占比重</w:t>
            </w:r>
          </w:p>
        </w:tc>
        <w:tc>
          <w:tcPr>
            <w:tcW w:w="1304" w:type="dxa"/>
            <w:noWrap/>
          </w:tcPr>
          <w:p w14:paraId="6A760752" w14:textId="77777777" w:rsidR="00165C9E" w:rsidRDefault="00000000">
            <w:pPr>
              <w:widowControl/>
              <w:spacing w:line="360" w:lineRule="exact"/>
              <w:ind w:firstLineChars="200" w:firstLine="420"/>
              <w:jc w:val="center"/>
              <w:rPr>
                <w:rFonts w:ascii="宋体" w:hAnsi="宋体" w:cs="宋体"/>
                <w:color w:val="000000"/>
                <w:kern w:val="0"/>
              </w:rPr>
            </w:pPr>
            <w:r>
              <w:rPr>
                <w:rFonts w:ascii="宋体" w:hAnsi="宋体" w:cs="宋体" w:hint="eastAsia"/>
                <w:color w:val="000000"/>
                <w:kern w:val="0"/>
              </w:rPr>
              <w:t>38.83%</w:t>
            </w:r>
          </w:p>
        </w:tc>
        <w:tc>
          <w:tcPr>
            <w:tcW w:w="1304" w:type="dxa"/>
            <w:noWrap/>
          </w:tcPr>
          <w:p w14:paraId="4D03C674" w14:textId="77777777" w:rsidR="00165C9E" w:rsidRDefault="00000000">
            <w:pPr>
              <w:widowControl/>
              <w:spacing w:line="360" w:lineRule="exact"/>
              <w:ind w:firstLineChars="200" w:firstLine="420"/>
              <w:jc w:val="center"/>
              <w:rPr>
                <w:rFonts w:ascii="宋体" w:hAnsi="宋体" w:cs="宋体"/>
                <w:color w:val="000000"/>
                <w:kern w:val="0"/>
              </w:rPr>
            </w:pPr>
            <w:r>
              <w:rPr>
                <w:rFonts w:ascii="宋体" w:hAnsi="宋体" w:cs="宋体" w:hint="eastAsia"/>
                <w:color w:val="000000"/>
                <w:kern w:val="0"/>
              </w:rPr>
              <w:t>41.33%</w:t>
            </w:r>
          </w:p>
        </w:tc>
        <w:tc>
          <w:tcPr>
            <w:tcW w:w="1304" w:type="dxa"/>
            <w:noWrap/>
          </w:tcPr>
          <w:p w14:paraId="24E13F09" w14:textId="77777777" w:rsidR="00165C9E" w:rsidRDefault="00000000">
            <w:pPr>
              <w:widowControl/>
              <w:spacing w:line="360" w:lineRule="exact"/>
              <w:ind w:firstLineChars="200" w:firstLine="420"/>
              <w:jc w:val="center"/>
              <w:rPr>
                <w:rFonts w:ascii="宋体" w:hAnsi="宋体" w:cs="宋体"/>
                <w:color w:val="000000"/>
                <w:kern w:val="0"/>
              </w:rPr>
            </w:pPr>
            <w:r>
              <w:rPr>
                <w:rFonts w:ascii="宋体" w:hAnsi="宋体" w:cs="宋体" w:hint="eastAsia"/>
                <w:color w:val="000000"/>
                <w:kern w:val="0"/>
              </w:rPr>
              <w:t>39.17%</w:t>
            </w:r>
          </w:p>
        </w:tc>
        <w:tc>
          <w:tcPr>
            <w:tcW w:w="1304" w:type="dxa"/>
            <w:noWrap/>
          </w:tcPr>
          <w:p w14:paraId="703C0F83" w14:textId="77777777" w:rsidR="00165C9E" w:rsidRDefault="00000000">
            <w:pPr>
              <w:widowControl/>
              <w:spacing w:line="360" w:lineRule="exact"/>
              <w:ind w:firstLineChars="200" w:firstLine="420"/>
              <w:jc w:val="center"/>
              <w:rPr>
                <w:rFonts w:ascii="宋体" w:hAnsi="宋体" w:cs="宋体"/>
                <w:color w:val="000000"/>
                <w:kern w:val="0"/>
              </w:rPr>
            </w:pPr>
            <w:r>
              <w:rPr>
                <w:rFonts w:ascii="宋体" w:hAnsi="宋体" w:cs="宋体" w:hint="eastAsia"/>
                <w:color w:val="000000"/>
                <w:kern w:val="0"/>
              </w:rPr>
              <w:t>34.07%</w:t>
            </w:r>
          </w:p>
        </w:tc>
        <w:tc>
          <w:tcPr>
            <w:tcW w:w="1304" w:type="dxa"/>
            <w:noWrap/>
          </w:tcPr>
          <w:p w14:paraId="4B2C0D39" w14:textId="77777777" w:rsidR="00165C9E" w:rsidRDefault="00000000">
            <w:pPr>
              <w:widowControl/>
              <w:spacing w:line="360" w:lineRule="exact"/>
              <w:ind w:firstLineChars="200" w:firstLine="420"/>
              <w:jc w:val="center"/>
              <w:rPr>
                <w:rFonts w:ascii="宋体" w:hAnsi="宋体" w:cs="宋体"/>
                <w:color w:val="000000"/>
                <w:kern w:val="0"/>
              </w:rPr>
            </w:pPr>
            <w:r>
              <w:rPr>
                <w:rFonts w:ascii="宋体" w:hAnsi="宋体" w:cs="宋体" w:hint="eastAsia"/>
                <w:color w:val="000000"/>
                <w:kern w:val="0"/>
              </w:rPr>
              <w:t>32.60%</w:t>
            </w:r>
          </w:p>
        </w:tc>
        <w:tc>
          <w:tcPr>
            <w:tcW w:w="1304" w:type="dxa"/>
            <w:noWrap/>
          </w:tcPr>
          <w:p w14:paraId="74042E7A" w14:textId="77777777" w:rsidR="00165C9E" w:rsidRDefault="00000000">
            <w:pPr>
              <w:widowControl/>
              <w:spacing w:line="360" w:lineRule="exact"/>
              <w:ind w:firstLineChars="200" w:firstLine="420"/>
              <w:jc w:val="center"/>
              <w:rPr>
                <w:rFonts w:ascii="宋体" w:hAnsi="宋体" w:cs="宋体"/>
                <w:color w:val="000000"/>
                <w:kern w:val="0"/>
              </w:rPr>
            </w:pPr>
            <w:r>
              <w:rPr>
                <w:rFonts w:ascii="宋体" w:hAnsi="宋体" w:cs="宋体" w:hint="eastAsia"/>
                <w:color w:val="000000"/>
                <w:kern w:val="0"/>
              </w:rPr>
              <w:t>33.64%</w:t>
            </w:r>
          </w:p>
        </w:tc>
      </w:tr>
      <w:tr w:rsidR="00165C9E" w14:paraId="07BA657B" w14:textId="77777777">
        <w:trPr>
          <w:trHeight w:val="555"/>
        </w:trPr>
        <w:tc>
          <w:tcPr>
            <w:tcW w:w="1928" w:type="dxa"/>
          </w:tcPr>
          <w:p w14:paraId="187D9717" w14:textId="77777777" w:rsidR="00165C9E" w:rsidRDefault="00000000">
            <w:pPr>
              <w:widowControl/>
              <w:spacing w:line="360" w:lineRule="exact"/>
              <w:ind w:firstLineChars="200" w:firstLine="420"/>
              <w:jc w:val="left"/>
              <w:rPr>
                <w:rFonts w:ascii="宋体" w:hAnsi="宋体"/>
                <w:color w:val="000000"/>
                <w:kern w:val="0"/>
              </w:rPr>
            </w:pPr>
            <w:r>
              <w:rPr>
                <w:rFonts w:ascii="宋体" w:hAnsi="宋体" w:cs="宋体" w:hint="eastAsia"/>
                <w:color w:val="000000"/>
                <w:kern w:val="0"/>
              </w:rPr>
              <w:t>其他自有资金</w:t>
            </w:r>
          </w:p>
        </w:tc>
        <w:tc>
          <w:tcPr>
            <w:tcW w:w="1304" w:type="dxa"/>
            <w:noWrap/>
          </w:tcPr>
          <w:p w14:paraId="2519FD29" w14:textId="77777777" w:rsidR="00165C9E" w:rsidRDefault="00000000">
            <w:pPr>
              <w:widowControl/>
              <w:spacing w:line="360" w:lineRule="exact"/>
              <w:ind w:firstLineChars="200" w:firstLine="420"/>
              <w:jc w:val="center"/>
              <w:rPr>
                <w:rFonts w:ascii="宋体" w:hAnsi="宋体" w:cs="宋体"/>
                <w:color w:val="000000"/>
                <w:kern w:val="0"/>
              </w:rPr>
            </w:pPr>
            <w:r>
              <w:rPr>
                <w:rFonts w:ascii="宋体" w:hAnsi="宋体" w:cs="宋体" w:hint="eastAsia"/>
                <w:color w:val="000000"/>
                <w:kern w:val="0"/>
              </w:rPr>
              <w:t>54491</w:t>
            </w:r>
          </w:p>
        </w:tc>
        <w:tc>
          <w:tcPr>
            <w:tcW w:w="1304" w:type="dxa"/>
            <w:noWrap/>
          </w:tcPr>
          <w:p w14:paraId="7111E363" w14:textId="77777777" w:rsidR="00165C9E" w:rsidRDefault="00000000">
            <w:pPr>
              <w:widowControl/>
              <w:spacing w:line="360" w:lineRule="exact"/>
              <w:ind w:firstLineChars="200" w:firstLine="420"/>
              <w:jc w:val="center"/>
              <w:rPr>
                <w:rFonts w:ascii="宋体" w:hAnsi="宋体" w:cs="宋体"/>
                <w:color w:val="000000"/>
                <w:kern w:val="0"/>
              </w:rPr>
            </w:pPr>
            <w:r>
              <w:rPr>
                <w:rFonts w:ascii="宋体" w:hAnsi="宋体" w:cs="宋体" w:hint="eastAsia"/>
                <w:color w:val="000000"/>
                <w:kern w:val="0"/>
              </w:rPr>
              <w:t>49690</w:t>
            </w:r>
          </w:p>
        </w:tc>
        <w:tc>
          <w:tcPr>
            <w:tcW w:w="1304" w:type="dxa"/>
            <w:noWrap/>
          </w:tcPr>
          <w:p w14:paraId="564D3078" w14:textId="77777777" w:rsidR="00165C9E" w:rsidRDefault="00000000">
            <w:pPr>
              <w:widowControl/>
              <w:spacing w:line="360" w:lineRule="exact"/>
              <w:ind w:firstLineChars="200" w:firstLine="420"/>
              <w:jc w:val="center"/>
              <w:rPr>
                <w:rFonts w:ascii="宋体" w:hAnsi="宋体" w:cs="宋体"/>
                <w:color w:val="000000"/>
                <w:kern w:val="0"/>
              </w:rPr>
            </w:pPr>
            <w:r>
              <w:rPr>
                <w:rFonts w:ascii="宋体" w:hAnsi="宋体" w:cs="宋体" w:hint="eastAsia"/>
                <w:color w:val="000000"/>
                <w:kern w:val="0"/>
              </w:rPr>
              <w:t>55655</w:t>
            </w:r>
          </w:p>
        </w:tc>
        <w:tc>
          <w:tcPr>
            <w:tcW w:w="1304" w:type="dxa"/>
            <w:noWrap/>
          </w:tcPr>
          <w:p w14:paraId="6A494DD3" w14:textId="77777777" w:rsidR="00165C9E" w:rsidRDefault="00000000">
            <w:pPr>
              <w:widowControl/>
              <w:spacing w:line="360" w:lineRule="exact"/>
              <w:ind w:firstLineChars="200" w:firstLine="420"/>
              <w:jc w:val="center"/>
              <w:rPr>
                <w:rFonts w:ascii="宋体" w:hAnsi="宋体" w:cs="宋体"/>
                <w:color w:val="000000"/>
                <w:kern w:val="0"/>
              </w:rPr>
            </w:pPr>
            <w:r>
              <w:rPr>
                <w:rFonts w:ascii="宋体" w:hAnsi="宋体" w:cs="宋体" w:hint="eastAsia"/>
                <w:color w:val="000000"/>
                <w:kern w:val="0"/>
              </w:rPr>
              <w:t>73428</w:t>
            </w:r>
          </w:p>
        </w:tc>
        <w:tc>
          <w:tcPr>
            <w:tcW w:w="1304" w:type="dxa"/>
            <w:noWrap/>
          </w:tcPr>
          <w:p w14:paraId="193B7684" w14:textId="77777777" w:rsidR="00165C9E" w:rsidRDefault="00000000">
            <w:pPr>
              <w:widowControl/>
              <w:spacing w:line="360" w:lineRule="exact"/>
              <w:ind w:firstLineChars="200" w:firstLine="420"/>
              <w:jc w:val="center"/>
              <w:rPr>
                <w:rFonts w:ascii="宋体" w:hAnsi="宋体" w:cs="宋体"/>
                <w:color w:val="000000"/>
                <w:kern w:val="0"/>
              </w:rPr>
            </w:pPr>
            <w:r>
              <w:rPr>
                <w:rFonts w:ascii="宋体" w:hAnsi="宋体" w:cs="宋体" w:hint="eastAsia"/>
                <w:color w:val="000000"/>
                <w:kern w:val="0"/>
              </w:rPr>
              <w:t>79770</w:t>
            </w:r>
          </w:p>
        </w:tc>
        <w:tc>
          <w:tcPr>
            <w:tcW w:w="1304" w:type="dxa"/>
            <w:noWrap/>
          </w:tcPr>
          <w:p w14:paraId="193E57C8" w14:textId="77777777" w:rsidR="00165C9E" w:rsidRDefault="00000000">
            <w:pPr>
              <w:widowControl/>
              <w:spacing w:line="360" w:lineRule="exact"/>
              <w:ind w:firstLineChars="200" w:firstLine="420"/>
              <w:jc w:val="center"/>
              <w:rPr>
                <w:rFonts w:ascii="宋体" w:hAnsi="宋体" w:cs="宋体"/>
                <w:color w:val="000000"/>
                <w:kern w:val="0"/>
              </w:rPr>
            </w:pPr>
            <w:r>
              <w:rPr>
                <w:rFonts w:ascii="宋体" w:hAnsi="宋体" w:cs="宋体" w:hint="eastAsia"/>
                <w:color w:val="000000"/>
                <w:kern w:val="0"/>
              </w:rPr>
              <w:t>86020</w:t>
            </w:r>
          </w:p>
        </w:tc>
      </w:tr>
      <w:tr w:rsidR="00165C9E" w14:paraId="59FFBCED" w14:textId="77777777">
        <w:trPr>
          <w:trHeight w:val="270"/>
        </w:trPr>
        <w:tc>
          <w:tcPr>
            <w:tcW w:w="1928" w:type="dxa"/>
          </w:tcPr>
          <w:p w14:paraId="14D3E0A6" w14:textId="77777777" w:rsidR="00165C9E" w:rsidRDefault="00000000">
            <w:pPr>
              <w:widowControl/>
              <w:spacing w:line="360" w:lineRule="exact"/>
              <w:ind w:firstLineChars="200" w:firstLine="420"/>
              <w:jc w:val="left"/>
              <w:rPr>
                <w:rFonts w:ascii="宋体" w:hAnsi="宋体"/>
                <w:color w:val="000000"/>
                <w:kern w:val="0"/>
              </w:rPr>
            </w:pPr>
            <w:r>
              <w:rPr>
                <w:rFonts w:ascii="宋体" w:hAnsi="宋体" w:cs="宋体" w:hint="eastAsia"/>
                <w:color w:val="000000"/>
                <w:kern w:val="0"/>
              </w:rPr>
              <w:t>所占比重</w:t>
            </w:r>
          </w:p>
        </w:tc>
        <w:tc>
          <w:tcPr>
            <w:tcW w:w="1304" w:type="dxa"/>
            <w:noWrap/>
          </w:tcPr>
          <w:p w14:paraId="1F5E064A" w14:textId="77777777" w:rsidR="00165C9E" w:rsidRDefault="00000000">
            <w:pPr>
              <w:widowControl/>
              <w:spacing w:line="360" w:lineRule="exact"/>
              <w:ind w:firstLineChars="200" w:firstLine="420"/>
              <w:jc w:val="center"/>
              <w:rPr>
                <w:rFonts w:ascii="宋体" w:hAnsi="宋体" w:cs="宋体"/>
                <w:color w:val="000000"/>
                <w:kern w:val="0"/>
              </w:rPr>
            </w:pPr>
            <w:r>
              <w:rPr>
                <w:rFonts w:ascii="宋体" w:hAnsi="宋体" w:cs="宋体" w:hint="eastAsia"/>
                <w:color w:val="000000"/>
                <w:kern w:val="0"/>
              </w:rPr>
              <w:t>44.62%</w:t>
            </w:r>
          </w:p>
        </w:tc>
        <w:tc>
          <w:tcPr>
            <w:tcW w:w="1304" w:type="dxa"/>
            <w:noWrap/>
          </w:tcPr>
          <w:p w14:paraId="75241162" w14:textId="77777777" w:rsidR="00165C9E" w:rsidRDefault="00000000">
            <w:pPr>
              <w:widowControl/>
              <w:spacing w:line="360" w:lineRule="exact"/>
              <w:ind w:firstLineChars="200" w:firstLine="420"/>
              <w:jc w:val="center"/>
              <w:rPr>
                <w:rFonts w:ascii="宋体" w:hAnsi="宋体" w:cs="宋体"/>
                <w:color w:val="000000"/>
                <w:kern w:val="0"/>
              </w:rPr>
            </w:pPr>
            <w:r>
              <w:rPr>
                <w:rFonts w:ascii="宋体" w:hAnsi="宋体" w:cs="宋体" w:hint="eastAsia"/>
                <w:color w:val="000000"/>
                <w:kern w:val="0"/>
              </w:rPr>
              <w:t>40.73%</w:t>
            </w:r>
          </w:p>
        </w:tc>
        <w:tc>
          <w:tcPr>
            <w:tcW w:w="1304" w:type="dxa"/>
            <w:noWrap/>
          </w:tcPr>
          <w:p w14:paraId="03BBC7E7" w14:textId="77777777" w:rsidR="00165C9E" w:rsidRDefault="00000000">
            <w:pPr>
              <w:widowControl/>
              <w:spacing w:line="360" w:lineRule="exact"/>
              <w:ind w:firstLineChars="200" w:firstLine="420"/>
              <w:jc w:val="center"/>
              <w:rPr>
                <w:rFonts w:ascii="宋体" w:hAnsi="宋体" w:cs="宋体"/>
                <w:color w:val="000000"/>
                <w:kern w:val="0"/>
              </w:rPr>
            </w:pPr>
            <w:r>
              <w:rPr>
                <w:rFonts w:ascii="宋体" w:hAnsi="宋体" w:cs="宋体" w:hint="eastAsia"/>
                <w:color w:val="000000"/>
                <w:kern w:val="0"/>
              </w:rPr>
              <w:t>44.45%</w:t>
            </w:r>
          </w:p>
        </w:tc>
        <w:tc>
          <w:tcPr>
            <w:tcW w:w="1304" w:type="dxa"/>
            <w:noWrap/>
          </w:tcPr>
          <w:p w14:paraId="55F0A097" w14:textId="77777777" w:rsidR="00165C9E" w:rsidRDefault="00000000">
            <w:pPr>
              <w:widowControl/>
              <w:spacing w:line="360" w:lineRule="exact"/>
              <w:ind w:firstLineChars="200" w:firstLine="420"/>
              <w:jc w:val="center"/>
              <w:rPr>
                <w:rFonts w:ascii="宋体" w:hAnsi="宋体" w:cs="宋体"/>
                <w:color w:val="000000"/>
                <w:kern w:val="0"/>
              </w:rPr>
            </w:pPr>
            <w:r>
              <w:rPr>
                <w:rFonts w:ascii="宋体" w:hAnsi="宋体" w:cs="宋体" w:hint="eastAsia"/>
                <w:color w:val="000000"/>
                <w:kern w:val="0"/>
              </w:rPr>
              <w:t>50.92%</w:t>
            </w:r>
          </w:p>
        </w:tc>
        <w:tc>
          <w:tcPr>
            <w:tcW w:w="1304" w:type="dxa"/>
            <w:noWrap/>
          </w:tcPr>
          <w:p w14:paraId="0B4D9920" w14:textId="77777777" w:rsidR="00165C9E" w:rsidRDefault="00000000">
            <w:pPr>
              <w:widowControl/>
              <w:spacing w:line="360" w:lineRule="exact"/>
              <w:ind w:firstLineChars="200" w:firstLine="420"/>
              <w:jc w:val="center"/>
              <w:rPr>
                <w:rFonts w:ascii="宋体" w:hAnsi="宋体" w:cs="宋体"/>
                <w:color w:val="000000"/>
                <w:kern w:val="0"/>
              </w:rPr>
            </w:pPr>
            <w:r>
              <w:rPr>
                <w:rFonts w:ascii="宋体" w:hAnsi="宋体" w:cs="宋体" w:hint="eastAsia"/>
                <w:color w:val="000000"/>
                <w:kern w:val="0"/>
              </w:rPr>
              <w:t>51.12%</w:t>
            </w:r>
          </w:p>
        </w:tc>
        <w:tc>
          <w:tcPr>
            <w:tcW w:w="1304" w:type="dxa"/>
            <w:noWrap/>
          </w:tcPr>
          <w:p w14:paraId="3AF8130D" w14:textId="77777777" w:rsidR="00165C9E" w:rsidRDefault="00000000">
            <w:pPr>
              <w:widowControl/>
              <w:spacing w:line="360" w:lineRule="exact"/>
              <w:ind w:firstLineChars="200" w:firstLine="420"/>
              <w:jc w:val="center"/>
              <w:rPr>
                <w:rFonts w:ascii="宋体" w:hAnsi="宋体" w:cs="宋体"/>
                <w:color w:val="000000"/>
                <w:kern w:val="0"/>
              </w:rPr>
            </w:pPr>
            <w:r>
              <w:rPr>
                <w:rFonts w:ascii="宋体" w:hAnsi="宋体" w:cs="宋体" w:hint="eastAsia"/>
                <w:color w:val="000000"/>
                <w:kern w:val="0"/>
              </w:rPr>
              <w:t>51.83%</w:t>
            </w:r>
          </w:p>
        </w:tc>
      </w:tr>
    </w:tbl>
    <w:p w14:paraId="42FFBCD2" w14:textId="77777777" w:rsidR="00165C9E" w:rsidRDefault="00000000">
      <w:pPr>
        <w:ind w:firstLine="420"/>
        <w:rPr>
          <w:rFonts w:ascii="黑体" w:eastAsia="黑体" w:hAnsi="黑体" w:cs="宋体"/>
        </w:rPr>
      </w:pPr>
      <w:r>
        <w:rPr>
          <w:rFonts w:ascii="黑体" w:eastAsia="黑体" w:hAnsi="黑体" w:cs="宋体" w:hint="eastAsia"/>
        </w:rPr>
        <w:t>数据来源：data国家数据，中华人民共和国国家统计局（</w:t>
      </w:r>
      <w:hyperlink r:id="rId23" w:history="1">
        <w:r>
          <w:rPr>
            <w:rStyle w:val="af4"/>
            <w:rFonts w:ascii="黑体" w:eastAsia="黑体" w:hAnsi="黑体" w:cs="宋体" w:hint="eastAsia"/>
          </w:rPr>
          <w:t>http://data.stats.gov.cn/easyquery.htm?cn=C01</w:t>
        </w:r>
      </w:hyperlink>
      <w:r>
        <w:rPr>
          <w:rFonts w:ascii="黑体" w:eastAsia="黑体" w:hAnsi="黑体" w:cs="宋体" w:hint="eastAsia"/>
        </w:rPr>
        <w:t>）</w:t>
      </w:r>
    </w:p>
    <w:p w14:paraId="67FB8D44" w14:textId="77777777" w:rsidR="00165C9E" w:rsidRDefault="00000000">
      <w:pPr>
        <w:ind w:firstLine="420"/>
        <w:rPr>
          <w:rFonts w:cs="宋体"/>
          <w:sz w:val="24"/>
          <w:szCs w:val="24"/>
        </w:rPr>
      </w:pPr>
      <w:r>
        <w:rPr>
          <w:rFonts w:cs="宋体" w:hint="eastAsia"/>
          <w:sz w:val="24"/>
          <w:szCs w:val="24"/>
        </w:rPr>
        <w:t>从上面表</w:t>
      </w:r>
      <w:r>
        <w:rPr>
          <w:rFonts w:cs="宋体" w:hint="eastAsia"/>
          <w:sz w:val="24"/>
          <w:szCs w:val="24"/>
        </w:rPr>
        <w:t>2013-2018</w:t>
      </w:r>
      <w:r>
        <w:rPr>
          <w:rFonts w:cs="宋体" w:hint="eastAsia"/>
          <w:sz w:val="24"/>
          <w:szCs w:val="24"/>
        </w:rPr>
        <w:t>年当中，国内贷款融资所占比例在这</w:t>
      </w:r>
      <w:r>
        <w:rPr>
          <w:rFonts w:cs="宋体" w:hint="eastAsia"/>
          <w:sz w:val="24"/>
          <w:szCs w:val="24"/>
        </w:rPr>
        <w:t>6</w:t>
      </w:r>
      <w:r>
        <w:rPr>
          <w:rFonts w:cs="宋体" w:hint="eastAsia"/>
          <w:sz w:val="24"/>
          <w:szCs w:val="24"/>
        </w:rPr>
        <w:t>年当中比较平稳的融资所占比例</w:t>
      </w:r>
      <w:r>
        <w:rPr>
          <w:rFonts w:cs="宋体" w:hint="eastAsia"/>
          <w:sz w:val="24"/>
          <w:szCs w:val="24"/>
        </w:rPr>
        <w:t>15%</w:t>
      </w:r>
      <w:r>
        <w:rPr>
          <w:rFonts w:cs="宋体" w:hint="eastAsia"/>
          <w:sz w:val="24"/>
          <w:szCs w:val="24"/>
        </w:rPr>
        <w:t>左右，而自筹资金融资所占比例总体上看逐渐下降的，这与融资方式息息相关，比如</w:t>
      </w:r>
      <w:r>
        <w:rPr>
          <w:rFonts w:cs="宋体" w:hint="eastAsia"/>
          <w:sz w:val="24"/>
          <w:szCs w:val="24"/>
        </w:rPr>
        <w:t>2018</w:t>
      </w:r>
      <w:r>
        <w:rPr>
          <w:rFonts w:cs="宋体" w:hint="eastAsia"/>
          <w:sz w:val="24"/>
          <w:szCs w:val="24"/>
        </w:rPr>
        <w:t>年自有资金和自筹资金增加，从而改变国内贷款融资方式所占融资比例；同时随着房地产类上市企业的规模和数量快速增长，房地产企业的多种融资方式也得到迅速发展。导致这些融资方式的数据变化的原因是多样化的，比如</w:t>
      </w:r>
      <w:r>
        <w:rPr>
          <w:rFonts w:cs="宋体" w:hint="eastAsia"/>
          <w:sz w:val="24"/>
          <w:szCs w:val="24"/>
        </w:rPr>
        <w:t>2015-2016</w:t>
      </w:r>
      <w:r>
        <w:rPr>
          <w:rFonts w:cs="宋体" w:hint="eastAsia"/>
          <w:sz w:val="24"/>
          <w:szCs w:val="24"/>
        </w:rPr>
        <w:t>年，由于企业监管政策和公司债主放松，加上房地产本身市场回暖和商品房销售火卖，其他资金融资所占比例上升比较明显。同时自筹资金占比从</w:t>
      </w:r>
      <w:r>
        <w:rPr>
          <w:rFonts w:cs="宋体" w:hint="eastAsia"/>
          <w:sz w:val="24"/>
          <w:szCs w:val="24"/>
        </w:rPr>
        <w:t>39.17%</w:t>
      </w:r>
      <w:r>
        <w:rPr>
          <w:rFonts w:cs="宋体" w:hint="eastAsia"/>
          <w:sz w:val="24"/>
          <w:szCs w:val="24"/>
        </w:rPr>
        <w:t>降至到</w:t>
      </w:r>
      <w:r>
        <w:rPr>
          <w:rFonts w:cs="宋体" w:hint="eastAsia"/>
          <w:sz w:val="24"/>
          <w:szCs w:val="24"/>
        </w:rPr>
        <w:t>32.60%</w:t>
      </w:r>
      <w:r>
        <w:rPr>
          <w:rFonts w:cs="宋体" w:hint="eastAsia"/>
          <w:sz w:val="24"/>
          <w:szCs w:val="24"/>
        </w:rPr>
        <w:t>。</w:t>
      </w:r>
    </w:p>
    <w:p w14:paraId="386766C2" w14:textId="77777777" w:rsidR="00165C9E" w:rsidRDefault="00000000">
      <w:pPr>
        <w:ind w:firstLine="420"/>
        <w:rPr>
          <w:rFonts w:ascii="黑体" w:eastAsia="黑体" w:hAnsi="黑体" w:cs="黑体"/>
          <w:kern w:val="0"/>
          <w:sz w:val="28"/>
          <w:szCs w:val="28"/>
        </w:rPr>
      </w:pPr>
      <w:bookmarkStart w:id="39" w:name="_Toc33871934"/>
      <w:r>
        <w:rPr>
          <w:rFonts w:ascii="黑体" w:eastAsia="黑体" w:hAnsi="黑体" w:cs="黑体" w:hint="eastAsia"/>
          <w:kern w:val="0"/>
          <w:sz w:val="28"/>
          <w:szCs w:val="28"/>
        </w:rPr>
        <w:t>（二）降低房地产类上市公司融资成本的措施</w:t>
      </w:r>
      <w:bookmarkEnd w:id="39"/>
    </w:p>
    <w:p w14:paraId="71DE0062" w14:textId="77777777" w:rsidR="00165C9E" w:rsidRDefault="00000000">
      <w:pPr>
        <w:ind w:firstLine="420"/>
        <w:rPr>
          <w:rFonts w:cs="宋体"/>
          <w:sz w:val="24"/>
          <w:szCs w:val="24"/>
        </w:rPr>
      </w:pPr>
      <w:r>
        <w:rPr>
          <w:rFonts w:cs="宋体" w:hint="eastAsia"/>
          <w:sz w:val="24"/>
          <w:szCs w:val="24"/>
        </w:rPr>
        <w:t>本小节是针对前面万科融资方式和影响万科融资成本因素提出一些降低房地产类上市公司融资成本措施。</w:t>
      </w:r>
    </w:p>
    <w:p w14:paraId="6CC19C9F" w14:textId="77777777" w:rsidR="00165C9E" w:rsidRDefault="00000000">
      <w:pPr>
        <w:pStyle w:val="Heading30"/>
        <w:ind w:firstLineChars="200" w:firstLine="480"/>
        <w:rPr>
          <w:rFonts w:ascii="黑体" w:eastAsia="黑体" w:hAnsi="黑体" w:cs="黑体"/>
          <w:b w:val="0"/>
          <w:bCs w:val="0"/>
          <w:sz w:val="24"/>
          <w:szCs w:val="24"/>
        </w:rPr>
      </w:pPr>
      <w:bookmarkStart w:id="40" w:name="_Toc33871935"/>
      <w:bookmarkStart w:id="41" w:name="_Toc10127"/>
      <w:r>
        <w:rPr>
          <w:rFonts w:ascii="黑体" w:eastAsia="黑体" w:hAnsi="黑体" w:cs="黑体" w:hint="eastAsia"/>
          <w:b w:val="0"/>
          <w:bCs w:val="0"/>
          <w:sz w:val="24"/>
          <w:szCs w:val="24"/>
        </w:rPr>
        <w:t>1.提高公司盈利能力</w:t>
      </w:r>
      <w:bookmarkEnd w:id="40"/>
      <w:bookmarkEnd w:id="41"/>
    </w:p>
    <w:p w14:paraId="5AA264B0" w14:textId="77777777" w:rsidR="00165C9E" w:rsidRDefault="00000000">
      <w:pPr>
        <w:ind w:firstLine="420"/>
        <w:rPr>
          <w:rFonts w:cs="宋体"/>
          <w:sz w:val="24"/>
          <w:szCs w:val="24"/>
        </w:rPr>
      </w:pPr>
      <w:r>
        <w:rPr>
          <w:rFonts w:cs="宋体" w:hint="eastAsia"/>
          <w:sz w:val="24"/>
          <w:szCs w:val="24"/>
        </w:rPr>
        <w:t>提高公司的盈利能力对于企业财务、筹集资金具有促进作用，同时还可以降低企业融资成本。从宏观看，房地产类上市公司盈利能力提高后，将增强企业资金的流动性，资本结构将更加稳固，有利于促进国民经济发展。</w:t>
      </w:r>
    </w:p>
    <w:p w14:paraId="22FDA78E" w14:textId="77777777" w:rsidR="00165C9E" w:rsidRDefault="00165C9E">
      <w:pPr>
        <w:ind w:firstLine="200"/>
      </w:pPr>
    </w:p>
    <w:p w14:paraId="7811B079" w14:textId="77777777" w:rsidR="00165C9E" w:rsidRDefault="00000000">
      <w:pPr>
        <w:pStyle w:val="Heading30"/>
        <w:ind w:firstLineChars="200" w:firstLine="480"/>
        <w:rPr>
          <w:rFonts w:ascii="黑体" w:eastAsia="黑体" w:hAnsi="黑体" w:cs="黑体"/>
          <w:b w:val="0"/>
          <w:bCs w:val="0"/>
          <w:sz w:val="24"/>
          <w:szCs w:val="24"/>
        </w:rPr>
      </w:pPr>
      <w:bookmarkStart w:id="42" w:name="_Toc16551"/>
      <w:bookmarkStart w:id="43" w:name="_Toc33871936"/>
      <w:r>
        <w:rPr>
          <w:rFonts w:ascii="黑体" w:eastAsia="黑体" w:hAnsi="黑体" w:cs="黑体" w:hint="eastAsia"/>
          <w:b w:val="0"/>
          <w:bCs w:val="0"/>
          <w:sz w:val="24"/>
          <w:szCs w:val="24"/>
        </w:rPr>
        <w:lastRenderedPageBreak/>
        <w:t>2.发展多种融资方式</w:t>
      </w:r>
      <w:bookmarkEnd w:id="42"/>
      <w:bookmarkEnd w:id="43"/>
    </w:p>
    <w:p w14:paraId="59AC1382" w14:textId="77777777" w:rsidR="00165C9E" w:rsidRDefault="00000000">
      <w:pPr>
        <w:ind w:firstLine="420"/>
        <w:rPr>
          <w:rFonts w:cs="宋体"/>
          <w:sz w:val="24"/>
          <w:szCs w:val="24"/>
        </w:rPr>
      </w:pPr>
      <w:r>
        <w:rPr>
          <w:rFonts w:cs="宋体" w:hint="eastAsia"/>
          <w:sz w:val="24"/>
          <w:szCs w:val="24"/>
        </w:rPr>
        <w:t>从前面分析万科融资方式可以看到不管房地产类上市公司是选择那种融资方式都有各自优缺点，但企业应该要意识发展多种融资方式观念，同时利用自身在市场经济种的优势创新融资方式。例如，可以向万科学习发展多种融资方式，拓宽融资渠道降低企业融资成本、快速融资资本，在这过程中同时也有利于分散，促进企业项目开发正常运行。但是，企业在坚持发展融资方式同时不能操之过急，由于目前我国金融机构发展不够完善而且还要结合该公司发展特点，找到适合该企业多种融资方式。</w:t>
      </w:r>
    </w:p>
    <w:p w14:paraId="39753E50" w14:textId="77777777" w:rsidR="00165C9E" w:rsidRDefault="00000000">
      <w:pPr>
        <w:pStyle w:val="Heading30"/>
        <w:ind w:firstLineChars="200" w:firstLine="480"/>
        <w:rPr>
          <w:rFonts w:ascii="黑体" w:eastAsia="黑体" w:hAnsi="黑体" w:cs="黑体"/>
          <w:b w:val="0"/>
          <w:bCs w:val="0"/>
          <w:sz w:val="24"/>
          <w:szCs w:val="24"/>
        </w:rPr>
      </w:pPr>
      <w:bookmarkStart w:id="44" w:name="_Toc33871937"/>
      <w:bookmarkStart w:id="45" w:name="_Toc26455"/>
      <w:r>
        <w:rPr>
          <w:rFonts w:ascii="黑体" w:eastAsia="黑体" w:hAnsi="黑体" w:cs="黑体" w:hint="eastAsia"/>
          <w:b w:val="0"/>
          <w:bCs w:val="0"/>
          <w:sz w:val="24"/>
          <w:szCs w:val="24"/>
        </w:rPr>
        <w:t>3.保持良好企业和银行关系</w:t>
      </w:r>
      <w:bookmarkEnd w:id="44"/>
      <w:bookmarkEnd w:id="45"/>
    </w:p>
    <w:p w14:paraId="61E465F7" w14:textId="77777777" w:rsidR="00165C9E" w:rsidRDefault="00000000">
      <w:pPr>
        <w:ind w:firstLine="420"/>
        <w:rPr>
          <w:rFonts w:cs="宋体"/>
          <w:sz w:val="24"/>
          <w:szCs w:val="24"/>
        </w:rPr>
      </w:pPr>
      <w:r>
        <w:rPr>
          <w:rFonts w:cs="宋体" w:hint="eastAsia"/>
          <w:sz w:val="24"/>
          <w:szCs w:val="24"/>
        </w:rPr>
        <w:t>从表</w:t>
      </w:r>
      <w:r>
        <w:rPr>
          <w:rFonts w:cs="宋体"/>
          <w:sz w:val="24"/>
          <w:szCs w:val="24"/>
        </w:rPr>
        <w:t>5-2</w:t>
      </w:r>
      <w:r>
        <w:rPr>
          <w:rFonts w:cs="宋体" w:hint="eastAsia"/>
          <w:sz w:val="24"/>
          <w:szCs w:val="24"/>
        </w:rPr>
        <w:t>万科主要资金来源，我们可以看到银行贷款依然占企业融资大部分，虽然银行贷款融资便捷、成本低等特点，但是单一的融资方式，一旦企业运转不好、资金流动困难、资金短缺，将会给企业造成致命风险该企业信用度下降，并且增加企业融资成本。但因此房地产类上市公司想要降低融资成本，必须与银行保持良好关系，同时提高银行的企业信用等级。</w:t>
      </w:r>
    </w:p>
    <w:p w14:paraId="1228ABF2" w14:textId="77777777" w:rsidR="00165C9E" w:rsidRDefault="00000000">
      <w:pPr>
        <w:pStyle w:val="Heading30"/>
        <w:ind w:firstLineChars="200" w:firstLine="480"/>
        <w:rPr>
          <w:rFonts w:ascii="黑体" w:eastAsia="黑体" w:hAnsi="黑体" w:cs="黑体"/>
          <w:b w:val="0"/>
          <w:bCs w:val="0"/>
          <w:sz w:val="24"/>
          <w:szCs w:val="24"/>
        </w:rPr>
      </w:pPr>
      <w:bookmarkStart w:id="46" w:name="_Toc33871938"/>
      <w:bookmarkStart w:id="47" w:name="_Toc18061"/>
      <w:r>
        <w:rPr>
          <w:rFonts w:ascii="黑体" w:eastAsia="黑体" w:hAnsi="黑体" w:cs="黑体" w:hint="eastAsia"/>
          <w:b w:val="0"/>
          <w:bCs w:val="0"/>
          <w:sz w:val="24"/>
          <w:szCs w:val="24"/>
        </w:rPr>
        <w:t>4.降低公司资产负债率</w:t>
      </w:r>
      <w:bookmarkEnd w:id="46"/>
      <w:bookmarkEnd w:id="47"/>
    </w:p>
    <w:p w14:paraId="3D591604" w14:textId="77777777" w:rsidR="00165C9E" w:rsidRDefault="00000000">
      <w:pPr>
        <w:ind w:firstLine="420"/>
        <w:rPr>
          <w:rFonts w:cs="宋体"/>
          <w:sz w:val="24"/>
          <w:szCs w:val="24"/>
        </w:rPr>
      </w:pPr>
      <w:r>
        <w:rPr>
          <w:rFonts w:cs="宋体" w:hint="eastAsia"/>
          <w:sz w:val="24"/>
          <w:szCs w:val="24"/>
        </w:rPr>
        <w:t>不管那个行业发展，都离不开国家政策宏观调控。房地产类上市公司要想在开发项目过程中降低企业融资成本，然而需要依据国家法律法规以及制度制定相应的法律法规，并且与政府相关部门进行沟通进行完善，从中充分利用国家企业融资优惠政策，以此降低企业的融资成本。比如，进入</w:t>
      </w:r>
      <w:r>
        <w:rPr>
          <w:rFonts w:cs="宋体"/>
          <w:sz w:val="24"/>
          <w:szCs w:val="24"/>
        </w:rPr>
        <w:t>2018</w:t>
      </w:r>
      <w:r>
        <w:rPr>
          <w:rFonts w:cs="宋体" w:hint="eastAsia"/>
          <w:sz w:val="24"/>
          <w:szCs w:val="24"/>
        </w:rPr>
        <w:t>年后房地产企业融资阶段比较严厉，由于金融监管的加强与各个房企融资状况的加速分化，房地产类上市公司不得不将降负债作为国家提倡去杠杆的门槛，房地产类上市公司大部分公司开始由原先“三高一低</w:t>
      </w:r>
      <w:r>
        <w:rPr>
          <w:rFonts w:cs="宋体"/>
          <w:sz w:val="24"/>
          <w:szCs w:val="24"/>
        </w:rPr>
        <w:t>”</w:t>
      </w:r>
      <w:r>
        <w:rPr>
          <w:rFonts w:cs="宋体" w:hint="eastAsia"/>
          <w:sz w:val="24"/>
          <w:szCs w:val="24"/>
        </w:rPr>
        <w:t>高杠杆、高负债、高运转、低成本状态转向“三低一高”的核心是大幅降低负债。结合房地产类上市公司特点来说资产负债率明显是较高的，同时由于资产负债过高间接影响该企业融资能力。优化企业资产负债率与融资方式，结合融资相关理论，可以将企业资源与资金进行合理分配利用，增加资本积累是降低资产负债率最佳的方法。当该企业资产负债率低，说明该企业偿还能力强，会提高企业信用评级，从而达到降低融资成本目的。</w:t>
      </w:r>
    </w:p>
    <w:p w14:paraId="1DAE6CA6" w14:textId="77777777" w:rsidR="00165C9E" w:rsidRDefault="00000000">
      <w:pPr>
        <w:pStyle w:val="Heading30"/>
        <w:ind w:firstLineChars="200" w:firstLine="480"/>
        <w:rPr>
          <w:rFonts w:ascii="黑体" w:eastAsia="黑体" w:hAnsi="黑体" w:cs="黑体"/>
          <w:b w:val="0"/>
          <w:bCs w:val="0"/>
          <w:sz w:val="24"/>
          <w:szCs w:val="24"/>
        </w:rPr>
      </w:pPr>
      <w:bookmarkStart w:id="48" w:name="_Toc33871939"/>
      <w:bookmarkStart w:id="49" w:name="_Toc29575"/>
      <w:r>
        <w:rPr>
          <w:rFonts w:ascii="黑体" w:eastAsia="黑体" w:hAnsi="黑体" w:cs="黑体" w:hint="eastAsia"/>
          <w:b w:val="0"/>
          <w:bCs w:val="0"/>
          <w:sz w:val="24"/>
          <w:szCs w:val="24"/>
        </w:rPr>
        <w:t>5.注重对会计稳健性运用</w:t>
      </w:r>
      <w:bookmarkEnd w:id="48"/>
      <w:bookmarkEnd w:id="49"/>
    </w:p>
    <w:p w14:paraId="478AE3F0" w14:textId="77777777" w:rsidR="00165C9E" w:rsidRDefault="00000000">
      <w:pPr>
        <w:ind w:firstLine="420"/>
        <w:rPr>
          <w:rFonts w:cs="宋体"/>
          <w:sz w:val="24"/>
          <w:szCs w:val="24"/>
        </w:rPr>
      </w:pPr>
      <w:r>
        <w:rPr>
          <w:rFonts w:cs="宋体" w:hint="eastAsia"/>
          <w:sz w:val="24"/>
          <w:szCs w:val="24"/>
        </w:rPr>
        <w:t>债权人会依据该公司会计稳健原则作出判断，如果该上市公司会计越稳健，说明提供的信息越稳，信息使用者更能获取高质量的信息。因此上市公司首先要增强会计信息的稳健性认识，其次要注重对会计稳健性的运用并且在运用同时遵循会计信息稳健性，降低上市公司与债权人之间信息对称程度，同时也可能减少企业隐瞒该企业利润减少的信息。这样有利于提高债权人和银行对该企业信任，从而使资金提供方降低对其贷款率，最终降低融资成本。还有完善企业管理者的薪酬制度，万科采取的是平衡积分卡核心是依据绩效确定薪酬，在这样情况下，管理层容易为了自身利润，提高企业本年度会计利润，从而降低企业会计信息的稳健程度。针对房地产类上市公司主要是靠卖房获得主营业务收入高负债特点，提出我个人建议，将管理层薪酬分为两大部分固定薪酬和可变薪酬。固定薪酬公司依据管理层工作年限、学历和在该公司职务等因素决定薪酬。而可变薪酬部分主要依据管理层在该公司跟进的项目来计酬。如果项目时间比较长可以依据项目完成百分比来发放，周期短的可以依据项目成果来派发放薪酬，奖惩依据考勤和</w:t>
      </w:r>
      <w:r>
        <w:rPr>
          <w:rFonts w:cs="宋体" w:hint="eastAsia"/>
          <w:sz w:val="24"/>
          <w:szCs w:val="24"/>
        </w:rPr>
        <w:lastRenderedPageBreak/>
        <w:t>项目效果进行评估。这样有助于提高会计稳健性并最终降低企业融资成本目的。</w:t>
      </w:r>
    </w:p>
    <w:p w14:paraId="36573A8A" w14:textId="77777777" w:rsidR="00165C9E" w:rsidRDefault="00165C9E">
      <w:pPr>
        <w:ind w:firstLine="200"/>
      </w:pPr>
    </w:p>
    <w:p w14:paraId="4B6D9D7E" w14:textId="77777777" w:rsidR="00165C9E" w:rsidRDefault="00000000">
      <w:pPr>
        <w:pStyle w:val="Heading10"/>
        <w:spacing w:afterLines="50" w:after="156"/>
        <w:ind w:firstLineChars="200" w:firstLine="612"/>
        <w:jc w:val="left"/>
        <w:rPr>
          <w:rFonts w:ascii="黑体" w:eastAsia="黑体" w:hAnsi="黑体" w:cs="黑体"/>
          <w:sz w:val="30"/>
          <w:szCs w:val="30"/>
        </w:rPr>
      </w:pPr>
      <w:bookmarkStart w:id="50" w:name="_Toc32626"/>
      <w:bookmarkStart w:id="51" w:name="_Toc33871940"/>
      <w:r>
        <w:rPr>
          <w:rFonts w:ascii="黑体" w:eastAsia="黑体" w:hAnsi="黑体" w:cs="黑体" w:hint="eastAsia"/>
          <w:sz w:val="30"/>
          <w:szCs w:val="30"/>
        </w:rPr>
        <w:t>八、结论</w:t>
      </w:r>
      <w:bookmarkEnd w:id="50"/>
      <w:bookmarkEnd w:id="51"/>
    </w:p>
    <w:p w14:paraId="473FD10D" w14:textId="77777777" w:rsidR="00165C9E" w:rsidRDefault="00000000">
      <w:pPr>
        <w:ind w:firstLine="420"/>
        <w:rPr>
          <w:rFonts w:cs="宋体"/>
          <w:sz w:val="24"/>
          <w:szCs w:val="24"/>
        </w:rPr>
      </w:pPr>
      <w:r>
        <w:rPr>
          <w:rFonts w:cs="宋体" w:hint="eastAsia"/>
          <w:sz w:val="24"/>
          <w:szCs w:val="24"/>
        </w:rPr>
        <w:t>房地产类开发对中国国民经济的发展非常重要，但房地产类开发高度依赖融资，因此融资成本是房地产类融资不可忽视重点。本文主要针对房地产类上市公司如何降低融资成本问题，通过万科融资方式与影响万科融资成本因素展开研究分析，最终提出提高企业盈利能力、发展多种融资方式、保持良好企业与银行关系、国家宏观政策引导、降低企业资产负债率、注重会计稳健性等一些措施来降低房地产类上市公司融资成本。</w:t>
      </w:r>
    </w:p>
    <w:p w14:paraId="7643B73C" w14:textId="77777777" w:rsidR="00165C9E" w:rsidRDefault="00000000">
      <w:pPr>
        <w:ind w:firstLine="420"/>
        <w:rPr>
          <w:rFonts w:cs="宋体"/>
          <w:sz w:val="24"/>
          <w:szCs w:val="24"/>
        </w:rPr>
      </w:pPr>
      <w:r>
        <w:rPr>
          <w:rFonts w:cs="宋体" w:hint="eastAsia"/>
          <w:sz w:val="24"/>
          <w:szCs w:val="24"/>
        </w:rPr>
        <w:t>本文的研究在房地产类上市公司降低融资成本具有一定意义，但本文也存在不足之处，只是选择万科上市公司的融资方式来分析房地产类上市公司融资成本，无法全面的详细评价降低整个房地产类融资成本情况。</w:t>
      </w:r>
    </w:p>
    <w:p w14:paraId="1ED97EFF" w14:textId="77777777" w:rsidR="00165C9E" w:rsidRDefault="00000000">
      <w:pPr>
        <w:pStyle w:val="33"/>
        <w:spacing w:line="400" w:lineRule="exact"/>
        <w:jc w:val="center"/>
        <w:rPr>
          <w:rFonts w:ascii="黑体" w:eastAsia="黑体" w:hAnsi="黑体"/>
          <w:b/>
          <w:bCs/>
          <w:color w:val="FF0000"/>
          <w:sz w:val="30"/>
          <w:szCs w:val="30"/>
        </w:rPr>
      </w:pPr>
      <w:r>
        <w:rPr>
          <w:rFonts w:ascii="黑体" w:eastAsia="黑体" w:hAnsi="黑体"/>
          <w:b/>
          <w:bCs/>
          <w:color w:val="FF0000"/>
          <w:sz w:val="30"/>
          <w:szCs w:val="30"/>
        </w:rPr>
        <w:br w:type="page"/>
      </w:r>
    </w:p>
    <w:p w14:paraId="18E9BC67" w14:textId="77777777" w:rsidR="00165C9E" w:rsidRDefault="00165C9E">
      <w:pPr>
        <w:pStyle w:val="Heading10"/>
        <w:jc w:val="center"/>
        <w:rPr>
          <w:rFonts w:ascii="黑体" w:eastAsia="黑体" w:hAnsi="黑体" w:cs="黑体"/>
          <w:sz w:val="30"/>
          <w:szCs w:val="30"/>
        </w:rPr>
      </w:pPr>
      <w:bookmarkStart w:id="52" w:name="_Toc2838"/>
    </w:p>
    <w:p w14:paraId="59ED84FF" w14:textId="77777777" w:rsidR="00165C9E" w:rsidRDefault="00000000">
      <w:pPr>
        <w:pStyle w:val="Heading10"/>
        <w:jc w:val="center"/>
        <w:rPr>
          <w:rFonts w:ascii="黑体" w:eastAsia="黑体" w:hAnsi="黑体"/>
          <w:color w:val="FF0000"/>
          <w:sz w:val="30"/>
          <w:szCs w:val="30"/>
        </w:rPr>
      </w:pPr>
      <w:r>
        <w:rPr>
          <w:rFonts w:ascii="黑体" w:eastAsia="黑体" w:hAnsi="黑体" w:cs="黑体" w:hint="eastAsia"/>
          <w:sz w:val="30"/>
          <w:szCs w:val="30"/>
        </w:rPr>
        <w:t>参考文献</w:t>
      </w:r>
      <w:bookmarkEnd w:id="52"/>
    </w:p>
    <w:p w14:paraId="081412B7" w14:textId="77777777" w:rsidR="00165C9E" w:rsidRDefault="00165C9E">
      <w:pPr>
        <w:jc w:val="center"/>
        <w:rPr>
          <w:rFonts w:ascii="黑体" w:eastAsia="黑体" w:hAnsi="黑体"/>
          <w:b/>
          <w:bCs/>
          <w:color w:val="FF0000"/>
          <w:sz w:val="30"/>
          <w:szCs w:val="30"/>
        </w:rPr>
      </w:pPr>
    </w:p>
    <w:p w14:paraId="051EB56D" w14:textId="77777777" w:rsidR="00165C9E" w:rsidRDefault="00000000">
      <w:pPr>
        <w:pStyle w:val="14"/>
        <w:spacing w:line="400" w:lineRule="exact"/>
        <w:ind w:left="420" w:hangingChars="200" w:hanging="420"/>
        <w:rPr>
          <w:rFonts w:ascii="宋体" w:hAnsi="宋体" w:cs="宋体"/>
          <w:sz w:val="21"/>
          <w:szCs w:val="21"/>
        </w:rPr>
      </w:pPr>
      <w:r>
        <w:rPr>
          <w:rFonts w:ascii="宋体" w:hAnsi="宋体" w:cs="宋体" w:hint="eastAsia"/>
          <w:sz w:val="21"/>
          <w:szCs w:val="21"/>
        </w:rPr>
        <w:t>[1]曾鸿杰.房地产企业融资模式研究[D].华东理工大学,2018.</w:t>
      </w:r>
    </w:p>
    <w:p w14:paraId="0622B9E5" w14:textId="77777777" w:rsidR="00165C9E" w:rsidRDefault="00000000">
      <w:pPr>
        <w:pStyle w:val="14"/>
        <w:spacing w:line="400" w:lineRule="exact"/>
        <w:ind w:left="420" w:hangingChars="200" w:hanging="420"/>
        <w:rPr>
          <w:rFonts w:ascii="宋体" w:hAnsi="宋体" w:cs="宋体"/>
          <w:sz w:val="21"/>
          <w:szCs w:val="21"/>
        </w:rPr>
      </w:pPr>
      <w:r>
        <w:rPr>
          <w:rFonts w:ascii="宋体" w:hAnsi="宋体" w:cs="宋体" w:hint="eastAsia"/>
          <w:sz w:val="21"/>
          <w:szCs w:val="21"/>
        </w:rPr>
        <w:t>[2]岳会玉,王朋艳.房地产企业多元化融资方式研究——以万科地产为例[J].河北企业,2017(10):82-83.</w:t>
      </w:r>
    </w:p>
    <w:p w14:paraId="7D422881" w14:textId="77777777" w:rsidR="00165C9E" w:rsidRDefault="00000000">
      <w:pPr>
        <w:pStyle w:val="14"/>
        <w:spacing w:line="400" w:lineRule="exact"/>
        <w:ind w:left="420" w:hangingChars="200" w:hanging="420"/>
        <w:rPr>
          <w:rFonts w:ascii="宋体" w:hAnsi="宋体" w:cs="宋体"/>
          <w:sz w:val="21"/>
          <w:szCs w:val="21"/>
        </w:rPr>
      </w:pPr>
      <w:r>
        <w:rPr>
          <w:rFonts w:ascii="宋体" w:hAnsi="宋体" w:cs="宋体" w:hint="eastAsia"/>
          <w:sz w:val="21"/>
          <w:szCs w:val="21"/>
        </w:rPr>
        <w:t>[3]王雪.WK房地产公司融资问题研究[D].沈阳理工大学,2018.</w:t>
      </w:r>
    </w:p>
    <w:p w14:paraId="6E18E468" w14:textId="77777777" w:rsidR="00165C9E" w:rsidRDefault="00000000">
      <w:pPr>
        <w:pStyle w:val="14"/>
        <w:spacing w:line="400" w:lineRule="exact"/>
        <w:ind w:left="420" w:hangingChars="200" w:hanging="420"/>
        <w:rPr>
          <w:rFonts w:ascii="宋体" w:hAnsi="宋体" w:cs="宋体"/>
          <w:sz w:val="21"/>
          <w:szCs w:val="21"/>
        </w:rPr>
      </w:pPr>
      <w:r>
        <w:rPr>
          <w:rFonts w:ascii="宋体" w:hAnsi="宋体" w:cs="宋体" w:hint="eastAsia"/>
          <w:sz w:val="21"/>
          <w:szCs w:val="21"/>
        </w:rPr>
        <w:t>[4]武化.房企海外美元融资刷新历史纪录[J].中国房地产,2019(32):6.</w:t>
      </w:r>
    </w:p>
    <w:p w14:paraId="4BFF5A40" w14:textId="77777777" w:rsidR="00165C9E" w:rsidRDefault="00000000">
      <w:pPr>
        <w:pStyle w:val="14"/>
        <w:spacing w:line="400" w:lineRule="exact"/>
        <w:ind w:left="420" w:hangingChars="200" w:hanging="420"/>
        <w:rPr>
          <w:rFonts w:ascii="宋体" w:hAnsi="宋体" w:cs="宋体"/>
          <w:sz w:val="21"/>
          <w:szCs w:val="21"/>
        </w:rPr>
      </w:pPr>
      <w:r>
        <w:rPr>
          <w:rFonts w:ascii="宋体" w:hAnsi="宋体" w:cs="宋体" w:hint="eastAsia"/>
          <w:sz w:val="21"/>
          <w:szCs w:val="21"/>
        </w:rPr>
        <w:t>[5]钱琨.直接与间接融资成本分析[J].时代金融,2018(36):218-220.</w:t>
      </w:r>
    </w:p>
    <w:p w14:paraId="1E361574" w14:textId="77777777" w:rsidR="00165C9E" w:rsidRDefault="00000000">
      <w:pPr>
        <w:pStyle w:val="14"/>
        <w:spacing w:line="400" w:lineRule="exact"/>
        <w:ind w:left="420" w:hangingChars="200" w:hanging="420"/>
        <w:rPr>
          <w:rFonts w:ascii="宋体" w:hAnsi="宋体" w:cs="宋体"/>
          <w:sz w:val="21"/>
          <w:szCs w:val="21"/>
        </w:rPr>
      </w:pPr>
      <w:r>
        <w:rPr>
          <w:rFonts w:ascii="宋体" w:hAnsi="宋体" w:cs="宋体" w:hint="eastAsia"/>
          <w:sz w:val="21"/>
          <w:szCs w:val="21"/>
        </w:rPr>
        <w:t>[6]田浩楠.房地产融资存在的问题与对策研究——以万科地产为例[J].现代商业,2019(21):104-105.</w:t>
      </w:r>
    </w:p>
    <w:p w14:paraId="1BE1D291" w14:textId="77777777" w:rsidR="00165C9E" w:rsidRDefault="00000000">
      <w:pPr>
        <w:pStyle w:val="14"/>
        <w:spacing w:line="400" w:lineRule="exact"/>
        <w:ind w:left="420" w:hangingChars="200" w:hanging="420"/>
        <w:rPr>
          <w:rFonts w:ascii="宋体" w:hAnsi="宋体" w:cs="宋体"/>
          <w:sz w:val="21"/>
          <w:szCs w:val="21"/>
        </w:rPr>
      </w:pPr>
      <w:r>
        <w:rPr>
          <w:rFonts w:ascii="宋体" w:hAnsi="宋体" w:cs="宋体" w:hint="eastAsia"/>
          <w:sz w:val="21"/>
          <w:szCs w:val="21"/>
        </w:rPr>
        <w:t>[7]高祥宇.房地产上市企业融资策略研究[D].山东工商学院,2019.</w:t>
      </w:r>
    </w:p>
    <w:p w14:paraId="4157CCD5" w14:textId="77777777" w:rsidR="00165C9E" w:rsidRDefault="00000000">
      <w:pPr>
        <w:pStyle w:val="14"/>
        <w:spacing w:line="400" w:lineRule="exact"/>
        <w:ind w:left="420" w:hangingChars="200" w:hanging="420"/>
        <w:rPr>
          <w:rFonts w:ascii="宋体" w:hAnsi="宋体" w:cs="宋体"/>
          <w:sz w:val="21"/>
          <w:szCs w:val="21"/>
        </w:rPr>
      </w:pPr>
      <w:r>
        <w:rPr>
          <w:rFonts w:ascii="宋体" w:hAnsi="宋体" w:cs="宋体" w:hint="eastAsia"/>
          <w:sz w:val="21"/>
          <w:szCs w:val="21"/>
        </w:rPr>
        <w:t>[8]薄庚申.恒大房地产融资成本控制研究[D].云南师范大学,2019.</w:t>
      </w:r>
    </w:p>
    <w:p w14:paraId="6059DE25" w14:textId="77777777" w:rsidR="00165C9E" w:rsidRDefault="00000000">
      <w:pPr>
        <w:pStyle w:val="14"/>
        <w:spacing w:line="400" w:lineRule="exact"/>
        <w:ind w:left="420" w:hangingChars="200" w:hanging="420"/>
        <w:rPr>
          <w:rFonts w:ascii="宋体" w:hAnsi="宋体" w:cs="宋体"/>
          <w:sz w:val="21"/>
          <w:szCs w:val="21"/>
        </w:rPr>
      </w:pPr>
      <w:r>
        <w:rPr>
          <w:rFonts w:ascii="宋体" w:hAnsi="宋体" w:cs="宋体" w:hint="eastAsia"/>
          <w:sz w:val="21"/>
          <w:szCs w:val="21"/>
        </w:rPr>
        <w:t>[9]赖楠,刘一鸣.资本结构理论及研究综述[J].营销界,2019(42):56-57.</w:t>
      </w:r>
    </w:p>
    <w:p w14:paraId="72AC1851" w14:textId="77777777" w:rsidR="00165C9E" w:rsidRDefault="00000000">
      <w:pPr>
        <w:pStyle w:val="14"/>
        <w:spacing w:before="0" w:after="0" w:line="400" w:lineRule="exact"/>
        <w:ind w:left="420" w:hangingChars="200" w:hanging="420"/>
        <w:rPr>
          <w:rFonts w:ascii="宋体" w:hAnsi="宋体" w:cs="宋体"/>
          <w:sz w:val="21"/>
          <w:szCs w:val="21"/>
        </w:rPr>
      </w:pPr>
      <w:r>
        <w:rPr>
          <w:rFonts w:ascii="宋体" w:hAnsi="宋体" w:cs="宋体" w:hint="eastAsia"/>
          <w:sz w:val="21"/>
          <w:szCs w:val="21"/>
        </w:rPr>
        <w:t>[10]江婷.上市公司高管薪酬问题研究[D].广东财经大学,2017.</w:t>
      </w:r>
    </w:p>
    <w:p w14:paraId="4F2DC453" w14:textId="77777777" w:rsidR="00165C9E" w:rsidRDefault="00000000">
      <w:pPr>
        <w:pStyle w:val="14"/>
        <w:spacing w:before="0" w:after="0" w:line="400" w:lineRule="exact"/>
        <w:ind w:left="420" w:hangingChars="200" w:hanging="420"/>
        <w:rPr>
          <w:sz w:val="21"/>
          <w:szCs w:val="21"/>
        </w:rPr>
      </w:pPr>
      <w:r>
        <w:rPr>
          <w:sz w:val="21"/>
          <w:szCs w:val="21"/>
        </w:rPr>
        <w:t xml:space="preserve">[11]Hirota </w:t>
      </w:r>
      <w:r>
        <w:rPr>
          <w:rFonts w:hint="eastAsia"/>
          <w:sz w:val="21"/>
          <w:szCs w:val="21"/>
        </w:rPr>
        <w:t xml:space="preserve">, </w:t>
      </w:r>
      <w:r>
        <w:rPr>
          <w:sz w:val="21"/>
          <w:szCs w:val="21"/>
        </w:rPr>
        <w:t>SUYAMA.A</w:t>
      </w:r>
      <w:r>
        <w:rPr>
          <w:rFonts w:hint="eastAsia"/>
          <w:sz w:val="21"/>
          <w:szCs w:val="21"/>
        </w:rPr>
        <w:t xml:space="preserve">, </w:t>
      </w:r>
      <w:r>
        <w:rPr>
          <w:sz w:val="21"/>
          <w:szCs w:val="21"/>
        </w:rPr>
        <w:t xml:space="preserve"> new technology</w:t>
      </w:r>
      <w:r>
        <w:rPr>
          <w:rFonts w:hint="eastAsia"/>
          <w:sz w:val="21"/>
          <w:szCs w:val="21"/>
        </w:rPr>
        <w:t>,</w:t>
      </w:r>
      <w:r>
        <w:rPr>
          <w:sz w:val="21"/>
          <w:szCs w:val="21"/>
        </w:rPr>
        <w:t xml:space="preserve"> of financial </w:t>
      </w:r>
      <w:r>
        <w:rPr>
          <w:rFonts w:hint="eastAsia"/>
          <w:sz w:val="21"/>
          <w:szCs w:val="21"/>
        </w:rPr>
        <w:t>,</w:t>
      </w:r>
      <w:r>
        <w:rPr>
          <w:sz w:val="21"/>
          <w:szCs w:val="21"/>
        </w:rPr>
        <w:t>analysis[J].Japan</w:t>
      </w:r>
      <w:r>
        <w:rPr>
          <w:rFonts w:hint="eastAsia"/>
          <w:sz w:val="21"/>
          <w:szCs w:val="21"/>
        </w:rPr>
        <w:t>,</w:t>
      </w:r>
      <w:r>
        <w:rPr>
          <w:sz w:val="21"/>
          <w:szCs w:val="21"/>
        </w:rPr>
        <w:t xml:space="preserve"> Science</w:t>
      </w:r>
      <w:r>
        <w:rPr>
          <w:rFonts w:hint="eastAsia"/>
          <w:sz w:val="21"/>
          <w:szCs w:val="21"/>
        </w:rPr>
        <w:t>,</w:t>
      </w:r>
      <w:r>
        <w:rPr>
          <w:sz w:val="21"/>
          <w:szCs w:val="21"/>
        </w:rPr>
        <w:t xml:space="preserve"> and</w:t>
      </w:r>
    </w:p>
    <w:p w14:paraId="29D18962" w14:textId="77777777" w:rsidR="00165C9E" w:rsidRDefault="00000000">
      <w:pPr>
        <w:pStyle w:val="14"/>
        <w:spacing w:before="0" w:after="0" w:line="400" w:lineRule="exact"/>
        <w:ind w:left="420" w:hangingChars="200" w:hanging="420"/>
        <w:rPr>
          <w:sz w:val="21"/>
          <w:szCs w:val="21"/>
        </w:rPr>
      </w:pPr>
      <w:r>
        <w:rPr>
          <w:sz w:val="21"/>
          <w:szCs w:val="21"/>
        </w:rPr>
        <w:t xml:space="preserve">Technology </w:t>
      </w:r>
      <w:r>
        <w:rPr>
          <w:rFonts w:hint="eastAsia"/>
          <w:sz w:val="21"/>
          <w:szCs w:val="21"/>
        </w:rPr>
        <w:t>,</w:t>
      </w:r>
      <w:r>
        <w:rPr>
          <w:sz w:val="21"/>
          <w:szCs w:val="21"/>
        </w:rPr>
        <w:t>Agency,2010:57-62.</w:t>
      </w:r>
    </w:p>
    <w:p w14:paraId="66903749" w14:textId="77777777" w:rsidR="00165C9E" w:rsidRDefault="00000000">
      <w:pPr>
        <w:pStyle w:val="14"/>
        <w:spacing w:before="0" w:after="0" w:line="400" w:lineRule="exact"/>
        <w:ind w:left="420" w:hangingChars="200" w:hanging="420"/>
        <w:rPr>
          <w:sz w:val="21"/>
          <w:szCs w:val="21"/>
        </w:rPr>
      </w:pPr>
      <w:r>
        <w:rPr>
          <w:sz w:val="21"/>
          <w:szCs w:val="21"/>
        </w:rPr>
        <w:t>[12]Praveen</w:t>
      </w:r>
      <w:r>
        <w:rPr>
          <w:rFonts w:hint="eastAsia"/>
          <w:sz w:val="21"/>
          <w:szCs w:val="21"/>
        </w:rPr>
        <w:t xml:space="preserve">, </w:t>
      </w:r>
      <w:r>
        <w:rPr>
          <w:sz w:val="21"/>
          <w:szCs w:val="21"/>
        </w:rPr>
        <w:t xml:space="preserve">Gujjar </w:t>
      </w:r>
      <w:r>
        <w:rPr>
          <w:rFonts w:hint="eastAsia"/>
          <w:sz w:val="21"/>
          <w:szCs w:val="21"/>
        </w:rPr>
        <w:t>,</w:t>
      </w:r>
      <w:r>
        <w:rPr>
          <w:sz w:val="21"/>
          <w:szCs w:val="21"/>
        </w:rPr>
        <w:t>J, T. Manjunatha</w:t>
      </w:r>
      <w:r>
        <w:rPr>
          <w:rFonts w:hint="eastAsia"/>
          <w:sz w:val="21"/>
          <w:szCs w:val="21"/>
        </w:rPr>
        <w:t>,</w:t>
      </w:r>
      <w:r>
        <w:rPr>
          <w:sz w:val="21"/>
          <w:szCs w:val="21"/>
        </w:rPr>
        <w:t xml:space="preserve"> Profitability</w:t>
      </w:r>
      <w:r>
        <w:rPr>
          <w:rFonts w:hint="eastAsia"/>
          <w:sz w:val="21"/>
          <w:szCs w:val="21"/>
        </w:rPr>
        <w:t xml:space="preserve">, </w:t>
      </w:r>
      <w:r>
        <w:rPr>
          <w:sz w:val="21"/>
          <w:szCs w:val="21"/>
        </w:rPr>
        <w:t>analysis</w:t>
      </w:r>
      <w:r>
        <w:rPr>
          <w:rFonts w:hint="eastAsia"/>
          <w:sz w:val="21"/>
          <w:szCs w:val="21"/>
        </w:rPr>
        <w:t>,</w:t>
      </w:r>
      <w:r>
        <w:rPr>
          <w:sz w:val="21"/>
          <w:szCs w:val="21"/>
        </w:rPr>
        <w:t xml:space="preserve"> of</w:t>
      </w:r>
      <w:r>
        <w:rPr>
          <w:rFonts w:hint="eastAsia"/>
          <w:sz w:val="21"/>
          <w:szCs w:val="21"/>
        </w:rPr>
        <w:t xml:space="preserve">, </w:t>
      </w:r>
      <w:r>
        <w:rPr>
          <w:sz w:val="21"/>
          <w:szCs w:val="21"/>
        </w:rPr>
        <w:t>Indian</w:t>
      </w:r>
      <w:r>
        <w:rPr>
          <w:rFonts w:hint="eastAsia"/>
          <w:sz w:val="21"/>
          <w:szCs w:val="21"/>
        </w:rPr>
        <w:t xml:space="preserve">, </w:t>
      </w:r>
      <w:r>
        <w:rPr>
          <w:sz w:val="21"/>
          <w:szCs w:val="21"/>
        </w:rPr>
        <w:t>information</w:t>
      </w:r>
      <w:r>
        <w:rPr>
          <w:rFonts w:hint="eastAsia"/>
          <w:sz w:val="21"/>
          <w:szCs w:val="21"/>
        </w:rPr>
        <w:t>,</w:t>
      </w:r>
      <w:r>
        <w:rPr>
          <w:sz w:val="21"/>
          <w:szCs w:val="21"/>
        </w:rPr>
        <w:t xml:space="preserve"> technology companies</w:t>
      </w:r>
      <w:r>
        <w:rPr>
          <w:rFonts w:hint="eastAsia"/>
          <w:sz w:val="21"/>
          <w:szCs w:val="21"/>
        </w:rPr>
        <w:t>,</w:t>
      </w:r>
      <w:r>
        <w:rPr>
          <w:sz w:val="21"/>
          <w:szCs w:val="21"/>
        </w:rPr>
        <w:t xml:space="preserve"> using</w:t>
      </w:r>
      <w:r>
        <w:rPr>
          <w:rFonts w:hint="eastAsia"/>
          <w:sz w:val="21"/>
          <w:szCs w:val="21"/>
        </w:rPr>
        <w:t>,</w:t>
      </w:r>
      <w:r>
        <w:rPr>
          <w:sz w:val="21"/>
          <w:szCs w:val="21"/>
        </w:rPr>
        <w:t xml:space="preserve"> Dupont</w:t>
      </w:r>
      <w:r>
        <w:rPr>
          <w:rFonts w:hint="eastAsia"/>
          <w:sz w:val="21"/>
          <w:szCs w:val="21"/>
        </w:rPr>
        <w:t>,</w:t>
      </w:r>
      <w:r>
        <w:rPr>
          <w:sz w:val="21"/>
          <w:szCs w:val="21"/>
        </w:rPr>
        <w:t xml:space="preserve"> model[J]. Asian</w:t>
      </w:r>
      <w:r>
        <w:rPr>
          <w:rFonts w:hint="eastAsia"/>
          <w:sz w:val="21"/>
          <w:szCs w:val="21"/>
        </w:rPr>
        <w:t>,</w:t>
      </w:r>
      <w:r>
        <w:rPr>
          <w:sz w:val="21"/>
          <w:szCs w:val="21"/>
        </w:rPr>
        <w:t xml:space="preserve"> Journal</w:t>
      </w:r>
      <w:r>
        <w:rPr>
          <w:rFonts w:hint="eastAsia"/>
          <w:sz w:val="21"/>
          <w:szCs w:val="21"/>
        </w:rPr>
        <w:t>,</w:t>
      </w:r>
      <w:r>
        <w:rPr>
          <w:sz w:val="21"/>
          <w:szCs w:val="21"/>
        </w:rPr>
        <w:t xml:space="preserve"> of</w:t>
      </w:r>
      <w:r>
        <w:rPr>
          <w:rFonts w:hint="eastAsia"/>
          <w:sz w:val="21"/>
          <w:szCs w:val="21"/>
        </w:rPr>
        <w:t>,</w:t>
      </w:r>
      <w:r>
        <w:rPr>
          <w:sz w:val="21"/>
          <w:szCs w:val="21"/>
        </w:rPr>
        <w:t xml:space="preserve"> Management,2018,9(03):1105–1108.</w:t>
      </w:r>
    </w:p>
    <w:p w14:paraId="45A5DEAF" w14:textId="77777777" w:rsidR="00165C9E" w:rsidRDefault="00165C9E">
      <w:pPr>
        <w:spacing w:line="400" w:lineRule="exact"/>
      </w:pPr>
    </w:p>
    <w:p w14:paraId="075CC063" w14:textId="77777777" w:rsidR="00165C9E" w:rsidRDefault="00165C9E">
      <w:pPr>
        <w:spacing w:line="400" w:lineRule="exact"/>
      </w:pPr>
    </w:p>
    <w:p w14:paraId="0C4D3D28" w14:textId="77777777" w:rsidR="00165C9E" w:rsidRDefault="00165C9E">
      <w:pPr>
        <w:spacing w:line="400" w:lineRule="exact"/>
      </w:pPr>
    </w:p>
    <w:p w14:paraId="0A2FDAF0" w14:textId="77777777" w:rsidR="00165C9E" w:rsidRDefault="00165C9E">
      <w:pPr>
        <w:spacing w:line="400" w:lineRule="exact"/>
      </w:pPr>
    </w:p>
    <w:p w14:paraId="68EECD87" w14:textId="77777777" w:rsidR="00165C9E" w:rsidRDefault="00165C9E">
      <w:pPr>
        <w:spacing w:line="400" w:lineRule="exact"/>
      </w:pPr>
    </w:p>
    <w:p w14:paraId="2C4F918E" w14:textId="77777777" w:rsidR="00165C9E" w:rsidRDefault="00000000">
      <w:pPr>
        <w:pStyle w:val="33"/>
        <w:spacing w:line="400" w:lineRule="exact"/>
        <w:jc w:val="center"/>
        <w:rPr>
          <w:rFonts w:ascii="黑体" w:eastAsia="黑体" w:hAnsi="黑体"/>
          <w:b/>
          <w:bCs/>
          <w:color w:val="FF0000"/>
          <w:sz w:val="30"/>
          <w:szCs w:val="30"/>
        </w:rPr>
      </w:pPr>
      <w:r>
        <w:rPr>
          <w:rFonts w:ascii="黑体" w:eastAsia="黑体" w:hAnsi="黑体"/>
          <w:b/>
          <w:bCs/>
          <w:color w:val="FF0000"/>
          <w:sz w:val="30"/>
          <w:szCs w:val="30"/>
        </w:rPr>
        <w:br w:type="page"/>
      </w:r>
    </w:p>
    <w:p w14:paraId="038FC271" w14:textId="77777777" w:rsidR="00165C9E" w:rsidRDefault="00000000">
      <w:pPr>
        <w:pStyle w:val="Heading10"/>
        <w:jc w:val="center"/>
        <w:rPr>
          <w:rFonts w:ascii="黑体" w:eastAsia="黑体" w:hAnsi="黑体"/>
          <w:color w:val="FF0000"/>
          <w:sz w:val="30"/>
          <w:szCs w:val="30"/>
        </w:rPr>
      </w:pPr>
      <w:bookmarkStart w:id="53" w:name="_Toc25135"/>
      <w:r>
        <w:rPr>
          <w:rFonts w:ascii="黑体" w:eastAsia="黑体" w:hAnsi="黑体" w:cs="黑体" w:hint="eastAsia"/>
          <w:sz w:val="30"/>
          <w:szCs w:val="30"/>
        </w:rPr>
        <w:lastRenderedPageBreak/>
        <w:t>致谢</w:t>
      </w:r>
      <w:bookmarkEnd w:id="53"/>
    </w:p>
    <w:p w14:paraId="3D2311F6" w14:textId="77777777" w:rsidR="00165C9E" w:rsidRDefault="00165C9E">
      <w:pPr>
        <w:jc w:val="center"/>
        <w:rPr>
          <w:rFonts w:ascii="黑体" w:eastAsia="黑体" w:hAnsi="黑体"/>
          <w:b/>
          <w:bCs/>
          <w:color w:val="FF0000"/>
          <w:sz w:val="30"/>
          <w:szCs w:val="30"/>
        </w:rPr>
      </w:pPr>
    </w:p>
    <w:p w14:paraId="0574EAF4" w14:textId="77777777" w:rsidR="00165C9E" w:rsidRDefault="00000000">
      <w:pPr>
        <w:spacing w:line="400" w:lineRule="exact"/>
        <w:ind w:firstLineChars="200" w:firstLine="480"/>
        <w:rPr>
          <w:rFonts w:ascii="宋体" w:hAnsi="宋体" w:cs="宋体"/>
          <w:sz w:val="24"/>
          <w:szCs w:val="24"/>
        </w:rPr>
      </w:pPr>
      <w:r>
        <w:rPr>
          <w:rFonts w:ascii="宋体" w:hAnsi="宋体" w:cs="宋体" w:hint="eastAsia"/>
          <w:sz w:val="24"/>
          <w:szCs w:val="24"/>
        </w:rPr>
        <w:t>写论文过程中，首先我特别感谢我的导师蔡玉龙老师的热情关怀和悉心指导。论文从选题到完成的整个过程中，得到了老师的热情帮助和精心指导。老师严谨的治学态度、渊博的专业知识、敏锐的学术眼光、精益求精的精神给我留下了深刻的印象，并对我以后职业生涯有极大地促进作用。在此，谨向导师表示崇高的敬意和衷心的感谢！</w:t>
      </w:r>
    </w:p>
    <w:p w14:paraId="71664B49" w14:textId="77777777" w:rsidR="00165C9E" w:rsidRDefault="00000000">
      <w:pPr>
        <w:spacing w:line="400" w:lineRule="exact"/>
        <w:ind w:firstLineChars="200" w:firstLine="480"/>
        <w:rPr>
          <w:rFonts w:ascii="宋体" w:hAnsi="宋体" w:cs="宋体"/>
          <w:sz w:val="24"/>
          <w:szCs w:val="24"/>
        </w:rPr>
      </w:pPr>
      <w:r>
        <w:rPr>
          <w:rFonts w:ascii="宋体" w:hAnsi="宋体" w:cs="宋体" w:hint="eastAsia"/>
          <w:sz w:val="24"/>
          <w:szCs w:val="24"/>
        </w:rPr>
        <w:t>其次，我还要对学院精心授业的诸多任课老师表示崇高的敬意和在这四年的学习期间对我的关心和帮助表示由衷的感激。从他们所讲授的课程中我学到了不少专业知识和相关研究分析方法，这些方法在我研究的过程中发挥了巨大的作用，使我能够顺利完成课题的研究和论文的写作。在论文的写作过程中，也得到了许多同学的宝贵建议，在此一并致以诚挚的谢意。</w:t>
      </w:r>
    </w:p>
    <w:p w14:paraId="7C6315A5" w14:textId="77777777" w:rsidR="00165C9E" w:rsidRDefault="00000000">
      <w:pPr>
        <w:spacing w:line="400" w:lineRule="exact"/>
        <w:ind w:firstLineChars="200" w:firstLine="480"/>
        <w:rPr>
          <w:rFonts w:ascii="宋体" w:hAnsi="宋体" w:cs="宋体"/>
          <w:sz w:val="24"/>
          <w:szCs w:val="24"/>
        </w:rPr>
      </w:pPr>
      <w:r>
        <w:rPr>
          <w:rFonts w:ascii="宋体" w:hAnsi="宋体" w:cs="宋体" w:hint="eastAsia"/>
          <w:sz w:val="24"/>
          <w:szCs w:val="24"/>
        </w:rPr>
        <w:t>本文在写作过程中参考了大量的文献资料，主要文献资料已开列出来，本文的有些句子或段落引自这些参考文献。在此向所有的作者表示深深的感谢！</w:t>
      </w:r>
    </w:p>
    <w:p w14:paraId="00424AF7" w14:textId="77777777" w:rsidR="00165C9E" w:rsidRDefault="00000000">
      <w:pPr>
        <w:spacing w:line="400" w:lineRule="exact"/>
        <w:ind w:firstLineChars="200" w:firstLine="480"/>
        <w:rPr>
          <w:sz w:val="24"/>
          <w:szCs w:val="24"/>
        </w:rPr>
      </w:pPr>
      <w:r>
        <w:rPr>
          <w:rFonts w:ascii="宋体" w:hAnsi="宋体" w:cs="宋体" w:hint="eastAsia"/>
          <w:sz w:val="24"/>
          <w:szCs w:val="24"/>
        </w:rPr>
        <w:t>最后，向在百忙中抽出时间对本文进行评审并提出宝贵意见的各位专家表示衷心地感谢！</w:t>
      </w:r>
      <w:r>
        <w:rPr>
          <w:rFonts w:cs="宋体" w:hint="eastAsia"/>
          <w:sz w:val="24"/>
          <w:szCs w:val="24"/>
        </w:rPr>
        <w:t>。</w:t>
      </w:r>
    </w:p>
    <w:p w14:paraId="0A428820" w14:textId="77777777" w:rsidR="00165C9E" w:rsidRDefault="00165C9E">
      <w:pPr>
        <w:spacing w:line="400" w:lineRule="exact"/>
        <w:ind w:firstLineChars="200" w:firstLine="480"/>
        <w:rPr>
          <w:sz w:val="24"/>
          <w:szCs w:val="24"/>
        </w:rPr>
      </w:pPr>
    </w:p>
    <w:sectPr w:rsidR="00165C9E">
      <w:footerReference w:type="default" r:id="rId24"/>
      <w:footnotePr>
        <w:numFmt w:val="decimalEnclosedCircleChinese"/>
      </w:footnotePr>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139E67" w14:textId="77777777" w:rsidR="002B0238" w:rsidRDefault="002B0238">
      <w:r>
        <w:separator/>
      </w:r>
    </w:p>
  </w:endnote>
  <w:endnote w:type="continuationSeparator" w:id="0">
    <w:p w14:paraId="58A5BDAC" w14:textId="77777777" w:rsidR="002B0238" w:rsidRDefault="002B02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4EA6E" w14:textId="77777777" w:rsidR="00165C9E" w:rsidRDefault="00000000">
    <w:pPr>
      <w:pStyle w:val="ab"/>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FFEB2" w14:textId="77777777" w:rsidR="00165C9E" w:rsidRDefault="00000000">
    <w:pPr>
      <w:pStyle w:val="ab"/>
    </w:pPr>
    <w:r>
      <w:rPr>
        <w:noProof/>
      </w:rPr>
      <mc:AlternateContent>
        <mc:Choice Requires="wps">
          <w:drawing>
            <wp:anchor distT="0" distB="0" distL="114300" distR="114300" simplePos="0" relativeHeight="251659264" behindDoc="0" locked="0" layoutInCell="1" allowOverlap="1" wp14:anchorId="47C6280C" wp14:editId="17FB3445">
              <wp:simplePos x="0" y="0"/>
              <wp:positionH relativeFrom="margin">
                <wp:align>center</wp:align>
              </wp:positionH>
              <wp:positionV relativeFrom="paragraph">
                <wp:posOffset>0</wp:posOffset>
              </wp:positionV>
              <wp:extent cx="76200" cy="131445"/>
              <wp:effectExtent l="0" t="0" r="0" b="0"/>
              <wp:wrapNone/>
              <wp:docPr id="2" name="文本框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200" cy="131445"/>
                      </a:xfrm>
                      <a:prstGeom prst="rect">
                        <a:avLst/>
                      </a:prstGeom>
                      <a:noFill/>
                      <a:ln>
                        <a:noFill/>
                      </a:ln>
                    </wps:spPr>
                    <wps:txbx>
                      <w:txbxContent>
                        <w:p w14:paraId="5EBE7562" w14:textId="77777777" w:rsidR="00165C9E" w:rsidRDefault="00000000">
                          <w:pPr>
                            <w:pStyle w:val="ab"/>
                          </w:pPr>
                          <w:r>
                            <w:fldChar w:fldCharType="begin"/>
                          </w:r>
                          <w:r>
                            <w:instrText xml:space="preserve"> PAGE  \* MERGEFORMAT </w:instrText>
                          </w:r>
                          <w:r>
                            <w:fldChar w:fldCharType="separate"/>
                          </w:r>
                          <w:r>
                            <w:t>II</w:t>
                          </w:r>
                          <w:r>
                            <w:fldChar w:fldCharType="end"/>
                          </w:r>
                        </w:p>
                      </w:txbxContent>
                    </wps:txbx>
                    <wps:bodyPr rot="0" vert="horz" wrap="none" lIns="0" tIns="0" rIns="0" bIns="0" anchor="t" anchorCtr="0" upright="1">
                      <a:spAutoFit/>
                    </wps:bodyPr>
                  </wps:wsp>
                </a:graphicData>
              </a:graphic>
            </wp:anchor>
          </w:drawing>
        </mc:Choice>
        <mc:Fallback>
          <w:pict>
            <v:shapetype id="_x0000_t202" coordsize="21600,21600" o:spt="202" path="m,l,21600r21600,l21600,xe">
              <v:stroke joinstyle="miter"/>
              <v:path gradientshapeok="t" o:connecttype="rect"/>
            </v:shapetype>
            <v:shape id="文本框 5" o:spid="_x0000_s2049" type="#_x0000_t202" style="width:6pt;height:10.35pt;margin-top:0;margin-left:0;mso-position-horizontal:center;mso-position-horizontal-relative:margin;mso-wrap-distance-bottom:0;mso-wrap-distance-left:9pt;mso-wrap-distance-right:9pt;mso-wrap-distance-top:0;mso-wrap-style:none;position:absolute;v-text-anchor:top;z-index:251658240" filled="f" fillcolor="this" stroked="f">
              <v:textbox style="mso-fit-shape-to-text:t" inset="0,0,0,0">
                <w:txbxContent>
                  <w:p>
                    <w:pPr>
                      <w:pStyle w:val="Footer"/>
                    </w:pPr>
                    <w:r>
                      <w:fldChar w:fldCharType="begin"/>
                    </w:r>
                    <w:r>
                      <w:instrText xml:space="preserve"> PAGE  \* MERGEFORMAT </w:instrText>
                    </w:r>
                    <w:r>
                      <w:fldChar w:fldCharType="separate"/>
                    </w:r>
                    <w:r>
                      <w:t>II</w:t>
                    </w:r>
                    <w:r>
                      <w:fldChar w:fldCharType="end"/>
                    </w:r>
                  </w:p>
                </w:txbxContent>
              </v:textbox>
              <w10:wrap anchorx="margin"/>
            </v:shape>
          </w:pict>
        </mc:Fallback>
      </mc:AlternateContent>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57C6C" w14:textId="77777777" w:rsidR="00165C9E" w:rsidRDefault="00000000">
    <w:pPr>
      <w:pStyle w:val="ab"/>
    </w:pPr>
    <w:r>
      <w:rPr>
        <w:noProof/>
      </w:rPr>
      <mc:AlternateContent>
        <mc:Choice Requires="wps">
          <w:drawing>
            <wp:anchor distT="0" distB="0" distL="114300" distR="114300" simplePos="0" relativeHeight="251663360" behindDoc="0" locked="0" layoutInCell="1" allowOverlap="1" wp14:anchorId="1B1101BA" wp14:editId="767BFB0F">
              <wp:simplePos x="0" y="0"/>
              <wp:positionH relativeFrom="margin">
                <wp:align>center</wp:align>
              </wp:positionH>
              <wp:positionV relativeFrom="paragraph">
                <wp:posOffset>0</wp:posOffset>
              </wp:positionV>
              <wp:extent cx="76200" cy="131445"/>
              <wp:effectExtent l="0" t="0" r="0" b="0"/>
              <wp:wrapNone/>
              <wp:docPr id="327012580" name="文本框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200" cy="131445"/>
                      </a:xfrm>
                      <a:prstGeom prst="rect">
                        <a:avLst/>
                      </a:prstGeom>
                      <a:noFill/>
                      <a:ln>
                        <a:noFill/>
                      </a:ln>
                    </wps:spPr>
                    <wps:txbx>
                      <w:txbxContent>
                        <w:p w14:paraId="57704AED" w14:textId="77777777" w:rsidR="00165C9E" w:rsidRDefault="00000000">
                          <w:pPr>
                            <w:pStyle w:val="ab"/>
                          </w:pPr>
                          <w:r>
                            <w:fldChar w:fldCharType="begin"/>
                          </w:r>
                          <w:r>
                            <w:instrText xml:space="preserve"> PAGE  \* MERGEFORMAT </w:instrText>
                          </w:r>
                          <w:r>
                            <w:fldChar w:fldCharType="separate"/>
                          </w:r>
                          <w:r>
                            <w:t>II</w:t>
                          </w:r>
                          <w:r>
                            <w:fldChar w:fldCharType="end"/>
                          </w:r>
                        </w:p>
                      </w:txbxContent>
                    </wps:txbx>
                    <wps:bodyPr rot="0" vert="horz" wrap="none" lIns="0" tIns="0" rIns="0" bIns="0" anchor="t" anchorCtr="0" upright="1">
                      <a:spAutoFit/>
                    </wps:bodyPr>
                  </wps:wsp>
                </a:graphicData>
              </a:graphic>
            </wp:anchor>
          </w:drawing>
        </mc:Choice>
        <mc:Fallback>
          <w:pict>
            <v:shapetype id="_x0000_t202" coordsize="21600,21600" o:spt="202" path="m,l,21600r21600,l21600,xe">
              <v:stroke joinstyle="miter"/>
              <v:path gradientshapeok="t" o:connecttype="rect"/>
            </v:shapetype>
            <v:shape id="文本框 5" o:spid="_x0000_s2050" type="#_x0000_t202" style="width:6pt;height:10.35pt;margin-top:0;margin-left:0;mso-position-horizontal:center;mso-position-horizontal-relative:margin;mso-wrap-distance-bottom:0;mso-wrap-distance-left:9pt;mso-wrap-distance-right:9pt;mso-wrap-distance-top:0;mso-wrap-style:none;position:absolute;v-text-anchor:top;z-index:251662336" filled="f" fillcolor="this" stroked="f">
              <v:textbox style="mso-fit-shape-to-text:t" inset="0,0,0,0">
                <w:txbxContent>
                  <w:p>
                    <w:pPr>
                      <w:pStyle w:val="Footer"/>
                    </w:pPr>
                    <w:r>
                      <w:fldChar w:fldCharType="begin"/>
                    </w:r>
                    <w:r>
                      <w:instrText xml:space="preserve"> PAGE  \* MERGEFORMAT </w:instrText>
                    </w:r>
                    <w:r>
                      <w:fldChar w:fldCharType="separate"/>
                    </w:r>
                    <w:r>
                      <w:t>II</w:t>
                    </w:r>
                    <w:r>
                      <w:fldChar w:fldCharType="end"/>
                    </w:r>
                  </w:p>
                </w:txbxContent>
              </v:textbox>
              <w10:wrap anchorx="margin"/>
            </v:shape>
          </w:pict>
        </mc:Fallback>
      </mc:AlternateContent>
    </w:r>
    <w: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A0D72" w14:textId="77777777" w:rsidR="00165C9E" w:rsidRDefault="00000000">
    <w:pPr>
      <w:pStyle w:val="ab"/>
    </w:pPr>
    <w: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17C37" w14:textId="77777777" w:rsidR="00165C9E" w:rsidRDefault="00000000">
    <w:pPr>
      <w:pStyle w:val="ab"/>
    </w:pPr>
    <w:r>
      <w:rPr>
        <w:noProof/>
      </w:rPr>
      <mc:AlternateContent>
        <mc:Choice Requires="wps">
          <w:drawing>
            <wp:anchor distT="0" distB="0" distL="114300" distR="114300" simplePos="0" relativeHeight="251661312" behindDoc="0" locked="0" layoutInCell="1" allowOverlap="1" wp14:anchorId="0D5B5B06" wp14:editId="04BFB04D">
              <wp:simplePos x="0" y="0"/>
              <wp:positionH relativeFrom="margin">
                <wp:align>center</wp:align>
              </wp:positionH>
              <wp:positionV relativeFrom="paragraph">
                <wp:posOffset>0</wp:posOffset>
              </wp:positionV>
              <wp:extent cx="114935" cy="284480"/>
              <wp:effectExtent l="0" t="0" r="0" b="0"/>
              <wp:wrapNone/>
              <wp:docPr id="1" name="文本框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935" cy="284480"/>
                      </a:xfrm>
                      <a:prstGeom prst="rect">
                        <a:avLst/>
                      </a:prstGeom>
                      <a:noFill/>
                      <a:ln>
                        <a:noFill/>
                      </a:ln>
                    </wps:spPr>
                    <wps:txbx>
                      <w:txbxContent>
                        <w:p w14:paraId="6EA45D1D" w14:textId="77777777" w:rsidR="00165C9E" w:rsidRDefault="00000000">
                          <w:pPr>
                            <w:pStyle w:val="ab"/>
                            <w:jc w:val="center"/>
                          </w:pPr>
                          <w:r>
                            <w:fldChar w:fldCharType="begin"/>
                          </w:r>
                          <w:r>
                            <w:instrText>PAGE   \* MERGEFORMAT</w:instrText>
                          </w:r>
                          <w:r>
                            <w:fldChar w:fldCharType="separate"/>
                          </w:r>
                          <w:r>
                            <w:rPr>
                              <w:lang w:val="zh-CN"/>
                            </w:rPr>
                            <w:t>17</w:t>
                          </w:r>
                          <w:r>
                            <w:rPr>
                              <w:lang w:val="zh-CN"/>
                            </w:rPr>
                            <w:fldChar w:fldCharType="end"/>
                          </w:r>
                        </w:p>
                        <w:p w14:paraId="329517D9" w14:textId="77777777" w:rsidR="00165C9E" w:rsidRDefault="00165C9E"/>
                      </w:txbxContent>
                    </wps:txbx>
                    <wps:bodyPr rot="0" vert="horz" wrap="none" lIns="0" tIns="0" rIns="0" bIns="0" anchor="t" anchorCtr="0" upright="1">
                      <a:spAutoFit/>
                    </wps:bodyPr>
                  </wps:wsp>
                </a:graphicData>
              </a:graphic>
            </wp:anchor>
          </w:drawing>
        </mc:Choice>
        <mc:Fallback>
          <w:pict>
            <v:shapetype id="_x0000_t202" coordsize="21600,21600" o:spt="202" path="m,l,21600r21600,l21600,xe">
              <v:stroke joinstyle="miter"/>
              <v:path gradientshapeok="t" o:connecttype="rect"/>
            </v:shapetype>
            <v:shape id="文本框 20" o:spid="_x0000_s2051" type="#_x0000_t202" style="width:9.05pt;height:22.4pt;margin-top:0;margin-left:0;mso-position-horizontal:center;mso-position-horizontal-relative:margin;mso-wrap-distance-bottom:0;mso-wrap-distance-left:9pt;mso-wrap-distance-right:9pt;mso-wrap-distance-top:0;mso-wrap-style:none;position:absolute;v-text-anchor:top;z-index:251660288" filled="f" fillcolor="this" stroked="f">
              <v:textbox style="mso-fit-shape-to-text:t" inset="0,0,0,0">
                <w:txbxContent>
                  <w:p>
                    <w:pPr>
                      <w:pStyle w:val="Footer"/>
                      <w:jc w:val="center"/>
                    </w:pPr>
                    <w:r>
                      <w:fldChar w:fldCharType="begin"/>
                    </w:r>
                    <w:r>
                      <w:instrText>PAGE   \* MERGEFORMAT</w:instrText>
                    </w:r>
                    <w:r>
                      <w:fldChar w:fldCharType="separate"/>
                    </w:r>
                    <w:r>
                      <w:rPr>
                        <w:lang w:val="zh-CN"/>
                      </w:rPr>
                      <w:t>17</w:t>
                    </w:r>
                    <w:r>
                      <w:rPr>
                        <w:lang w:val="zh-CN"/>
                      </w:rPr>
                      <w:fldChar w:fldCharType="end"/>
                    </w:r>
                  </w:p>
                  <w:p/>
                </w:txbxContent>
              </v:textbox>
              <w10:wrap anchorx="margin"/>
            </v:shape>
          </w:pict>
        </mc:Fallback>
      </mc:AlternateContent>
    </w:r>
  </w:p>
  <w:p w14:paraId="60A72D2F" w14:textId="77777777" w:rsidR="00165C9E" w:rsidRDefault="00165C9E">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33D007" w14:textId="77777777" w:rsidR="002B0238" w:rsidRDefault="002B0238">
      <w:r>
        <w:separator/>
      </w:r>
    </w:p>
  </w:footnote>
  <w:footnote w:type="continuationSeparator" w:id="0">
    <w:p w14:paraId="6A204692" w14:textId="77777777" w:rsidR="002B0238" w:rsidRDefault="002B0238">
      <w:r>
        <w:continuationSeparator/>
      </w:r>
    </w:p>
  </w:footnote>
  <w:footnote w:id="1">
    <w:p w14:paraId="48DB3983" w14:textId="77777777" w:rsidR="00165C9E" w:rsidRDefault="00000000">
      <w:pPr>
        <w:pStyle w:val="af"/>
      </w:pPr>
      <w:r>
        <w:rPr>
          <w:rStyle w:val="af6"/>
        </w:rPr>
        <w:footnoteRef/>
      </w:r>
      <w:r>
        <w:rPr>
          <w:rFonts w:cs="宋体" w:hint="eastAsia"/>
          <w:sz w:val="24"/>
          <w:szCs w:val="24"/>
        </w:rPr>
        <w:t>房地产开发到位资金指一年内房地产企业实际拨入、用于房地产开发的各种货币资金，属于增量概念。</w:t>
      </w:r>
    </w:p>
  </w:footnote>
  <w:footnote w:id="2">
    <w:p w14:paraId="1D3A31A1" w14:textId="77777777" w:rsidR="00165C9E" w:rsidRDefault="00000000">
      <w:pPr>
        <w:pStyle w:val="af"/>
      </w:pPr>
      <w:r>
        <w:rPr>
          <w:rStyle w:val="af6"/>
        </w:rPr>
        <w:footnoteRef/>
      </w:r>
      <w:r>
        <w:rPr>
          <w:rFonts w:hint="eastAsia"/>
        </w:rPr>
        <w:t>岳会玉</w:t>
      </w:r>
      <w:r>
        <w:rPr>
          <w:rFonts w:hint="eastAsia"/>
        </w:rPr>
        <w:t>,</w:t>
      </w:r>
      <w:r>
        <w:rPr>
          <w:rFonts w:hint="eastAsia"/>
        </w:rPr>
        <w:t>王朋艳</w:t>
      </w:r>
      <w:r>
        <w:rPr>
          <w:rFonts w:hint="eastAsia"/>
        </w:rPr>
        <w:t>.</w:t>
      </w:r>
      <w:r>
        <w:rPr>
          <w:rFonts w:hint="eastAsia"/>
        </w:rPr>
        <w:t>房地产企业多元化融资方式研究——以万科地产为例</w:t>
      </w:r>
      <w:r>
        <w:rPr>
          <w:rFonts w:hint="eastAsia"/>
        </w:rPr>
        <w:t>[J].</w:t>
      </w:r>
      <w:r>
        <w:rPr>
          <w:rFonts w:hint="eastAsia"/>
        </w:rPr>
        <w:t>河北企业</w:t>
      </w:r>
      <w:r>
        <w:rPr>
          <w:rFonts w:hint="eastAsia"/>
        </w:rPr>
        <w:t>,2017(10):82-83.</w:t>
      </w:r>
    </w:p>
  </w:footnote>
  <w:footnote w:id="3">
    <w:p w14:paraId="5C8EBB90" w14:textId="77777777" w:rsidR="00165C9E" w:rsidRDefault="00000000">
      <w:pPr>
        <w:pStyle w:val="af"/>
      </w:pPr>
      <w:r>
        <w:rPr>
          <w:rStyle w:val="af6"/>
        </w:rPr>
        <w:footnoteRef/>
      </w:r>
      <w:r>
        <w:t xml:space="preserve"> </w:t>
      </w:r>
      <w:r>
        <w:rPr>
          <w:rFonts w:hint="eastAsia"/>
        </w:rPr>
        <w:t>王莉</w:t>
      </w:r>
      <w:r>
        <w:rPr>
          <w:rFonts w:hint="eastAsia"/>
        </w:rPr>
        <w:t>.</w:t>
      </w:r>
      <w:r>
        <w:rPr>
          <w:rFonts w:hint="eastAsia"/>
        </w:rPr>
        <w:t>万科企业股份有限公司融资方式分析</w:t>
      </w:r>
      <w:r>
        <w:rPr>
          <w:rFonts w:hint="eastAsia"/>
        </w:rPr>
        <w:t>2015</w:t>
      </w:r>
      <w:r>
        <w:rPr>
          <w:rFonts w:hint="eastAsia"/>
        </w:rPr>
        <w:t>年（百度文献）</w:t>
      </w:r>
    </w:p>
  </w:footnote>
  <w:footnote w:id="4">
    <w:p w14:paraId="6ABE677D" w14:textId="77777777" w:rsidR="00165C9E" w:rsidRDefault="00165C9E">
      <w:pPr>
        <w:pStyle w:val="af"/>
      </w:pPr>
    </w:p>
  </w:footnote>
  <w:footnote w:id="5">
    <w:p w14:paraId="259520FF" w14:textId="77777777" w:rsidR="00165C9E" w:rsidRDefault="00000000">
      <w:pPr>
        <w:pStyle w:val="af"/>
      </w:pPr>
      <w:r>
        <w:rPr>
          <w:rStyle w:val="af6"/>
        </w:rPr>
        <w:footnoteRef/>
      </w:r>
      <w:r>
        <w:t xml:space="preserve"> </w:t>
      </w:r>
      <w:r>
        <w:rPr>
          <w:rFonts w:hint="eastAsia"/>
        </w:rPr>
        <w:t>此处融资成本指的是财务成本</w:t>
      </w:r>
    </w:p>
  </w:footnote>
  <w:footnote w:id="6">
    <w:p w14:paraId="651F9068" w14:textId="77777777" w:rsidR="00165C9E" w:rsidRDefault="00000000">
      <w:pPr>
        <w:pStyle w:val="af"/>
      </w:pPr>
      <w:r>
        <w:rPr>
          <w:rStyle w:val="af6"/>
        </w:rPr>
        <w:footnoteRef/>
      </w:r>
      <w:r>
        <w:rPr>
          <w:rFonts w:hint="eastAsia"/>
        </w:rPr>
        <w:t>净资产收益率</w:t>
      </w:r>
      <w:r>
        <w:rPr>
          <w:rFonts w:hint="eastAsia"/>
        </w:rPr>
        <w:t>=</w:t>
      </w:r>
      <w:r>
        <w:rPr>
          <w:rFonts w:hint="eastAsia"/>
        </w:rPr>
        <w:t>税后利润</w:t>
      </w:r>
      <w:r>
        <w:rPr>
          <w:rFonts w:hint="eastAsia"/>
        </w:rPr>
        <w:t>/</w:t>
      </w:r>
      <w:r>
        <w:rPr>
          <w:rFonts w:hint="eastAsia"/>
        </w:rPr>
        <w:t>净资产</w:t>
      </w:r>
    </w:p>
    <w:p w14:paraId="06F3C159" w14:textId="77777777" w:rsidR="00165C9E" w:rsidRDefault="00000000">
      <w:pPr>
        <w:pStyle w:val="af"/>
      </w:pPr>
      <w:r>
        <w:rPr>
          <w:rFonts w:hint="eastAsia"/>
        </w:rPr>
        <w:t xml:space="preserve"> </w:t>
      </w:r>
      <w:r>
        <w:rPr>
          <w:rFonts w:hint="eastAsia"/>
        </w:rPr>
        <w:t>净利润率</w:t>
      </w:r>
      <w:r>
        <w:rPr>
          <w:rFonts w:hint="eastAsia"/>
        </w:rPr>
        <w:t>=</w:t>
      </w:r>
      <w:r>
        <w:rPr>
          <w:rFonts w:hint="eastAsia"/>
        </w:rPr>
        <w:t>（净利润</w:t>
      </w:r>
      <w:r>
        <w:rPr>
          <w:rFonts w:hint="eastAsia"/>
        </w:rPr>
        <w:t>/</w:t>
      </w:r>
      <w:r>
        <w:rPr>
          <w:rFonts w:hint="eastAsia"/>
        </w:rPr>
        <w:t>主营业务收入）</w:t>
      </w:r>
      <w:r>
        <w:rPr>
          <w:rFonts w:hint="eastAsia"/>
        </w:rPr>
        <w:t>*100%</w:t>
      </w:r>
    </w:p>
  </w:footnote>
  <w:footnote w:id="7">
    <w:p w14:paraId="504D2575" w14:textId="77777777" w:rsidR="00165C9E" w:rsidRDefault="00000000">
      <w:pPr>
        <w:pStyle w:val="af"/>
      </w:pPr>
      <w:r>
        <w:rPr>
          <w:rStyle w:val="af6"/>
        </w:rPr>
        <w:footnoteRef/>
      </w:r>
      <w:r>
        <w:rPr>
          <w:rFonts w:hint="eastAsia"/>
        </w:rPr>
        <w:t>每股净资产</w:t>
      </w:r>
      <w:r>
        <w:rPr>
          <w:rFonts w:hint="eastAsia"/>
        </w:rPr>
        <w:t>=</w:t>
      </w:r>
      <w:r>
        <w:rPr>
          <w:rFonts w:hint="eastAsia"/>
        </w:rPr>
        <w:t>年度末股东股益</w:t>
      </w:r>
      <w:r>
        <w:rPr>
          <w:rFonts w:hint="eastAsia"/>
        </w:rPr>
        <w:t>/</w:t>
      </w:r>
      <w:r>
        <w:rPr>
          <w:rFonts w:hint="eastAsia"/>
        </w:rPr>
        <w:t>年末未变通股股数</w:t>
      </w:r>
    </w:p>
  </w:footnote>
  <w:footnote w:id="8">
    <w:p w14:paraId="3AA2E733" w14:textId="77777777" w:rsidR="00165C9E" w:rsidRDefault="00000000">
      <w:pPr>
        <w:pStyle w:val="af"/>
      </w:pPr>
      <w:r>
        <w:rPr>
          <w:rStyle w:val="af6"/>
        </w:rPr>
        <w:footnoteRef/>
      </w:r>
      <w:r>
        <w:rPr>
          <w:rFonts w:hint="eastAsia"/>
        </w:rPr>
        <w:t>每股收益</w:t>
      </w:r>
      <w:r>
        <w:rPr>
          <w:rFonts w:hint="eastAsia"/>
        </w:rPr>
        <w:t>=</w:t>
      </w:r>
      <w:r>
        <w:rPr>
          <w:rFonts w:hint="eastAsia"/>
        </w:rPr>
        <w:t>净利润</w:t>
      </w:r>
      <w:r>
        <w:rPr>
          <w:rFonts w:hint="eastAsia"/>
        </w:rPr>
        <w:t>/</w:t>
      </w:r>
      <w:r>
        <w:rPr>
          <w:rFonts w:hint="eastAsia"/>
        </w:rPr>
        <w:t>年末普通股股数</w:t>
      </w:r>
      <w:r>
        <w:t xml:space="preserve"> </w:t>
      </w:r>
    </w:p>
    <w:p w14:paraId="168C665F" w14:textId="77777777" w:rsidR="00165C9E" w:rsidRDefault="00000000">
      <w:pPr>
        <w:pStyle w:val="af"/>
      </w:pPr>
      <w:r>
        <w:rPr>
          <w:rFonts w:hint="eastAsia"/>
        </w:rPr>
        <w:t>净资产收益率</w:t>
      </w:r>
      <w:r>
        <w:rPr>
          <w:rFonts w:hint="eastAsia"/>
        </w:rPr>
        <w:t>=</w:t>
      </w:r>
      <w:r>
        <w:rPr>
          <w:rFonts w:hint="eastAsia"/>
        </w:rPr>
        <w:t>税后利润</w:t>
      </w:r>
      <w:r>
        <w:rPr>
          <w:rFonts w:hint="eastAsia"/>
        </w:rPr>
        <w:t>/</w:t>
      </w:r>
      <w:r>
        <w:rPr>
          <w:rFonts w:hint="eastAsia"/>
        </w:rPr>
        <w:t>净资产</w:t>
      </w:r>
    </w:p>
  </w:footnote>
  <w:footnote w:id="9">
    <w:p w14:paraId="234011FF" w14:textId="77777777" w:rsidR="00165C9E" w:rsidRDefault="00000000">
      <w:pPr>
        <w:pStyle w:val="af"/>
      </w:pPr>
      <w:r>
        <w:rPr>
          <w:rStyle w:val="af6"/>
        </w:rPr>
        <w:footnoteRef/>
      </w:r>
      <w:r>
        <w:rPr>
          <w:rFonts w:hint="eastAsia"/>
        </w:rPr>
        <w:t>万科</w:t>
      </w:r>
      <w:r>
        <w:rPr>
          <w:rFonts w:hint="eastAsia"/>
        </w:rPr>
        <w:t>A</w:t>
      </w:r>
      <w:r>
        <w:rPr>
          <w:rFonts w:hint="eastAsia"/>
        </w:rPr>
        <w:t>网址：</w:t>
      </w:r>
      <w:r>
        <w:rPr>
          <w:rFonts w:hint="eastAsia"/>
        </w:rPr>
        <w:t xml:space="preserve"> </w:t>
      </w:r>
      <w:hyperlink r:id="rId1" w:history="1">
        <w:r>
          <w:rPr>
            <w:rStyle w:val="af4"/>
            <w:rFonts w:hint="eastAsia"/>
          </w:rPr>
          <w:t>http://f10.eastmoney.com/f10_v2/FinanceAnalysis.aspx?code=sz000002</w:t>
        </w:r>
      </w:hyperlink>
    </w:p>
    <w:p w14:paraId="6BFF220D" w14:textId="77777777" w:rsidR="00165C9E" w:rsidRDefault="00000000">
      <w:pPr>
        <w:pStyle w:val="af"/>
      </w:pPr>
      <w:r>
        <w:rPr>
          <w:rFonts w:hint="eastAsia"/>
        </w:rPr>
        <w:t>保利网址：</w:t>
      </w:r>
      <w:hyperlink r:id="rId2" w:history="1">
        <w:r>
          <w:rPr>
            <w:rStyle w:val="af4"/>
          </w:rPr>
          <w:t>http://f10.eastmoney.com/f10_v2/FinanceAnalysis.aspx?code=sh600048</w:t>
        </w:r>
      </w:hyperlink>
    </w:p>
    <w:p w14:paraId="35CA3254" w14:textId="77777777" w:rsidR="00165C9E" w:rsidRDefault="00000000">
      <w:pPr>
        <w:pStyle w:val="af"/>
      </w:pPr>
      <w:r>
        <w:rPr>
          <w:rFonts w:hint="eastAsia"/>
        </w:rPr>
        <w:t>招商地产：</w:t>
      </w:r>
      <w:hyperlink r:id="rId3" w:history="1">
        <w:r>
          <w:rPr>
            <w:rStyle w:val="af4"/>
          </w:rPr>
          <w:t>http://f10.eastmoney.com/f10_v2/FinanceAnalysis.aspx?code=sz001979</w:t>
        </w:r>
      </w:hyperlink>
    </w:p>
    <w:p w14:paraId="28F97FAF" w14:textId="77777777" w:rsidR="00165C9E" w:rsidRDefault="00000000">
      <w:pPr>
        <w:pStyle w:val="af"/>
      </w:pPr>
      <w:r>
        <w:rPr>
          <w:rFonts w:hint="eastAsia"/>
        </w:rPr>
        <w:t>新城控股网址：</w:t>
      </w:r>
      <w:hyperlink r:id="rId4" w:history="1">
        <w:r>
          <w:rPr>
            <w:rStyle w:val="af4"/>
          </w:rPr>
          <w:t>http://f10.eastmoney.com/f10_v2/FinanceAnalysis.aspx?code=sh601155</w:t>
        </w:r>
      </w:hyperlink>
    </w:p>
    <w:p w14:paraId="06A414C6" w14:textId="77777777" w:rsidR="00165C9E" w:rsidRDefault="00000000">
      <w:pPr>
        <w:pStyle w:val="af"/>
      </w:pPr>
      <w:r>
        <w:rPr>
          <w:rFonts w:hint="eastAsia"/>
        </w:rPr>
        <w:t>华夏幸福网址：</w:t>
      </w:r>
      <w:hyperlink r:id="rId5" w:history="1">
        <w:r>
          <w:rPr>
            <w:rStyle w:val="af4"/>
          </w:rPr>
          <w:t>http://f10.eastmoney.com/f10_v2/FinanceAnalysis.aspx?code=sh600340</w:t>
        </w:r>
      </w:hyperlink>
    </w:p>
    <w:p w14:paraId="5FBDAC3F" w14:textId="77777777" w:rsidR="00165C9E" w:rsidRDefault="00165C9E">
      <w:pPr>
        <w:pStyle w:val="af"/>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6EF3E" w14:textId="77777777" w:rsidR="00165C9E" w:rsidRDefault="00165C9E">
    <w:pPr>
      <w:pStyle w:val="ad"/>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0B05F" w14:textId="77777777" w:rsidR="00165C9E" w:rsidRDefault="00165C9E">
    <w:pPr>
      <w:pStyle w:val="ad"/>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hideSpellingErrors/>
  <w:hideGrammaticalErrors/>
  <w:defaultTabStop w:val="420"/>
  <w:doNotHyphenateCaps/>
  <w:drawingGridVerticalSpacing w:val="156"/>
  <w:displayHorizontalDrawingGridEvery w:val="0"/>
  <w:displayVerticalDrawingGridEvery w:val="2"/>
  <w:characterSpacingControl w:val="compressPunctuation"/>
  <w:noLineBreaksAfter w:lang="zh-CN" w:val="$([{£¥·‘“〈《「『【〔〖〝﹙﹛﹝＄（．［｛￡￥"/>
  <w:noLineBreaksBefore w:lang="zh-CN" w:val="!%),.:;&gt;?]}¢¨°·ˇˉ―‖’”…‰′″›℃∶、。〃〉》」』】〕〗〞︶︺︾﹀﹄﹚﹜﹞！＂％＇），．：；？］｀｜｝～￠"/>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0F0C"/>
    <w:rsid w:val="00001BD6"/>
    <w:rsid w:val="000029E6"/>
    <w:rsid w:val="0001117C"/>
    <w:rsid w:val="00011D5B"/>
    <w:rsid w:val="00012CA6"/>
    <w:rsid w:val="0002022F"/>
    <w:rsid w:val="00027F7D"/>
    <w:rsid w:val="00033CA3"/>
    <w:rsid w:val="0004355C"/>
    <w:rsid w:val="00043D00"/>
    <w:rsid w:val="000461E3"/>
    <w:rsid w:val="00050C89"/>
    <w:rsid w:val="000531BF"/>
    <w:rsid w:val="000534FB"/>
    <w:rsid w:val="00063CA0"/>
    <w:rsid w:val="0006414C"/>
    <w:rsid w:val="000663AA"/>
    <w:rsid w:val="00077F85"/>
    <w:rsid w:val="00093FFE"/>
    <w:rsid w:val="000953B1"/>
    <w:rsid w:val="00096F5C"/>
    <w:rsid w:val="000A4868"/>
    <w:rsid w:val="000B3F8E"/>
    <w:rsid w:val="000C3E63"/>
    <w:rsid w:val="000C6337"/>
    <w:rsid w:val="000D037E"/>
    <w:rsid w:val="000D06A1"/>
    <w:rsid w:val="000D2BCF"/>
    <w:rsid w:val="000D34E9"/>
    <w:rsid w:val="000E36DE"/>
    <w:rsid w:val="000E58EF"/>
    <w:rsid w:val="000F0C64"/>
    <w:rsid w:val="00121E74"/>
    <w:rsid w:val="00131A6C"/>
    <w:rsid w:val="0013506F"/>
    <w:rsid w:val="00136985"/>
    <w:rsid w:val="001445C5"/>
    <w:rsid w:val="00150670"/>
    <w:rsid w:val="0015731D"/>
    <w:rsid w:val="00160F0C"/>
    <w:rsid w:val="00161CE2"/>
    <w:rsid w:val="00165C9E"/>
    <w:rsid w:val="00171F1D"/>
    <w:rsid w:val="0018277F"/>
    <w:rsid w:val="001832D1"/>
    <w:rsid w:val="0018438A"/>
    <w:rsid w:val="0019072E"/>
    <w:rsid w:val="00192810"/>
    <w:rsid w:val="00193F79"/>
    <w:rsid w:val="00194915"/>
    <w:rsid w:val="00195597"/>
    <w:rsid w:val="00195DFB"/>
    <w:rsid w:val="001A1674"/>
    <w:rsid w:val="001A3B80"/>
    <w:rsid w:val="001A4900"/>
    <w:rsid w:val="001A5475"/>
    <w:rsid w:val="001A6DEE"/>
    <w:rsid w:val="001B1A9A"/>
    <w:rsid w:val="001B1D17"/>
    <w:rsid w:val="001C74E3"/>
    <w:rsid w:val="001D6D79"/>
    <w:rsid w:val="001E1BFC"/>
    <w:rsid w:val="001E4BA6"/>
    <w:rsid w:val="001F2115"/>
    <w:rsid w:val="001F50B8"/>
    <w:rsid w:val="001F652C"/>
    <w:rsid w:val="002030F3"/>
    <w:rsid w:val="002047D9"/>
    <w:rsid w:val="002070A8"/>
    <w:rsid w:val="002072B0"/>
    <w:rsid w:val="00211106"/>
    <w:rsid w:val="0021128A"/>
    <w:rsid w:val="00215F3F"/>
    <w:rsid w:val="002217F4"/>
    <w:rsid w:val="00224973"/>
    <w:rsid w:val="00231C9A"/>
    <w:rsid w:val="00232DCD"/>
    <w:rsid w:val="0023538B"/>
    <w:rsid w:val="0023698C"/>
    <w:rsid w:val="00237EE2"/>
    <w:rsid w:val="00241ABD"/>
    <w:rsid w:val="00242635"/>
    <w:rsid w:val="00247991"/>
    <w:rsid w:val="00250315"/>
    <w:rsid w:val="00250469"/>
    <w:rsid w:val="0026275F"/>
    <w:rsid w:val="00280A2A"/>
    <w:rsid w:val="00286AFB"/>
    <w:rsid w:val="002A3FC7"/>
    <w:rsid w:val="002B016E"/>
    <w:rsid w:val="002B0238"/>
    <w:rsid w:val="002B4EE3"/>
    <w:rsid w:val="002B6748"/>
    <w:rsid w:val="002C056B"/>
    <w:rsid w:val="002C4349"/>
    <w:rsid w:val="002D0163"/>
    <w:rsid w:val="002D082F"/>
    <w:rsid w:val="002D4B7E"/>
    <w:rsid w:val="002E618E"/>
    <w:rsid w:val="002F0604"/>
    <w:rsid w:val="002F0A9C"/>
    <w:rsid w:val="00302291"/>
    <w:rsid w:val="00304AEA"/>
    <w:rsid w:val="00305557"/>
    <w:rsid w:val="003259F8"/>
    <w:rsid w:val="00326457"/>
    <w:rsid w:val="003268F0"/>
    <w:rsid w:val="003339E0"/>
    <w:rsid w:val="00333A73"/>
    <w:rsid w:val="00347CB4"/>
    <w:rsid w:val="003507A0"/>
    <w:rsid w:val="00355012"/>
    <w:rsid w:val="003558E6"/>
    <w:rsid w:val="003674C4"/>
    <w:rsid w:val="00370E52"/>
    <w:rsid w:val="00372FD3"/>
    <w:rsid w:val="00374130"/>
    <w:rsid w:val="003822A9"/>
    <w:rsid w:val="0038370D"/>
    <w:rsid w:val="0039037F"/>
    <w:rsid w:val="0039517E"/>
    <w:rsid w:val="00395F10"/>
    <w:rsid w:val="00397C44"/>
    <w:rsid w:val="003B256C"/>
    <w:rsid w:val="003B35D2"/>
    <w:rsid w:val="003B514F"/>
    <w:rsid w:val="003B5283"/>
    <w:rsid w:val="003B5546"/>
    <w:rsid w:val="003B7498"/>
    <w:rsid w:val="003C2286"/>
    <w:rsid w:val="003C659E"/>
    <w:rsid w:val="003C6830"/>
    <w:rsid w:val="003E12B4"/>
    <w:rsid w:val="003E2341"/>
    <w:rsid w:val="00403F5D"/>
    <w:rsid w:val="0041423C"/>
    <w:rsid w:val="00415FE1"/>
    <w:rsid w:val="00425D2D"/>
    <w:rsid w:val="00430033"/>
    <w:rsid w:val="004313B1"/>
    <w:rsid w:val="004375D1"/>
    <w:rsid w:val="0044137A"/>
    <w:rsid w:val="004420A8"/>
    <w:rsid w:val="00452A31"/>
    <w:rsid w:val="00457A8E"/>
    <w:rsid w:val="004760C2"/>
    <w:rsid w:val="004827F2"/>
    <w:rsid w:val="00485D14"/>
    <w:rsid w:val="00485DFA"/>
    <w:rsid w:val="00492FA0"/>
    <w:rsid w:val="004A555A"/>
    <w:rsid w:val="004B3D6D"/>
    <w:rsid w:val="004B5D13"/>
    <w:rsid w:val="004D1F89"/>
    <w:rsid w:val="004D3040"/>
    <w:rsid w:val="004E0203"/>
    <w:rsid w:val="004E1542"/>
    <w:rsid w:val="004E692B"/>
    <w:rsid w:val="004E69C6"/>
    <w:rsid w:val="004F02CD"/>
    <w:rsid w:val="004F43AD"/>
    <w:rsid w:val="004F453C"/>
    <w:rsid w:val="004F6972"/>
    <w:rsid w:val="00501DFB"/>
    <w:rsid w:val="00513B62"/>
    <w:rsid w:val="00515CA3"/>
    <w:rsid w:val="00517576"/>
    <w:rsid w:val="00530C5C"/>
    <w:rsid w:val="005340F2"/>
    <w:rsid w:val="00536AA4"/>
    <w:rsid w:val="00536D92"/>
    <w:rsid w:val="0054160F"/>
    <w:rsid w:val="00541A9E"/>
    <w:rsid w:val="00547015"/>
    <w:rsid w:val="00552805"/>
    <w:rsid w:val="00553163"/>
    <w:rsid w:val="005566B5"/>
    <w:rsid w:val="0056778A"/>
    <w:rsid w:val="005A31FD"/>
    <w:rsid w:val="005B1D4B"/>
    <w:rsid w:val="005B289D"/>
    <w:rsid w:val="005B64F7"/>
    <w:rsid w:val="005B7C39"/>
    <w:rsid w:val="005C2549"/>
    <w:rsid w:val="005C50C8"/>
    <w:rsid w:val="005E05B7"/>
    <w:rsid w:val="005E0FD1"/>
    <w:rsid w:val="005E2CE0"/>
    <w:rsid w:val="005E39A2"/>
    <w:rsid w:val="005F24A7"/>
    <w:rsid w:val="006043FD"/>
    <w:rsid w:val="00606965"/>
    <w:rsid w:val="006107B5"/>
    <w:rsid w:val="00614BCA"/>
    <w:rsid w:val="00631F6B"/>
    <w:rsid w:val="00640B6C"/>
    <w:rsid w:val="00652396"/>
    <w:rsid w:val="00662AC3"/>
    <w:rsid w:val="00662C05"/>
    <w:rsid w:val="00665A84"/>
    <w:rsid w:val="00670FE4"/>
    <w:rsid w:val="00673D99"/>
    <w:rsid w:val="0067524F"/>
    <w:rsid w:val="00676B89"/>
    <w:rsid w:val="006802A5"/>
    <w:rsid w:val="006831B9"/>
    <w:rsid w:val="006853F6"/>
    <w:rsid w:val="00685668"/>
    <w:rsid w:val="00690572"/>
    <w:rsid w:val="0069389A"/>
    <w:rsid w:val="006A43C3"/>
    <w:rsid w:val="006A49F3"/>
    <w:rsid w:val="006B2DD4"/>
    <w:rsid w:val="006B7FD7"/>
    <w:rsid w:val="006C0A5F"/>
    <w:rsid w:val="006C21C1"/>
    <w:rsid w:val="006C2A38"/>
    <w:rsid w:val="006C3FCE"/>
    <w:rsid w:val="006D6A1C"/>
    <w:rsid w:val="006E1164"/>
    <w:rsid w:val="006E2134"/>
    <w:rsid w:val="006F3C9F"/>
    <w:rsid w:val="006F483F"/>
    <w:rsid w:val="006F566D"/>
    <w:rsid w:val="006F6315"/>
    <w:rsid w:val="00701688"/>
    <w:rsid w:val="00703FF2"/>
    <w:rsid w:val="00714158"/>
    <w:rsid w:val="0072146A"/>
    <w:rsid w:val="00722499"/>
    <w:rsid w:val="007346B7"/>
    <w:rsid w:val="007366D9"/>
    <w:rsid w:val="007367F4"/>
    <w:rsid w:val="0075312F"/>
    <w:rsid w:val="0075531D"/>
    <w:rsid w:val="0076356F"/>
    <w:rsid w:val="00766CA5"/>
    <w:rsid w:val="00773E3E"/>
    <w:rsid w:val="00776F52"/>
    <w:rsid w:val="007773D4"/>
    <w:rsid w:val="00777522"/>
    <w:rsid w:val="00783D6A"/>
    <w:rsid w:val="00785EB5"/>
    <w:rsid w:val="007861FD"/>
    <w:rsid w:val="00794554"/>
    <w:rsid w:val="0079486C"/>
    <w:rsid w:val="007A2612"/>
    <w:rsid w:val="007B2AE8"/>
    <w:rsid w:val="007B2F49"/>
    <w:rsid w:val="007B46D5"/>
    <w:rsid w:val="007B7890"/>
    <w:rsid w:val="007C17F9"/>
    <w:rsid w:val="007C1C1E"/>
    <w:rsid w:val="007C598C"/>
    <w:rsid w:val="007C7CF8"/>
    <w:rsid w:val="007D4060"/>
    <w:rsid w:val="007D4117"/>
    <w:rsid w:val="007E14E2"/>
    <w:rsid w:val="007F1A1F"/>
    <w:rsid w:val="007F304E"/>
    <w:rsid w:val="0080103B"/>
    <w:rsid w:val="00802E79"/>
    <w:rsid w:val="00815B2F"/>
    <w:rsid w:val="00816170"/>
    <w:rsid w:val="00821895"/>
    <w:rsid w:val="0082428D"/>
    <w:rsid w:val="00833226"/>
    <w:rsid w:val="008368B2"/>
    <w:rsid w:val="00840666"/>
    <w:rsid w:val="00844F1F"/>
    <w:rsid w:val="00845634"/>
    <w:rsid w:val="0085092D"/>
    <w:rsid w:val="008547DD"/>
    <w:rsid w:val="00857914"/>
    <w:rsid w:val="0086437D"/>
    <w:rsid w:val="00873AA7"/>
    <w:rsid w:val="00882291"/>
    <w:rsid w:val="00883156"/>
    <w:rsid w:val="00884946"/>
    <w:rsid w:val="00884B62"/>
    <w:rsid w:val="00886B00"/>
    <w:rsid w:val="00891D81"/>
    <w:rsid w:val="00895D9F"/>
    <w:rsid w:val="0089636C"/>
    <w:rsid w:val="00897EA4"/>
    <w:rsid w:val="008A0345"/>
    <w:rsid w:val="008A5655"/>
    <w:rsid w:val="008A61F1"/>
    <w:rsid w:val="008B1825"/>
    <w:rsid w:val="008B3AF0"/>
    <w:rsid w:val="008B3F97"/>
    <w:rsid w:val="008B54B7"/>
    <w:rsid w:val="008C1FCC"/>
    <w:rsid w:val="008C21B9"/>
    <w:rsid w:val="008D77D0"/>
    <w:rsid w:val="008E3829"/>
    <w:rsid w:val="008E405C"/>
    <w:rsid w:val="008E506A"/>
    <w:rsid w:val="008E5DF0"/>
    <w:rsid w:val="0090101B"/>
    <w:rsid w:val="00904F84"/>
    <w:rsid w:val="00914E1A"/>
    <w:rsid w:val="009320F8"/>
    <w:rsid w:val="00932218"/>
    <w:rsid w:val="009520F4"/>
    <w:rsid w:val="009533BE"/>
    <w:rsid w:val="00956003"/>
    <w:rsid w:val="0095756B"/>
    <w:rsid w:val="009708D8"/>
    <w:rsid w:val="0098640F"/>
    <w:rsid w:val="0098765E"/>
    <w:rsid w:val="00987F74"/>
    <w:rsid w:val="00991679"/>
    <w:rsid w:val="00993A4D"/>
    <w:rsid w:val="00995E77"/>
    <w:rsid w:val="00997702"/>
    <w:rsid w:val="009A203B"/>
    <w:rsid w:val="009B7B74"/>
    <w:rsid w:val="009C242A"/>
    <w:rsid w:val="009D1B88"/>
    <w:rsid w:val="009E5704"/>
    <w:rsid w:val="009F0399"/>
    <w:rsid w:val="009F30B4"/>
    <w:rsid w:val="00A04F46"/>
    <w:rsid w:val="00A14ED8"/>
    <w:rsid w:val="00A15789"/>
    <w:rsid w:val="00A15DC7"/>
    <w:rsid w:val="00A24EDC"/>
    <w:rsid w:val="00A26220"/>
    <w:rsid w:val="00A26992"/>
    <w:rsid w:val="00A33EA2"/>
    <w:rsid w:val="00A4232F"/>
    <w:rsid w:val="00A442BC"/>
    <w:rsid w:val="00A6083D"/>
    <w:rsid w:val="00A61EDB"/>
    <w:rsid w:val="00A650FB"/>
    <w:rsid w:val="00A66562"/>
    <w:rsid w:val="00A668E5"/>
    <w:rsid w:val="00A768E6"/>
    <w:rsid w:val="00A848B0"/>
    <w:rsid w:val="00A851C2"/>
    <w:rsid w:val="00AB29E5"/>
    <w:rsid w:val="00AC7372"/>
    <w:rsid w:val="00AC7922"/>
    <w:rsid w:val="00AD2107"/>
    <w:rsid w:val="00AE07D1"/>
    <w:rsid w:val="00AE1EEE"/>
    <w:rsid w:val="00AE3BE2"/>
    <w:rsid w:val="00AF1C55"/>
    <w:rsid w:val="00AF5D8E"/>
    <w:rsid w:val="00B001FD"/>
    <w:rsid w:val="00B02220"/>
    <w:rsid w:val="00B0283D"/>
    <w:rsid w:val="00B0300E"/>
    <w:rsid w:val="00B07034"/>
    <w:rsid w:val="00B12F7E"/>
    <w:rsid w:val="00B1531D"/>
    <w:rsid w:val="00B17783"/>
    <w:rsid w:val="00B26821"/>
    <w:rsid w:val="00B37B49"/>
    <w:rsid w:val="00B43B04"/>
    <w:rsid w:val="00B5525C"/>
    <w:rsid w:val="00B567F6"/>
    <w:rsid w:val="00B622C5"/>
    <w:rsid w:val="00B64450"/>
    <w:rsid w:val="00B65668"/>
    <w:rsid w:val="00B70033"/>
    <w:rsid w:val="00B73D00"/>
    <w:rsid w:val="00B76389"/>
    <w:rsid w:val="00B80C70"/>
    <w:rsid w:val="00B833A6"/>
    <w:rsid w:val="00B91597"/>
    <w:rsid w:val="00B92D8C"/>
    <w:rsid w:val="00B9555D"/>
    <w:rsid w:val="00BA6214"/>
    <w:rsid w:val="00BB7C98"/>
    <w:rsid w:val="00BC19ED"/>
    <w:rsid w:val="00BC2C4A"/>
    <w:rsid w:val="00BC6363"/>
    <w:rsid w:val="00BC66EF"/>
    <w:rsid w:val="00BD4C5F"/>
    <w:rsid w:val="00BE5D3F"/>
    <w:rsid w:val="00BF24F4"/>
    <w:rsid w:val="00C03BFD"/>
    <w:rsid w:val="00C07DD8"/>
    <w:rsid w:val="00C07F19"/>
    <w:rsid w:val="00C174EB"/>
    <w:rsid w:val="00C35636"/>
    <w:rsid w:val="00C35981"/>
    <w:rsid w:val="00C43F3D"/>
    <w:rsid w:val="00C4740D"/>
    <w:rsid w:val="00C50196"/>
    <w:rsid w:val="00C5210C"/>
    <w:rsid w:val="00C53080"/>
    <w:rsid w:val="00C5434F"/>
    <w:rsid w:val="00C54B65"/>
    <w:rsid w:val="00C704DD"/>
    <w:rsid w:val="00C709DF"/>
    <w:rsid w:val="00C8113E"/>
    <w:rsid w:val="00C82DC4"/>
    <w:rsid w:val="00C83524"/>
    <w:rsid w:val="00C8437D"/>
    <w:rsid w:val="00C86EA6"/>
    <w:rsid w:val="00C955A8"/>
    <w:rsid w:val="00CA1F3B"/>
    <w:rsid w:val="00CA23B2"/>
    <w:rsid w:val="00CA26F9"/>
    <w:rsid w:val="00CB1846"/>
    <w:rsid w:val="00CB7056"/>
    <w:rsid w:val="00CC47EC"/>
    <w:rsid w:val="00CD5C42"/>
    <w:rsid w:val="00CD6C01"/>
    <w:rsid w:val="00CE535A"/>
    <w:rsid w:val="00CF3DB0"/>
    <w:rsid w:val="00CF4768"/>
    <w:rsid w:val="00CF49CD"/>
    <w:rsid w:val="00D13459"/>
    <w:rsid w:val="00D144E4"/>
    <w:rsid w:val="00D235B8"/>
    <w:rsid w:val="00D258EE"/>
    <w:rsid w:val="00D36434"/>
    <w:rsid w:val="00D3776C"/>
    <w:rsid w:val="00D427CA"/>
    <w:rsid w:val="00D52CEF"/>
    <w:rsid w:val="00D54E3D"/>
    <w:rsid w:val="00D64D3D"/>
    <w:rsid w:val="00D74FC3"/>
    <w:rsid w:val="00D77949"/>
    <w:rsid w:val="00D80B1F"/>
    <w:rsid w:val="00D813A6"/>
    <w:rsid w:val="00D93069"/>
    <w:rsid w:val="00D95EEC"/>
    <w:rsid w:val="00DA3F83"/>
    <w:rsid w:val="00DA5FE7"/>
    <w:rsid w:val="00DC40BC"/>
    <w:rsid w:val="00DF00D7"/>
    <w:rsid w:val="00DF0AB0"/>
    <w:rsid w:val="00DF0BB1"/>
    <w:rsid w:val="00DF461B"/>
    <w:rsid w:val="00DF4FD1"/>
    <w:rsid w:val="00DF7A57"/>
    <w:rsid w:val="00E0349E"/>
    <w:rsid w:val="00E05531"/>
    <w:rsid w:val="00E0770D"/>
    <w:rsid w:val="00E101B1"/>
    <w:rsid w:val="00E13AC3"/>
    <w:rsid w:val="00E14B30"/>
    <w:rsid w:val="00E208BD"/>
    <w:rsid w:val="00E40C07"/>
    <w:rsid w:val="00E424E3"/>
    <w:rsid w:val="00E47BCF"/>
    <w:rsid w:val="00E55323"/>
    <w:rsid w:val="00E67A91"/>
    <w:rsid w:val="00E7189D"/>
    <w:rsid w:val="00E75F60"/>
    <w:rsid w:val="00E76404"/>
    <w:rsid w:val="00E77FC9"/>
    <w:rsid w:val="00E851C6"/>
    <w:rsid w:val="00E94AD0"/>
    <w:rsid w:val="00EA2B32"/>
    <w:rsid w:val="00EA2FE1"/>
    <w:rsid w:val="00EA4DB4"/>
    <w:rsid w:val="00EA7122"/>
    <w:rsid w:val="00EA733D"/>
    <w:rsid w:val="00EC308F"/>
    <w:rsid w:val="00EC4B53"/>
    <w:rsid w:val="00ED7671"/>
    <w:rsid w:val="00EE348A"/>
    <w:rsid w:val="00EF5DEA"/>
    <w:rsid w:val="00EF7AA2"/>
    <w:rsid w:val="00F00A3A"/>
    <w:rsid w:val="00F00D91"/>
    <w:rsid w:val="00F2319C"/>
    <w:rsid w:val="00F34308"/>
    <w:rsid w:val="00F4003B"/>
    <w:rsid w:val="00F52CAD"/>
    <w:rsid w:val="00F60F77"/>
    <w:rsid w:val="00F652D3"/>
    <w:rsid w:val="00F835E9"/>
    <w:rsid w:val="00F907DF"/>
    <w:rsid w:val="00FA2570"/>
    <w:rsid w:val="00FA3476"/>
    <w:rsid w:val="00FA62C7"/>
    <w:rsid w:val="00FB73A7"/>
    <w:rsid w:val="00FD2D7E"/>
    <w:rsid w:val="00FD4376"/>
    <w:rsid w:val="00FD535E"/>
    <w:rsid w:val="00FE17B5"/>
    <w:rsid w:val="00FE1E06"/>
    <w:rsid w:val="00FE4714"/>
    <w:rsid w:val="00FF15D7"/>
    <w:rsid w:val="00FF18B9"/>
    <w:rsid w:val="00FF540C"/>
    <w:rsid w:val="010648D1"/>
    <w:rsid w:val="01510D2F"/>
    <w:rsid w:val="015D70FE"/>
    <w:rsid w:val="01857A39"/>
    <w:rsid w:val="039B45C0"/>
    <w:rsid w:val="04FA1DF8"/>
    <w:rsid w:val="05714299"/>
    <w:rsid w:val="06692149"/>
    <w:rsid w:val="07B1661A"/>
    <w:rsid w:val="08792642"/>
    <w:rsid w:val="09CC6E5C"/>
    <w:rsid w:val="0A431DFD"/>
    <w:rsid w:val="0A566DC4"/>
    <w:rsid w:val="0C035AFC"/>
    <w:rsid w:val="0CBC15AD"/>
    <w:rsid w:val="0D007259"/>
    <w:rsid w:val="0E4422B5"/>
    <w:rsid w:val="0FEF6911"/>
    <w:rsid w:val="10064317"/>
    <w:rsid w:val="10FE3E09"/>
    <w:rsid w:val="114A7DAA"/>
    <w:rsid w:val="12B161F9"/>
    <w:rsid w:val="13381132"/>
    <w:rsid w:val="13963D16"/>
    <w:rsid w:val="13A7400B"/>
    <w:rsid w:val="15776C28"/>
    <w:rsid w:val="16146FA3"/>
    <w:rsid w:val="184F5CF1"/>
    <w:rsid w:val="19074AC5"/>
    <w:rsid w:val="19151263"/>
    <w:rsid w:val="19BE3DB7"/>
    <w:rsid w:val="1B5A7DE6"/>
    <w:rsid w:val="1C6B7F5D"/>
    <w:rsid w:val="1CF512F3"/>
    <w:rsid w:val="1E771DAB"/>
    <w:rsid w:val="1F514DBC"/>
    <w:rsid w:val="1F7D0439"/>
    <w:rsid w:val="20043C61"/>
    <w:rsid w:val="203E046B"/>
    <w:rsid w:val="20A951C3"/>
    <w:rsid w:val="214651DB"/>
    <w:rsid w:val="21682F64"/>
    <w:rsid w:val="217E4001"/>
    <w:rsid w:val="21886CFF"/>
    <w:rsid w:val="2196452E"/>
    <w:rsid w:val="222338DD"/>
    <w:rsid w:val="2240610E"/>
    <w:rsid w:val="22832152"/>
    <w:rsid w:val="228D3BFC"/>
    <w:rsid w:val="22C23C26"/>
    <w:rsid w:val="230A573A"/>
    <w:rsid w:val="23857A06"/>
    <w:rsid w:val="24922FB6"/>
    <w:rsid w:val="25467541"/>
    <w:rsid w:val="273F7BD4"/>
    <w:rsid w:val="279E2A29"/>
    <w:rsid w:val="28A57574"/>
    <w:rsid w:val="28D449D0"/>
    <w:rsid w:val="293D4E3A"/>
    <w:rsid w:val="295A431A"/>
    <w:rsid w:val="296957CC"/>
    <w:rsid w:val="29D5030E"/>
    <w:rsid w:val="2D2D6096"/>
    <w:rsid w:val="2E3D6461"/>
    <w:rsid w:val="2E734CA1"/>
    <w:rsid w:val="2F0A3C60"/>
    <w:rsid w:val="2F6619B6"/>
    <w:rsid w:val="2FEB3384"/>
    <w:rsid w:val="2FF24652"/>
    <w:rsid w:val="326074A5"/>
    <w:rsid w:val="32C94109"/>
    <w:rsid w:val="332016F3"/>
    <w:rsid w:val="334E02AA"/>
    <w:rsid w:val="3405304E"/>
    <w:rsid w:val="34800A8E"/>
    <w:rsid w:val="37D57DAB"/>
    <w:rsid w:val="38A86BC9"/>
    <w:rsid w:val="39297178"/>
    <w:rsid w:val="3B2C1E8C"/>
    <w:rsid w:val="3D2C0263"/>
    <w:rsid w:val="3E4C5DE6"/>
    <w:rsid w:val="3E5E1615"/>
    <w:rsid w:val="3EF9173F"/>
    <w:rsid w:val="40266377"/>
    <w:rsid w:val="40290C0E"/>
    <w:rsid w:val="40AB280F"/>
    <w:rsid w:val="40D256F1"/>
    <w:rsid w:val="444C3874"/>
    <w:rsid w:val="44511FE7"/>
    <w:rsid w:val="445D2186"/>
    <w:rsid w:val="44AB1771"/>
    <w:rsid w:val="44D05952"/>
    <w:rsid w:val="47A7469B"/>
    <w:rsid w:val="48595B7F"/>
    <w:rsid w:val="48CF1F79"/>
    <w:rsid w:val="48DD6BA1"/>
    <w:rsid w:val="4BA109F0"/>
    <w:rsid w:val="4BFF69F2"/>
    <w:rsid w:val="4C0D06AA"/>
    <w:rsid w:val="4EEB6EE1"/>
    <w:rsid w:val="4F094D49"/>
    <w:rsid w:val="4FFF46AA"/>
    <w:rsid w:val="52360D44"/>
    <w:rsid w:val="52856ADF"/>
    <w:rsid w:val="52925116"/>
    <w:rsid w:val="52C02B9F"/>
    <w:rsid w:val="56735EC1"/>
    <w:rsid w:val="56754B62"/>
    <w:rsid w:val="57C1024E"/>
    <w:rsid w:val="57C5085C"/>
    <w:rsid w:val="57DA04EC"/>
    <w:rsid w:val="5981043A"/>
    <w:rsid w:val="598E1657"/>
    <w:rsid w:val="59C8519D"/>
    <w:rsid w:val="5AB12FF7"/>
    <w:rsid w:val="5D525369"/>
    <w:rsid w:val="5E55719C"/>
    <w:rsid w:val="5EA6721B"/>
    <w:rsid w:val="5EAB78BB"/>
    <w:rsid w:val="5F692589"/>
    <w:rsid w:val="63006276"/>
    <w:rsid w:val="63A209CA"/>
    <w:rsid w:val="63F71167"/>
    <w:rsid w:val="640B7038"/>
    <w:rsid w:val="64827418"/>
    <w:rsid w:val="6525001B"/>
    <w:rsid w:val="65D8241E"/>
    <w:rsid w:val="66BE6923"/>
    <w:rsid w:val="66D51185"/>
    <w:rsid w:val="68977AC4"/>
    <w:rsid w:val="68A2171D"/>
    <w:rsid w:val="694D6BEC"/>
    <w:rsid w:val="69DF7A5B"/>
    <w:rsid w:val="6A971731"/>
    <w:rsid w:val="6AA55992"/>
    <w:rsid w:val="6AAD139A"/>
    <w:rsid w:val="6BBD2305"/>
    <w:rsid w:val="6CBD1F0B"/>
    <w:rsid w:val="6D723702"/>
    <w:rsid w:val="6E3E77EC"/>
    <w:rsid w:val="6EBB0312"/>
    <w:rsid w:val="71597C77"/>
    <w:rsid w:val="720A6530"/>
    <w:rsid w:val="72ED4940"/>
    <w:rsid w:val="795C3D12"/>
    <w:rsid w:val="7AB111BF"/>
    <w:rsid w:val="7CAB5D86"/>
    <w:rsid w:val="7F0D1E01"/>
    <w:rsid w:val="7F5530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325287E"/>
  <w15:docId w15:val="{AECEA72C-9995-DD4D-BC9E-AB4AE5DE1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39" w:qFormat="1"/>
    <w:lsdException w:name="toc 2" w:uiPriority="39" w:qFormat="1"/>
    <w:lsdException w:name="toc 3" w:uiPriority="39" w:qFormat="1"/>
    <w:lsdException w:name="toc 4" w:uiPriority="0"/>
    <w:lsdException w:name="toc 5" w:uiPriority="0"/>
    <w:lsdException w:name="toc 6" w:uiPriority="0"/>
    <w:lsdException w:name="toc 7" w:uiPriority="0"/>
    <w:lsdException w:name="toc 8" w:uiPriority="0"/>
    <w:lsdException w:name="toc 9" w:uiPriority="0"/>
    <w:lsdException w:name="Normal Indent" w:locked="1" w:semiHidden="1" w:unhideWhenUsed="1"/>
    <w:lsdException w:name="footnote text" w:semiHidden="1" w:qFormat="1"/>
    <w:lsdException w:name="annotation text" w:semiHidden="1" w:qFormat="1"/>
    <w:lsdException w:name="header" w:qFormat="1"/>
    <w:lsdException w:name="footer" w:qFormat="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semiHidden="1" w:qFormat="1"/>
    <w:lsdException w:name="annotation reference" w:semiHidden="1" w:qFormat="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semiHidden="1" w:uiPriority="1" w:unhideWhenUsed="1"/>
    <w:lsdException w:name="Body Text" w:locked="1" w:semiHidden="1" w:unhideWhenUsed="1"/>
    <w:lsdException w:name="Body Text Indent" w:qFormat="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qFormat="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qFormat="1"/>
    <w:lsdException w:name="Body Text Indent 2" w:qFormat="1"/>
    <w:lsdException w:name="Body Text Indent 3" w:qFormat="1"/>
    <w:lsdException w:name="Block Text" w:locked="1" w:semiHidden="1" w:unhideWhenUsed="1"/>
    <w:lsdException w:name="Hyperlink" w:qFormat="1"/>
    <w:lsdException w:name="FollowedHyperlink" w:locked="1" w:semiHidden="1" w:unhideWhenUsed="1"/>
    <w:lsdException w:name="Strong" w:qFormat="1"/>
    <w:lsdException w:name="Emphasis" w:uiPriority="0" w:qFormat="1"/>
    <w:lsdException w:name="Document Map" w:locked="1" w:semiHidden="1" w:unhideWhenUsed="1"/>
    <w:lsdException w:name="Plain Text" w:locked="1" w:semiHidden="1" w:unhideWhenUsed="1"/>
    <w:lsdException w:name="E-mail Signature" w:locked="1" w:semiHidden="1" w:unhideWhenUsed="1"/>
    <w:lsdException w:name="HTML Top of Form" w:semiHidden="1" w:unhideWhenUsed="1"/>
    <w:lsdException w:name="HTML Bottom of Form" w:semiHidden="1" w:unhideWhenUsed="1"/>
    <w:lsdException w:name="Normal (Web)" w:locked="1" w:qFormat="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semiHidden="1" w:unhideWhenUsed="1" w:qFormat="1"/>
    <w:lsdException w:name="annotation subject" w:locked="1"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semiHidden="1" w:qFormat="1"/>
    <w:lsdException w:name="Table Grid" w:uiPriority="0" w:qFormat="1"/>
    <w:lsdException w:name="Table Theme" w:locked="1"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eastAsia="宋体"/>
      <w:kern w:val="2"/>
      <w:sz w:val="21"/>
      <w:szCs w:val="21"/>
    </w:rPr>
  </w:style>
  <w:style w:type="paragraph" w:styleId="1">
    <w:name w:val="heading 1"/>
    <w:basedOn w:val="a"/>
    <w:next w:val="a"/>
    <w:link w:val="10"/>
    <w:uiPriority w:val="99"/>
    <w:qFormat/>
    <w:pPr>
      <w:keepNext/>
      <w:spacing w:line="400" w:lineRule="exact"/>
      <w:outlineLvl w:val="0"/>
    </w:pPr>
    <w:rPr>
      <w:b/>
      <w:bCs/>
      <w:kern w:val="0"/>
      <w:sz w:val="24"/>
      <w:szCs w:val="24"/>
    </w:rPr>
  </w:style>
  <w:style w:type="paragraph" w:styleId="2">
    <w:name w:val="heading 2"/>
    <w:basedOn w:val="a"/>
    <w:next w:val="a"/>
    <w:link w:val="20"/>
    <w:uiPriority w:val="99"/>
    <w:qFormat/>
    <w:pPr>
      <w:keepNext/>
      <w:keepLines/>
      <w:spacing w:line="413" w:lineRule="auto"/>
      <w:outlineLvl w:val="1"/>
    </w:pPr>
    <w:rPr>
      <w:rFonts w:ascii="Cambria" w:hAnsi="Cambria" w:cs="Cambria"/>
      <w:b/>
      <w:bCs/>
      <w:kern w:val="0"/>
      <w:sz w:val="32"/>
      <w:szCs w:val="32"/>
    </w:rPr>
  </w:style>
  <w:style w:type="paragraph" w:styleId="3">
    <w:name w:val="heading 3"/>
    <w:basedOn w:val="a"/>
    <w:next w:val="a"/>
    <w:link w:val="30"/>
    <w:uiPriority w:val="99"/>
    <w:qFormat/>
    <w:pPr>
      <w:keepNext/>
      <w:keepLines/>
      <w:spacing w:line="413" w:lineRule="auto"/>
      <w:outlineLvl w:val="2"/>
    </w:pPr>
    <w:rPr>
      <w:b/>
      <w:bCs/>
      <w:kern w:val="0"/>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qFormat/>
    <w:pPr>
      <w:jc w:val="left"/>
    </w:pPr>
    <w:rPr>
      <w:kern w:val="0"/>
      <w:sz w:val="24"/>
      <w:szCs w:val="24"/>
    </w:rPr>
  </w:style>
  <w:style w:type="paragraph" w:styleId="31">
    <w:name w:val="Body Text 3"/>
    <w:basedOn w:val="a"/>
    <w:link w:val="32"/>
    <w:uiPriority w:val="99"/>
    <w:qFormat/>
    <w:pPr>
      <w:spacing w:after="120"/>
    </w:pPr>
    <w:rPr>
      <w:kern w:val="0"/>
      <w:sz w:val="16"/>
      <w:szCs w:val="16"/>
    </w:rPr>
  </w:style>
  <w:style w:type="paragraph" w:styleId="a5">
    <w:name w:val="Body Text Indent"/>
    <w:basedOn w:val="a"/>
    <w:link w:val="a6"/>
    <w:uiPriority w:val="99"/>
    <w:qFormat/>
    <w:pPr>
      <w:spacing w:after="120"/>
      <w:ind w:leftChars="200" w:left="420"/>
    </w:pPr>
    <w:rPr>
      <w:kern w:val="0"/>
      <w:sz w:val="24"/>
      <w:szCs w:val="24"/>
    </w:rPr>
  </w:style>
  <w:style w:type="paragraph" w:styleId="TOC3">
    <w:name w:val="toc 3"/>
    <w:basedOn w:val="a"/>
    <w:next w:val="a"/>
    <w:uiPriority w:val="39"/>
    <w:qFormat/>
    <w:pPr>
      <w:ind w:leftChars="400" w:left="840"/>
    </w:pPr>
  </w:style>
  <w:style w:type="paragraph" w:styleId="a7">
    <w:name w:val="Date"/>
    <w:basedOn w:val="a"/>
    <w:next w:val="a"/>
    <w:link w:val="a8"/>
    <w:uiPriority w:val="99"/>
    <w:qFormat/>
    <w:pPr>
      <w:ind w:leftChars="2500" w:left="100"/>
    </w:pPr>
    <w:rPr>
      <w:kern w:val="0"/>
      <w:sz w:val="24"/>
      <w:szCs w:val="24"/>
    </w:rPr>
  </w:style>
  <w:style w:type="paragraph" w:styleId="21">
    <w:name w:val="Body Text Indent 2"/>
    <w:basedOn w:val="a"/>
    <w:link w:val="22"/>
    <w:uiPriority w:val="99"/>
    <w:qFormat/>
    <w:pPr>
      <w:spacing w:after="120" w:line="480" w:lineRule="auto"/>
      <w:ind w:leftChars="200" w:left="420"/>
    </w:pPr>
    <w:rPr>
      <w:kern w:val="0"/>
      <w:sz w:val="24"/>
      <w:szCs w:val="24"/>
    </w:rPr>
  </w:style>
  <w:style w:type="paragraph" w:styleId="a9">
    <w:name w:val="Balloon Text"/>
    <w:basedOn w:val="a"/>
    <w:link w:val="aa"/>
    <w:uiPriority w:val="99"/>
    <w:semiHidden/>
    <w:qFormat/>
    <w:rPr>
      <w:kern w:val="0"/>
      <w:sz w:val="18"/>
      <w:szCs w:val="18"/>
    </w:rPr>
  </w:style>
  <w:style w:type="paragraph" w:styleId="ab">
    <w:name w:val="footer"/>
    <w:basedOn w:val="a"/>
    <w:link w:val="ac"/>
    <w:uiPriority w:val="99"/>
    <w:qFormat/>
    <w:pPr>
      <w:tabs>
        <w:tab w:val="center" w:pos="4153"/>
        <w:tab w:val="right" w:pos="8306"/>
      </w:tabs>
      <w:snapToGrid w:val="0"/>
      <w:jc w:val="left"/>
    </w:pPr>
    <w:rPr>
      <w:kern w:val="0"/>
      <w:sz w:val="18"/>
      <w:szCs w:val="18"/>
    </w:rPr>
  </w:style>
  <w:style w:type="paragraph" w:styleId="ad">
    <w:name w:val="header"/>
    <w:basedOn w:val="a"/>
    <w:link w:val="ae"/>
    <w:uiPriority w:val="99"/>
    <w:qFormat/>
    <w:pPr>
      <w:pBdr>
        <w:bottom w:val="single" w:sz="6" w:space="1" w:color="auto"/>
      </w:pBdr>
      <w:tabs>
        <w:tab w:val="center" w:pos="4153"/>
        <w:tab w:val="right" w:pos="8306"/>
      </w:tabs>
      <w:snapToGrid w:val="0"/>
      <w:jc w:val="center"/>
    </w:pPr>
    <w:rPr>
      <w:kern w:val="0"/>
      <w:sz w:val="18"/>
      <w:szCs w:val="18"/>
    </w:rPr>
  </w:style>
  <w:style w:type="paragraph" w:styleId="TOC1">
    <w:name w:val="toc 1"/>
    <w:basedOn w:val="a"/>
    <w:next w:val="a"/>
    <w:uiPriority w:val="39"/>
    <w:qFormat/>
  </w:style>
  <w:style w:type="paragraph" w:styleId="af">
    <w:name w:val="footnote text"/>
    <w:basedOn w:val="a"/>
    <w:link w:val="af0"/>
    <w:uiPriority w:val="99"/>
    <w:semiHidden/>
    <w:qFormat/>
    <w:pPr>
      <w:snapToGrid w:val="0"/>
      <w:jc w:val="left"/>
    </w:pPr>
    <w:rPr>
      <w:kern w:val="0"/>
      <w:sz w:val="18"/>
      <w:szCs w:val="18"/>
    </w:rPr>
  </w:style>
  <w:style w:type="paragraph" w:styleId="33">
    <w:name w:val="Body Text Indent 3"/>
    <w:basedOn w:val="a"/>
    <w:link w:val="34"/>
    <w:uiPriority w:val="99"/>
    <w:qFormat/>
    <w:pPr>
      <w:spacing w:after="120"/>
      <w:ind w:leftChars="200" w:left="420"/>
    </w:pPr>
    <w:rPr>
      <w:kern w:val="0"/>
      <w:sz w:val="16"/>
      <w:szCs w:val="16"/>
    </w:rPr>
  </w:style>
  <w:style w:type="paragraph" w:styleId="TOC2">
    <w:name w:val="toc 2"/>
    <w:basedOn w:val="a"/>
    <w:next w:val="a"/>
    <w:uiPriority w:val="39"/>
    <w:qFormat/>
    <w:pPr>
      <w:ind w:leftChars="200" w:left="420"/>
    </w:pPr>
  </w:style>
  <w:style w:type="paragraph" w:styleId="af1">
    <w:name w:val="Normal (Web)"/>
    <w:basedOn w:val="a"/>
    <w:uiPriority w:val="99"/>
    <w:qFormat/>
    <w:locked/>
    <w:pPr>
      <w:widowControl/>
      <w:spacing w:before="100" w:beforeAutospacing="1" w:after="100" w:afterAutospacing="1"/>
      <w:jc w:val="left"/>
    </w:pPr>
    <w:rPr>
      <w:rFonts w:ascii="宋体" w:hAnsi="宋体" w:cs="宋体"/>
      <w:kern w:val="0"/>
      <w:sz w:val="24"/>
      <w:szCs w:val="24"/>
    </w:rPr>
  </w:style>
  <w:style w:type="table" w:styleId="af2">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Strong"/>
    <w:uiPriority w:val="99"/>
    <w:qFormat/>
    <w:rPr>
      <w:b/>
      <w:bCs/>
    </w:rPr>
  </w:style>
  <w:style w:type="character" w:styleId="af4">
    <w:name w:val="Hyperlink"/>
    <w:uiPriority w:val="99"/>
    <w:qFormat/>
    <w:rPr>
      <w:color w:val="0000FF"/>
      <w:u w:val="single"/>
    </w:rPr>
  </w:style>
  <w:style w:type="character" w:styleId="af5">
    <w:name w:val="annotation reference"/>
    <w:uiPriority w:val="99"/>
    <w:semiHidden/>
    <w:qFormat/>
    <w:rPr>
      <w:sz w:val="21"/>
      <w:szCs w:val="21"/>
    </w:rPr>
  </w:style>
  <w:style w:type="character" w:styleId="af6">
    <w:name w:val="footnote reference"/>
    <w:uiPriority w:val="99"/>
    <w:semiHidden/>
    <w:qFormat/>
    <w:rPr>
      <w:vertAlign w:val="superscript"/>
    </w:rPr>
  </w:style>
  <w:style w:type="character" w:customStyle="1" w:styleId="10">
    <w:name w:val="标题 1 字符"/>
    <w:link w:val="1"/>
    <w:uiPriority w:val="99"/>
    <w:qFormat/>
    <w:locked/>
    <w:rPr>
      <w:rFonts w:ascii="Times New Roman" w:eastAsia="宋体" w:hAnsi="Times New Roman" w:cs="Times New Roman"/>
      <w:b/>
      <w:bCs/>
      <w:sz w:val="24"/>
      <w:szCs w:val="24"/>
    </w:rPr>
  </w:style>
  <w:style w:type="character" w:customStyle="1" w:styleId="20">
    <w:name w:val="标题 2 字符"/>
    <w:link w:val="2"/>
    <w:uiPriority w:val="99"/>
    <w:semiHidden/>
    <w:qFormat/>
    <w:locked/>
    <w:rPr>
      <w:rFonts w:ascii="Cambria" w:eastAsia="宋体" w:hAnsi="Cambria" w:cs="Cambria"/>
      <w:b/>
      <w:bCs/>
      <w:sz w:val="32"/>
      <w:szCs w:val="32"/>
    </w:rPr>
  </w:style>
  <w:style w:type="character" w:customStyle="1" w:styleId="30">
    <w:name w:val="标题 3 字符"/>
    <w:link w:val="3"/>
    <w:uiPriority w:val="99"/>
    <w:semiHidden/>
    <w:qFormat/>
    <w:locked/>
    <w:rPr>
      <w:b/>
      <w:bCs/>
      <w:sz w:val="32"/>
      <w:szCs w:val="32"/>
    </w:rPr>
  </w:style>
  <w:style w:type="character" w:customStyle="1" w:styleId="a4">
    <w:name w:val="批注文字 字符"/>
    <w:link w:val="a3"/>
    <w:uiPriority w:val="99"/>
    <w:semiHidden/>
    <w:qFormat/>
    <w:locked/>
    <w:rPr>
      <w:rFonts w:ascii="Times New Roman" w:eastAsia="宋体" w:hAnsi="Times New Roman" w:cs="Times New Roman"/>
      <w:sz w:val="24"/>
      <w:szCs w:val="24"/>
    </w:rPr>
  </w:style>
  <w:style w:type="character" w:customStyle="1" w:styleId="32">
    <w:name w:val="正文文本 3 字符"/>
    <w:link w:val="31"/>
    <w:uiPriority w:val="99"/>
    <w:qFormat/>
    <w:locked/>
    <w:rPr>
      <w:rFonts w:ascii="Times New Roman" w:eastAsia="宋体" w:hAnsi="Times New Roman" w:cs="Times New Roman"/>
      <w:sz w:val="16"/>
      <w:szCs w:val="16"/>
    </w:rPr>
  </w:style>
  <w:style w:type="character" w:customStyle="1" w:styleId="a6">
    <w:name w:val="正文文本缩进 字符"/>
    <w:link w:val="a5"/>
    <w:uiPriority w:val="99"/>
    <w:qFormat/>
    <w:locked/>
    <w:rPr>
      <w:rFonts w:ascii="Times New Roman" w:eastAsia="宋体" w:hAnsi="Times New Roman" w:cs="Times New Roman"/>
      <w:sz w:val="24"/>
      <w:szCs w:val="24"/>
    </w:rPr>
  </w:style>
  <w:style w:type="character" w:customStyle="1" w:styleId="a8">
    <w:name w:val="日期 字符"/>
    <w:link w:val="a7"/>
    <w:uiPriority w:val="99"/>
    <w:locked/>
    <w:rPr>
      <w:rFonts w:ascii="Times New Roman" w:eastAsia="宋体" w:hAnsi="Times New Roman" w:cs="Times New Roman"/>
      <w:sz w:val="24"/>
      <w:szCs w:val="24"/>
    </w:rPr>
  </w:style>
  <w:style w:type="character" w:customStyle="1" w:styleId="22">
    <w:name w:val="正文文本缩进 2 字符"/>
    <w:link w:val="21"/>
    <w:uiPriority w:val="99"/>
    <w:locked/>
    <w:rPr>
      <w:rFonts w:ascii="Times New Roman" w:eastAsia="宋体" w:hAnsi="Times New Roman" w:cs="Times New Roman"/>
      <w:sz w:val="24"/>
      <w:szCs w:val="24"/>
    </w:rPr>
  </w:style>
  <w:style w:type="character" w:customStyle="1" w:styleId="aa">
    <w:name w:val="批注框文本 字符"/>
    <w:link w:val="a9"/>
    <w:uiPriority w:val="99"/>
    <w:semiHidden/>
    <w:qFormat/>
    <w:locked/>
    <w:rPr>
      <w:rFonts w:ascii="Times New Roman" w:eastAsia="宋体" w:hAnsi="Times New Roman" w:cs="Times New Roman"/>
      <w:sz w:val="18"/>
      <w:szCs w:val="18"/>
    </w:rPr>
  </w:style>
  <w:style w:type="character" w:customStyle="1" w:styleId="ac">
    <w:name w:val="页脚 字符"/>
    <w:link w:val="ab"/>
    <w:uiPriority w:val="99"/>
    <w:locked/>
    <w:rPr>
      <w:rFonts w:ascii="Times New Roman" w:eastAsia="宋体" w:hAnsi="Times New Roman" w:cs="Times New Roman"/>
      <w:sz w:val="18"/>
      <w:szCs w:val="18"/>
    </w:rPr>
  </w:style>
  <w:style w:type="character" w:customStyle="1" w:styleId="ae">
    <w:name w:val="页眉 字符"/>
    <w:link w:val="ad"/>
    <w:uiPriority w:val="99"/>
    <w:qFormat/>
    <w:locked/>
    <w:rPr>
      <w:rFonts w:ascii="Times New Roman" w:eastAsia="宋体" w:hAnsi="Times New Roman" w:cs="Times New Roman"/>
      <w:sz w:val="18"/>
      <w:szCs w:val="18"/>
    </w:rPr>
  </w:style>
  <w:style w:type="character" w:customStyle="1" w:styleId="af0">
    <w:name w:val="脚注文本 字符"/>
    <w:link w:val="af"/>
    <w:uiPriority w:val="99"/>
    <w:semiHidden/>
    <w:qFormat/>
    <w:locked/>
    <w:rPr>
      <w:sz w:val="18"/>
      <w:szCs w:val="18"/>
    </w:rPr>
  </w:style>
  <w:style w:type="character" w:customStyle="1" w:styleId="34">
    <w:name w:val="正文文本缩进 3 字符"/>
    <w:link w:val="33"/>
    <w:uiPriority w:val="99"/>
    <w:qFormat/>
    <w:locked/>
    <w:rPr>
      <w:rFonts w:ascii="Times New Roman" w:eastAsia="宋体" w:hAnsi="Times New Roman" w:cs="Times New Roman"/>
      <w:sz w:val="16"/>
      <w:szCs w:val="16"/>
    </w:rPr>
  </w:style>
  <w:style w:type="character" w:customStyle="1" w:styleId="large1">
    <w:name w:val="large1"/>
    <w:uiPriority w:val="99"/>
    <w:qFormat/>
    <w:rPr>
      <w:rFonts w:ascii="宋体" w:eastAsia="宋体" w:hAnsi="宋体" w:cs="宋体"/>
      <w:sz w:val="21"/>
      <w:szCs w:val="21"/>
    </w:rPr>
  </w:style>
  <w:style w:type="paragraph" w:customStyle="1" w:styleId="14">
    <w:name w:val="样式14"/>
    <w:basedOn w:val="12"/>
    <w:uiPriority w:val="99"/>
    <w:qFormat/>
    <w:pPr>
      <w:ind w:firstLine="420"/>
      <w:jc w:val="both"/>
    </w:pPr>
  </w:style>
  <w:style w:type="paragraph" w:customStyle="1" w:styleId="12">
    <w:name w:val="样式12"/>
    <w:basedOn w:val="a"/>
    <w:uiPriority w:val="99"/>
    <w:qFormat/>
    <w:pPr>
      <w:spacing w:before="75" w:after="75" w:line="384" w:lineRule="auto"/>
      <w:ind w:firstLine="493"/>
      <w:jc w:val="left"/>
    </w:pPr>
    <w:rPr>
      <w:sz w:val="26"/>
      <w:szCs w:val="26"/>
    </w:rPr>
  </w:style>
  <w:style w:type="paragraph" w:styleId="af7">
    <w:name w:val="List Paragraph"/>
    <w:basedOn w:val="a"/>
    <w:uiPriority w:val="99"/>
    <w:qFormat/>
    <w:pPr>
      <w:ind w:firstLineChars="200" w:firstLine="420"/>
    </w:pPr>
  </w:style>
  <w:style w:type="paragraph" w:customStyle="1" w:styleId="TOC10">
    <w:name w:val="TOC 标题1"/>
    <w:basedOn w:val="1"/>
    <w:next w:val="a"/>
    <w:uiPriority w:val="99"/>
    <w:qFormat/>
    <w:pPr>
      <w:keepLines/>
      <w:widowControl/>
      <w:spacing w:before="480" w:line="276" w:lineRule="auto"/>
      <w:jc w:val="left"/>
      <w:outlineLvl w:val="9"/>
    </w:pPr>
    <w:rPr>
      <w:rFonts w:ascii="Cambria" w:hAnsi="Cambria" w:cs="Cambria"/>
      <w:color w:val="365F91"/>
      <w:sz w:val="28"/>
      <w:szCs w:val="28"/>
    </w:rPr>
  </w:style>
  <w:style w:type="paragraph" w:customStyle="1" w:styleId="11">
    <w:name w:val="正文1"/>
    <w:qFormat/>
    <w:pPr>
      <w:widowControl w:val="0"/>
      <w:jc w:val="both"/>
    </w:pPr>
    <w:rPr>
      <w:rFonts w:ascii="Calibri" w:eastAsia="宋体" w:hAnsi="Calibri"/>
      <w:kern w:val="2"/>
      <w:sz w:val="21"/>
      <w:szCs w:val="24"/>
    </w:rPr>
  </w:style>
  <w:style w:type="paragraph" w:customStyle="1" w:styleId="Heading10">
    <w:name w:val="Heading 1_0"/>
    <w:basedOn w:val="a"/>
    <w:next w:val="a"/>
    <w:link w:val="1Char0"/>
    <w:uiPriority w:val="99"/>
    <w:qFormat/>
    <w:pPr>
      <w:keepNext/>
      <w:spacing w:line="400" w:lineRule="exact"/>
      <w:outlineLvl w:val="0"/>
    </w:pPr>
    <w:rPr>
      <w:b/>
      <w:bCs/>
      <w:kern w:val="0"/>
      <w:sz w:val="24"/>
      <w:szCs w:val="24"/>
    </w:rPr>
  </w:style>
  <w:style w:type="character" w:customStyle="1" w:styleId="1Char0">
    <w:name w:val="标题 1 Char_0"/>
    <w:link w:val="Heading10"/>
    <w:uiPriority w:val="99"/>
    <w:qFormat/>
    <w:locked/>
    <w:rPr>
      <w:rFonts w:ascii="Times New Roman" w:eastAsia="宋体" w:hAnsi="Times New Roman" w:cs="Times New Roman"/>
      <w:b/>
      <w:bCs/>
      <w:sz w:val="24"/>
      <w:szCs w:val="24"/>
    </w:rPr>
  </w:style>
  <w:style w:type="paragraph" w:customStyle="1" w:styleId="Heading20">
    <w:name w:val="Heading 2_0"/>
    <w:basedOn w:val="a"/>
    <w:next w:val="a"/>
    <w:link w:val="2Char0"/>
    <w:uiPriority w:val="99"/>
    <w:qFormat/>
    <w:pPr>
      <w:keepNext/>
      <w:keepLines/>
      <w:spacing w:line="413" w:lineRule="auto"/>
      <w:outlineLvl w:val="1"/>
    </w:pPr>
    <w:rPr>
      <w:rFonts w:ascii="Cambria" w:hAnsi="Cambria" w:cs="Cambria"/>
      <w:b/>
      <w:bCs/>
      <w:kern w:val="0"/>
      <w:sz w:val="32"/>
      <w:szCs w:val="32"/>
    </w:rPr>
  </w:style>
  <w:style w:type="character" w:customStyle="1" w:styleId="2Char0">
    <w:name w:val="标题 2 Char_0"/>
    <w:link w:val="Heading20"/>
    <w:uiPriority w:val="99"/>
    <w:semiHidden/>
    <w:qFormat/>
    <w:locked/>
    <w:rPr>
      <w:rFonts w:ascii="Cambria" w:eastAsia="宋体" w:hAnsi="Cambria" w:cs="Cambria"/>
      <w:b/>
      <w:bCs/>
      <w:sz w:val="32"/>
      <w:szCs w:val="32"/>
    </w:rPr>
  </w:style>
  <w:style w:type="paragraph" w:customStyle="1" w:styleId="Heading30">
    <w:name w:val="Heading 3_0"/>
    <w:basedOn w:val="a"/>
    <w:next w:val="a"/>
    <w:link w:val="3Char0"/>
    <w:uiPriority w:val="99"/>
    <w:qFormat/>
    <w:pPr>
      <w:keepNext/>
      <w:keepLines/>
      <w:spacing w:line="413" w:lineRule="auto"/>
      <w:outlineLvl w:val="2"/>
    </w:pPr>
    <w:rPr>
      <w:b/>
      <w:bCs/>
      <w:kern w:val="0"/>
      <w:sz w:val="32"/>
      <w:szCs w:val="32"/>
    </w:rPr>
  </w:style>
  <w:style w:type="character" w:customStyle="1" w:styleId="3Char0">
    <w:name w:val="标题 3 Char_0"/>
    <w:link w:val="Heading30"/>
    <w:uiPriority w:val="99"/>
    <w:semiHidden/>
    <w:qFormat/>
    <w:locked/>
    <w:rPr>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hyperlink" Target="http://data.stats.gov.cn/easyquery.htm?cn=C01"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f10.eastmoney.com/f10_v2/FinanceAnalysis.aspx?code=sz000002"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data.stats.gov.cn/easyquery.htm?cn=C01" TargetMode="External"/><Relationship Id="rId20" Type="http://schemas.openxmlformats.org/officeDocument/2006/relationships/hyperlink" Target="http://f10.eastmoney.com/f10_v2/FinanceAnalysis.aspx?code=sz00000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yperlink" Target="http://data.stats.gov.cn/easyquery.htm?cn=C01" TargetMode="External"/><Relationship Id="rId10" Type="http://schemas.openxmlformats.org/officeDocument/2006/relationships/header" Target="header1.xml"/><Relationship Id="rId19" Type="http://schemas.openxmlformats.org/officeDocument/2006/relationships/hyperlink" Target="http://vip.stock.finance.sina.com.cn/corp/go.php/vCB_Bulletin/stockid/000002/page_type/ndbg.phtml"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3.xml"/><Relationship Id="rId22" Type="http://schemas.openxmlformats.org/officeDocument/2006/relationships/hyperlink" Target="http://f10.eastmoney.com/f10_v2/FinanceAnalysis.aspx?code=sz000002"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f10.eastmoney.com/f10_v2/FinanceAnalysis.aspx?code=sz001979" TargetMode="External"/><Relationship Id="rId2" Type="http://schemas.openxmlformats.org/officeDocument/2006/relationships/hyperlink" Target="http://f10.eastmoney.com/f10_v2/FinanceAnalysis.aspx?code=sh600048" TargetMode="External"/><Relationship Id="rId1" Type="http://schemas.openxmlformats.org/officeDocument/2006/relationships/hyperlink" Target="http://f10.eastmoney.com/f10_v2/FinanceAnalysis.aspx?code=sz000002" TargetMode="External"/><Relationship Id="rId5" Type="http://schemas.openxmlformats.org/officeDocument/2006/relationships/hyperlink" Target="http://f10.eastmoney.com/f10_v2/FinanceAnalysis.aspx?code=sh600340" TargetMode="External"/><Relationship Id="rId4" Type="http://schemas.openxmlformats.org/officeDocument/2006/relationships/hyperlink" Target="http://f10.eastmoney.com/f10_v2/FinanceAnalysis.aspx?code=sh60115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EDF25600-B16E-41D2-A899-27DC6D30CB6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21</Pages>
  <Words>3056</Words>
  <Characters>17421</Characters>
  <Application>Microsoft Office Word</Application>
  <DocSecurity>0</DocSecurity>
  <Lines>145</Lines>
  <Paragraphs>40</Paragraphs>
  <ScaleCrop>false</ScaleCrop>
  <Company>gzgs</Company>
  <LinksUpToDate>false</LinksUpToDate>
  <CharactersWithSpaces>20437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d70940</cp:lastModifiedBy>
  <cp:revision>60</cp:revision>
  <cp:lastPrinted>2018-10-12T01:28:00Z</cp:lastPrinted>
  <dcterms:created xsi:type="dcterms:W3CDTF">2020-03-08T09:30:00Z</dcterms:created>
  <dcterms:modified xsi:type="dcterms:W3CDTF">2025-11-15T16:54:00Z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2052-11.1.0.9740</vt:lpwstr>
  </property>
  <property fmtid="{D5CDD505-2E9C-101B-9397-08002B2CF9AE}" pid="3" name="KSORubyTemplateID" linkTarget="0">
    <vt:lpwstr>6</vt:lpwstr>
  </property>
</Properties>
</file>