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C1D3B" w:val="clear"/>
        <w:spacing w:before="0" w:after="80"/>
        <w:jc w:val="center"/>
      </w:pPr>
      <w:r>
        <w:rPr>
          <w:rFonts w:ascii="Arial" w:cs="Arial" w:eastAsia="Arial" w:hAnsi="Arial"/>
          <w:b/>
          <w:bCs/>
          <w:color w:val="A0B0C8"/>
          <w:sz w:val="16"/>
          <w:szCs w:val="16"/>
        </w:rPr>
        <w:t xml:space="preserve">  STRICTLY CONFIDENTIAL — FOR INTERNAL STRATEGIC USE ONLY  </w:t>
      </w:r>
    </w:p>
    <w:p>
      <w:pPr>
        <w:pBdr>
          <w:bottom w:val="single" w:color="C4922A" w:sz="4" w:space="2"/>
        </w:pBdr>
        <w:spacing w:before="100" w:after="100"/>
      </w:pPr>
      <w:r>
        <w:t xml:space="preserve"/>
      </w:r>
    </w:p>
    <w:p>
      <w:pPr>
        <w:spacing w:before="0" w:after="240"/>
      </w:pPr>
      <w:r>
        <w:t xml:space="preserve"/>
      </w:r>
    </w:p>
    <w:p>
      <w:pPr>
        <w:spacing w:before="0" w:after="40"/>
        <w:jc w:val="left"/>
      </w:pPr>
      <w:r>
        <w:rPr>
          <w:rFonts w:ascii="Arial" w:cs="Arial" w:eastAsia="Arial" w:hAnsi="Arial"/>
          <w:b/>
          <w:bCs/>
          <w:color w:val="0C1D3B"/>
          <w:sz w:val="40"/>
          <w:szCs w:val="40"/>
        </w:rPr>
        <w:t xml:space="preserve">THE CHOWDURY ACCOUNTANTS LTD</w:t>
      </w:r>
    </w:p>
    <w:p>
      <w:pPr>
        <w:pBdr>
          <w:bottom w:val="single" w:color="E2E8EF" w:sz="2" w:space="6"/>
        </w:pBdr>
        <w:spacing w:before="0" w:after="0"/>
        <w:jc w:val="left"/>
      </w:pPr>
      <w:r>
        <w:rPr>
          <w:rFonts w:ascii="Arial" w:cs="Arial" w:eastAsia="Arial" w:hAnsi="Arial"/>
          <w:color w:val="4A5568"/>
          <w:sz w:val="20"/>
          <w:szCs w:val="20"/>
        </w:rPr>
        <w:t xml:space="preserve">AAT Licensed Accountants  ·  Oldham, Greater Manchester</w:t>
      </w:r>
    </w:p>
    <w:p>
      <w:pPr>
        <w:spacing w:before="0" w:after="160"/>
      </w:pPr>
      <w:r>
        <w:t xml:space="preserve"/>
      </w:r>
    </w:p>
    <w:p>
      <w:pPr>
        <w:spacing w:before="0" w:after="80"/>
        <w:jc w:val="left"/>
      </w:pPr>
      <w:r>
        <w:rPr>
          <w:rFonts w:ascii="Arial" w:cs="Arial" w:eastAsia="Arial" w:hAnsi="Arial"/>
          <w:b/>
          <w:bCs/>
          <w:color w:val="0C1D3B"/>
          <w:sz w:val="52"/>
          <w:szCs w:val="52"/>
        </w:rPr>
        <w:t xml:space="preserve">STRATEGIC AND FINANCIAL REVIEW</w:t>
      </w:r>
    </w:p>
    <w:p>
      <w:pPr>
        <w:spacing w:before="0" w:after="60"/>
        <w:jc w:val="left"/>
      </w:pPr>
      <w:r>
        <w:rPr>
          <w:rFonts w:ascii="Arial" w:cs="Arial" w:eastAsia="Arial" w:hAnsi="Arial"/>
          <w:color w:val="4A5568"/>
          <w:sz w:val="22"/>
          <w:szCs w:val="22"/>
        </w:rPr>
        <w:t xml:space="preserve">Financial Analysis  ·  Performance Benchmarking  ·  Growth Strategy</w:t>
      </w:r>
    </w:p>
    <w:p>
      <w:pPr>
        <w:spacing w:before="0" w:after="60"/>
        <w:jc w:val="left"/>
      </w:pPr>
      <w:r>
        <w:rPr>
          <w:rFonts w:ascii="Arial" w:cs="Arial" w:eastAsia="Arial" w:hAnsi="Arial"/>
          <w:color w:val="4A5568"/>
          <w:sz w:val="22"/>
          <w:szCs w:val="22"/>
        </w:rPr>
        <w:t xml:space="preserve">Practice Valuation  ·  Vision to £1,000,000</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0C1D3B" w:val="clear"/>
            <w:tcMar>
              <w:top w:type="dxa" w:w="160"/>
              <w:left w:type="dxa" w:w="120"/>
              <w:bottom w:type="dxa" w:w="160"/>
              <w:right w:type="dxa" w:w="120"/>
            </w:tcMar>
            <w:vAlign w:val="center"/>
          </w:tcPr>
          <w:p>
            <w:pPr>
              <w:spacing w:before="0" w:after="60"/>
              <w:jc w:val="center"/>
            </w:pPr>
            <w:r>
              <w:rPr>
                <w:rFonts w:ascii="Arial" w:cs="Arial" w:eastAsia="Arial" w:hAnsi="Arial"/>
                <w:b/>
                <w:bCs/>
                <w:color w:val="C4922A"/>
                <w:sz w:val="32"/>
                <w:szCs w:val="32"/>
              </w:rPr>
              <w:t xml:space="preserve">~600</w:t>
            </w:r>
          </w:p>
          <w:p>
            <w:pPr>
              <w:spacing w:before="0" w:after="0"/>
              <w:jc w:val="center"/>
            </w:pPr>
            <w:r>
              <w:rPr>
                <w:rFonts w:ascii="Arial" w:cs="Arial" w:eastAsia="Arial" w:hAnsi="Arial"/>
                <w:color w:val="A0B0C8"/>
                <w:sz w:val="16"/>
                <w:szCs w:val="16"/>
              </w:rPr>
              <w:t xml:space="preserve">Active clients</w:t>
            </w:r>
          </w:p>
        </w:tc>
        <w:tc>
          <w:tcPr>
            <w:tcW w:type="dxa" w:w="1560"/>
            <w:tcBorders>
              <w:top w:val="none" w:color="FFFFFF" w:sz="0"/>
              <w:left w:val="none" w:color="FFFFFF" w:sz="0"/>
              <w:bottom w:val="none" w:color="FFFFFF" w:sz="0"/>
              <w:right w:val="none" w:color="FFFFFF" w:sz="0"/>
            </w:tcBorders>
            <w:shd w:fill="0C1D3B" w:val="clear"/>
            <w:tcMar>
              <w:top w:type="dxa" w:w="160"/>
              <w:left w:type="dxa" w:w="120"/>
              <w:bottom w:type="dxa" w:w="160"/>
              <w:right w:type="dxa" w:w="120"/>
            </w:tcMar>
            <w:vAlign w:val="center"/>
          </w:tcPr>
          <w:p>
            <w:pPr>
              <w:spacing w:before="0" w:after="60"/>
              <w:jc w:val="center"/>
            </w:pPr>
            <w:r>
              <w:rPr>
                <w:rFonts w:ascii="Arial" w:cs="Arial" w:eastAsia="Arial" w:hAnsi="Arial"/>
                <w:b/>
                <w:bCs/>
                <w:color w:val="C4922A"/>
                <w:sz w:val="32"/>
                <w:szCs w:val="32"/>
              </w:rPr>
              <w:t xml:space="preserve">£314k</w:t>
            </w:r>
          </w:p>
          <w:p>
            <w:pPr>
              <w:spacing w:before="0" w:after="0"/>
              <w:jc w:val="center"/>
            </w:pPr>
            <w:r>
              <w:rPr>
                <w:rFonts w:ascii="Arial" w:cs="Arial" w:eastAsia="Arial" w:hAnsi="Arial"/>
                <w:color w:val="A0B0C8"/>
                <w:sz w:val="16"/>
                <w:szCs w:val="16"/>
              </w:rPr>
              <w:t xml:space="preserve">Annual revenue</w:t>
            </w:r>
          </w:p>
        </w:tc>
        <w:tc>
          <w:tcPr>
            <w:tcW w:type="dxa" w:w="1560"/>
            <w:tcBorders>
              <w:top w:val="none" w:color="FFFFFF" w:sz="0"/>
              <w:left w:val="none" w:color="FFFFFF" w:sz="0"/>
              <w:bottom w:val="none" w:color="FFFFFF" w:sz="0"/>
              <w:right w:val="none" w:color="FFFFFF" w:sz="0"/>
            </w:tcBorders>
            <w:shd w:fill="0C1D3B" w:val="clear"/>
            <w:tcMar>
              <w:top w:type="dxa" w:w="160"/>
              <w:left w:type="dxa" w:w="120"/>
              <w:bottom w:type="dxa" w:w="160"/>
              <w:right w:type="dxa" w:w="120"/>
            </w:tcMar>
            <w:vAlign w:val="center"/>
          </w:tcPr>
          <w:p>
            <w:pPr>
              <w:spacing w:before="0" w:after="60"/>
              <w:jc w:val="center"/>
            </w:pPr>
            <w:r>
              <w:rPr>
                <w:rFonts w:ascii="Arial" w:cs="Arial" w:eastAsia="Arial" w:hAnsi="Arial"/>
                <w:b/>
                <w:bCs/>
                <w:color w:val="C4922A"/>
                <w:sz w:val="32"/>
                <w:szCs w:val="32"/>
              </w:rPr>
              <w:t xml:space="preserve">£19,579</w:t>
            </w:r>
          </w:p>
          <w:p>
            <w:pPr>
              <w:spacing w:before="0" w:after="0"/>
              <w:jc w:val="center"/>
            </w:pPr>
            <w:r>
              <w:rPr>
                <w:rFonts w:ascii="Arial" w:cs="Arial" w:eastAsia="Arial" w:hAnsi="Arial"/>
                <w:color w:val="A0B0C8"/>
                <w:sz w:val="16"/>
                <w:szCs w:val="16"/>
              </w:rPr>
              <w:t xml:space="preserve">Monthly recurring</w:t>
            </w:r>
          </w:p>
        </w:tc>
        <w:tc>
          <w:tcPr>
            <w:tcW w:type="dxa" w:w="1560"/>
            <w:tcBorders>
              <w:top w:val="none" w:color="FFFFFF" w:sz="0"/>
              <w:left w:val="none" w:color="FFFFFF" w:sz="0"/>
              <w:bottom w:val="none" w:color="FFFFFF" w:sz="0"/>
              <w:right w:val="none" w:color="FFFFFF" w:sz="0"/>
            </w:tcBorders>
            <w:shd w:fill="0C1D3B" w:val="clear"/>
            <w:tcMar>
              <w:top w:type="dxa" w:w="160"/>
              <w:left w:type="dxa" w:w="120"/>
              <w:bottom w:type="dxa" w:w="160"/>
              <w:right w:type="dxa" w:w="120"/>
            </w:tcMar>
            <w:vAlign w:val="center"/>
          </w:tcPr>
          <w:p>
            <w:pPr>
              <w:spacing w:before="0" w:after="60"/>
              <w:jc w:val="center"/>
            </w:pPr>
            <w:r>
              <w:rPr>
                <w:rFonts w:ascii="Arial" w:cs="Arial" w:eastAsia="Arial" w:hAnsi="Arial"/>
                <w:b/>
                <w:bCs/>
                <w:color w:val="C4922A"/>
                <w:sz w:val="32"/>
                <w:szCs w:val="32"/>
              </w:rPr>
              <w:t xml:space="preserve">33.9%</w:t>
            </w:r>
          </w:p>
          <w:p>
            <w:pPr>
              <w:spacing w:before="0" w:after="0"/>
              <w:jc w:val="center"/>
            </w:pPr>
            <w:r>
              <w:rPr>
                <w:rFonts w:ascii="Arial" w:cs="Arial" w:eastAsia="Arial" w:hAnsi="Arial"/>
                <w:color w:val="A0B0C8"/>
                <w:sz w:val="16"/>
                <w:szCs w:val="16"/>
              </w:rPr>
              <w:t xml:space="preserve">Net margin</w:t>
            </w:r>
          </w:p>
        </w:tc>
        <w:tc>
          <w:tcPr>
            <w:tcW w:type="dxa" w:w="1560"/>
            <w:tcBorders>
              <w:top w:val="none" w:color="FFFFFF" w:sz="0"/>
              <w:left w:val="none" w:color="FFFFFF" w:sz="0"/>
              <w:bottom w:val="none" w:color="FFFFFF" w:sz="0"/>
              <w:right w:val="none" w:color="FFFFFF" w:sz="0"/>
            </w:tcBorders>
            <w:shd w:fill="0C1D3B" w:val="clear"/>
            <w:tcMar>
              <w:top w:type="dxa" w:w="160"/>
              <w:left w:type="dxa" w:w="120"/>
              <w:bottom w:type="dxa" w:w="160"/>
              <w:right w:type="dxa" w:w="120"/>
            </w:tcMar>
            <w:vAlign w:val="center"/>
          </w:tcPr>
          <w:p>
            <w:pPr>
              <w:spacing w:before="0" w:after="60"/>
              <w:jc w:val="center"/>
            </w:pPr>
            <w:r>
              <w:rPr>
                <w:rFonts w:ascii="Arial" w:cs="Arial" w:eastAsia="Arial" w:hAnsi="Arial"/>
                <w:b/>
                <w:bCs/>
                <w:color w:val="C4922A"/>
                <w:sz w:val="32"/>
                <w:szCs w:val="32"/>
              </w:rPr>
              <w:t xml:space="preserve">5</w:t>
            </w:r>
          </w:p>
          <w:p>
            <w:pPr>
              <w:spacing w:before="0" w:after="0"/>
              <w:jc w:val="center"/>
            </w:pPr>
            <w:r>
              <w:rPr>
                <w:rFonts w:ascii="Arial" w:cs="Arial" w:eastAsia="Arial" w:hAnsi="Arial"/>
                <w:color w:val="A0B0C8"/>
                <w:sz w:val="16"/>
                <w:szCs w:val="16"/>
              </w:rPr>
              <w:t xml:space="preserve">Staff</w:t>
            </w:r>
          </w:p>
        </w:tc>
        <w:tc>
          <w:tcPr>
            <w:tcW w:type="dxa" w:w="1560"/>
            <w:tcBorders>
              <w:top w:val="none" w:color="FFFFFF" w:sz="0"/>
              <w:left w:val="none" w:color="FFFFFF" w:sz="0"/>
              <w:bottom w:val="none" w:color="FFFFFF" w:sz="0"/>
              <w:right w:val="none" w:color="FFFFFF" w:sz="0"/>
            </w:tcBorders>
            <w:shd w:fill="0C1D3B" w:val="clear"/>
            <w:tcMar>
              <w:top w:type="dxa" w:w="160"/>
              <w:left w:type="dxa" w:w="120"/>
              <w:bottom w:type="dxa" w:w="160"/>
              <w:right w:type="dxa" w:w="120"/>
            </w:tcMar>
            <w:vAlign w:val="center"/>
          </w:tcPr>
          <w:p>
            <w:pPr>
              <w:spacing w:before="0" w:after="60"/>
              <w:jc w:val="center"/>
            </w:pPr>
            <w:r>
              <w:rPr>
                <w:rFonts w:ascii="Arial" w:cs="Arial" w:eastAsia="Arial" w:hAnsi="Arial"/>
                <w:b/>
                <w:bCs/>
                <w:color w:val="C4922A"/>
                <w:sz w:val="32"/>
                <w:szCs w:val="32"/>
              </w:rPr>
              <w:t xml:space="preserve">2015</w:t>
            </w:r>
          </w:p>
          <w:p>
            <w:pPr>
              <w:spacing w:before="0" w:after="0"/>
              <w:jc w:val="center"/>
            </w:pPr>
            <w:r>
              <w:rPr>
                <w:rFonts w:ascii="Arial" w:cs="Arial" w:eastAsia="Arial" w:hAnsi="Arial"/>
                <w:color w:val="A0B0C8"/>
                <w:sz w:val="16"/>
                <w:szCs w:val="16"/>
              </w:rPr>
              <w:t xml:space="preserve">Est.</w:t>
            </w:r>
          </w:p>
        </w:tc>
      </w:tr>
    </w:tbl>
    <w:p>
      <w:pPr>
        <w:spacing w:before="0" w:after="160"/>
      </w:pPr>
      <w:r>
        <w:t xml:space="preserve"/>
      </w:r>
    </w:p>
    <w:p>
      <w:pPr>
        <w:pBdr>
          <w:bottom w:val="single" w:color="C4922A" w:sz="4" w:space="2"/>
        </w:pBdr>
        <w:spacing w:before="100" w:after="100"/>
      </w:pPr>
      <w:r>
        <w:t xml:space="preserve"/>
      </w:r>
    </w:p>
    <w:p>
      <w:pPr>
        <w:spacing w:before="0" w:after="80"/>
      </w:pPr>
      <w:r>
        <w:t xml:space="preserve"/>
      </w:r>
    </w:p>
    <w:p>
      <w:pPr>
        <w:spacing w:before="0" w:after="60"/>
        <w:jc w:val="left"/>
      </w:pPr>
      <w:r>
        <w:rPr>
          <w:rFonts w:ascii="Arial" w:cs="Arial" w:eastAsia="Arial" w:hAnsi="Arial"/>
          <w:b/>
          <w:bCs/>
          <w:color w:val="0C1D3B"/>
          <w:sz w:val="20"/>
          <w:szCs w:val="20"/>
        </w:rPr>
        <w:t xml:space="preserve">Positioning: </w:t>
      </w:r>
      <w:r>
        <w:rPr>
          <w:rFonts w:ascii="Arial" w:cs="Arial" w:eastAsia="Arial" w:hAnsi="Arial"/>
          <w:i/>
          <w:iCs/>
          <w:color w:val="4A5568"/>
          <w:sz w:val="20"/>
          <w:szCs w:val="20"/>
        </w:rPr>
        <w:t xml:space="preserve">a strong niche practice with excellent client loyalty and unusually high recurring revenue, but still materially under-monetised.</w:t>
      </w:r>
    </w:p>
    <w:p>
      <w:pPr>
        <w:spacing w:before="0" w:after="80"/>
      </w:pPr>
      <w:r>
        <w:t xml:space="preserve"/>
      </w:r>
    </w:p>
    <w:p>
      <w:pPr>
        <w:spacing w:before="0" w:after="40"/>
        <w:jc w:val="left"/>
      </w:pPr>
      <w:r>
        <w:rPr>
          <w:rFonts w:ascii="Arial" w:cs="Arial" w:eastAsia="Arial" w:hAnsi="Arial"/>
          <w:color w:val="4A5568"/>
          <w:sz w:val="19"/>
          <w:szCs w:val="19"/>
        </w:rPr>
        <w:t xml:space="preserve">Prepared by:  Md Asadul Chowdury, Managing Director</w:t>
      </w:r>
    </w:p>
    <w:p>
      <w:pPr>
        <w:spacing w:before="0" w:after="0"/>
        <w:jc w:val="left"/>
      </w:pPr>
      <w:r>
        <w:rPr>
          <w:rFonts w:ascii="Arial" w:cs="Arial" w:eastAsia="Arial" w:hAnsi="Arial"/>
          <w:color w:val="4A5568"/>
          <w:sz w:val="19"/>
          <w:szCs w:val="19"/>
        </w:rPr>
        <w:t xml:space="preserve">Date:  March 2026</w:t>
      </w:r>
    </w:p>
    <w:p>
      <w:r>
        <w:br w:type="page"/>
      </w:r>
    </w:p>
    <w:p>
      <w:pPr>
        <w:pStyle w:val="Heading1"/>
        <w:pBdr>
          <w:bottom w:val="single" w:color="C4922A" w:sz="6" w:space="6"/>
        </w:pBdr>
        <w:spacing w:before="440" w:after="180"/>
      </w:pPr>
      <w:r>
        <w:rPr>
          <w:rFonts w:ascii="Arial" w:cs="Arial" w:eastAsia="Arial" w:hAnsi="Arial"/>
          <w:b/>
          <w:bCs/>
          <w:color w:val="0C1D3B"/>
          <w:sz w:val="30"/>
          <w:szCs w:val="30"/>
        </w:rPr>
        <w:t xml:space="preserve">Executive Summary</w:t>
      </w:r>
    </w:p>
    <w:p>
      <w:pPr>
        <w:spacing w:before="60" w:after="100"/>
      </w:pPr>
      <w:r>
        <w:rPr>
          <w:rFonts w:ascii="Arial" w:cs="Arial" w:eastAsia="Arial" w:hAnsi="Arial"/>
          <w:b w:val="false"/>
          <w:bCs w:val="false"/>
          <w:i w:val="false"/>
          <w:iCs w:val="false"/>
          <w:color w:val="1A202C"/>
          <w:sz w:val="20"/>
          <w:szCs w:val="20"/>
        </w:rPr>
        <w:t xml:space="preserve">The Chowdury Accountants Ltd has built a real practice asset: approximately 600 active clients, £314,000 of restated annual revenue, and £19,579 per month of recurring income collected through direct debit and standing order. The client base is durable, referral-led, and rooted in trust within the South Asian business community — especially the hospitality sector across Greater Manchester and surrounding towns.</w:t>
      </w:r>
    </w:p>
    <w:p>
      <w:pPr>
        <w:spacing w:before="0" w:after="80"/>
      </w:pPr>
      <w:r>
        <w:t xml:space="preserve"/>
      </w:r>
    </w:p>
    <w:p>
      <w:pPr>
        <w:pBdr>
          <w:left w:val="single" w:color="C4922A" w:sz="20" w:space="14"/>
        </w:pBdr>
        <w:spacing w:before="120" w:after="120"/>
        <w:jc w:val="left"/>
      </w:pPr>
      <w:r>
        <w:rPr>
          <w:rFonts w:ascii="Arial" w:cs="Arial" w:eastAsia="Arial" w:hAnsi="Arial"/>
          <w:b/>
          <w:bCs/>
          <w:i/>
          <w:iCs/>
          <w:color w:val="0C1D3B"/>
          <w:sz w:val="22"/>
          <w:szCs w:val="22"/>
        </w:rPr>
        <w:t xml:space="preserve">"The practice's core commercial problem is not weak demand, weak retention, or weak systems. It is pricing discipline."</w:t>
      </w:r>
    </w:p>
    <w:p>
      <w:pPr>
        <w:spacing w:before="0" w:after="80"/>
      </w:pPr>
      <w:r>
        <w:t xml:space="preserve"/>
      </w:r>
    </w:p>
    <w:p>
      <w:pPr>
        <w:spacing w:before="60" w:after="100"/>
      </w:pPr>
      <w:r>
        <w:rPr>
          <w:rFonts w:ascii="Arial" w:cs="Arial" w:eastAsia="Arial" w:hAnsi="Arial"/>
          <w:b w:val="false"/>
          <w:bCs w:val="false"/>
          <w:i w:val="false"/>
          <w:iCs w:val="false"/>
          <w:color w:val="1A202C"/>
          <w:sz w:val="20"/>
          <w:szCs w:val="20"/>
        </w:rPr>
        <w:t xml:space="preserve">On the current client base alone, bringing fees to a more sustainable level would add approximately £109,340 of annual revenue before any new client acquisition. Operationally, the practice is strong for its size: a bespoke management portal, an established GoCardless collection programme, healthy staff cost ratios, owned premises via the related property company, and a recurring revenue ratio that is exceptional for a regional firm of this scale.</w:t>
      </w:r>
    </w:p>
    <w:p>
      <w:pPr>
        <w:spacing w:before="0" w:after="80"/>
      </w:pPr>
      <w:r>
        <w:t xml:space="preserve"/>
      </w:r>
    </w:p>
    <w:p>
      <w:pPr>
        <w:spacing w:before="60" w:after="100"/>
      </w:pPr>
      <w:r>
        <w:rPr>
          <w:rFonts w:ascii="Arial" w:cs="Arial" w:eastAsia="Arial" w:hAnsi="Arial"/>
          <w:b w:val="false"/>
          <w:bCs w:val="false"/>
          <w:i w:val="false"/>
          <w:iCs w:val="false"/>
          <w:color w:val="1A202C"/>
          <w:sz w:val="20"/>
          <w:szCs w:val="20"/>
        </w:rPr>
        <w:t xml:space="preserve">The biggest structural weakness is founder dependency. The largest suppressor of value is not revenue quality — it is the extent to which key client relationships still depend on the Managing Director personally. The next stage of growth should come primarily from fee correction, service bundling, selective advisory launches, stronger client data capture, and deliberate reduction of founder concentration.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4922A" w:sz="4"/>
              <w:left w:val="single" w:color="C4922A" w:sz="4"/>
              <w:bottom w:val="single" w:color="C4922A" w:sz="4"/>
              <w:right w:val="single" w:color="C4922A" w:sz="4"/>
            </w:tcBorders>
            <w:shd w:fill="C4922A"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Five strongest findings</w:t>
            </w:r>
          </w:p>
        </w:tc>
        <w:tc>
          <w:tcPr>
            <w:tcW w:type="dxa" w:w="468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Five most important risks</w:t>
            </w:r>
          </w:p>
        </w:tc>
      </w:tr>
      <w:tr>
        <w:tc>
          <w:tcPr>
            <w:tcW w:type="dxa" w:w="4680"/>
            <w:tcBorders>
              <w:top w:val="single" w:color="E2E8EF" w:sz="4"/>
              <w:left w:val="single" w:color="E2E8EF" w:sz="4"/>
              <w:bottom w:val="single" w:color="E2E8EF" w:sz="4"/>
              <w:right w:val="single" w:color="E2E8EF" w:sz="4"/>
            </w:tcBorders>
            <w:shd w:fill="FAFDF6" w:val="clear"/>
            <w:tcMar>
              <w:top w:type="dxa" w:w="140"/>
              <w:left w:type="dxa" w:w="180"/>
              <w:bottom w:type="dxa" w:w="140"/>
              <w:right w:type="dxa" w:w="180"/>
            </w:tcMar>
          </w:tcPr>
          <w:p>
            <w:pPr>
              <w:pStyle w:val="ListParagraph"/>
              <w:numPr>
                <w:ilvl w:val="0"/>
                <w:numId w:val="2"/>
              </w:numPr>
              <w:spacing w:before="40" w:after="40"/>
            </w:pPr>
            <w:r>
              <w:rPr>
                <w:rFonts w:ascii="Arial" w:cs="Arial" w:eastAsia="Arial" w:hAnsi="Arial"/>
                <w:color w:val="1A202C"/>
                <w:sz w:val="18"/>
                <w:szCs w:val="18"/>
              </w:rPr>
              <w:t xml:space="preserve">Recurring revenue of £19,579/month is a genuine strategic asset — top-quartile for a practice of this size.</w:t>
            </w:r>
          </w:p>
          <w:p>
            <w:pPr>
              <w:pStyle w:val="ListParagraph"/>
              <w:numPr>
                <w:ilvl w:val="0"/>
                <w:numId w:val="2"/>
              </w:numPr>
              <w:spacing w:before="40" w:after="40"/>
            </w:pPr>
            <w:r>
              <w:rPr>
                <w:rFonts w:ascii="Arial" w:cs="Arial" w:eastAsia="Arial" w:hAnsi="Arial"/>
                <w:color w:val="1A202C"/>
                <w:sz w:val="18"/>
                <w:szCs w:val="18"/>
              </w:rPr>
              <w:t xml:space="preserve">Client retention is unusually strong; growth since 2015 has been almost entirely referral-driven.</w:t>
            </w:r>
          </w:p>
          <w:p>
            <w:pPr>
              <w:pStyle w:val="ListParagraph"/>
              <w:numPr>
                <w:ilvl w:val="0"/>
                <w:numId w:val="2"/>
              </w:numPr>
              <w:spacing w:before="40" w:after="40"/>
            </w:pPr>
            <w:r>
              <w:rPr>
                <w:rFonts w:ascii="Arial" w:cs="Arial" w:eastAsia="Arial" w:hAnsi="Arial"/>
                <w:color w:val="1A202C"/>
                <w:sz w:val="18"/>
                <w:szCs w:val="18"/>
              </w:rPr>
              <w:t xml:space="preserve">The practice holds a defendable niche in hospitality and South Asian owner-managed businesses.</w:t>
            </w:r>
          </w:p>
          <w:p>
            <w:pPr>
              <w:pStyle w:val="ListParagraph"/>
              <w:numPr>
                <w:ilvl w:val="0"/>
                <w:numId w:val="2"/>
              </w:numPr>
              <w:spacing w:before="40" w:after="40"/>
            </w:pPr>
            <w:r>
              <w:rPr>
                <w:rFonts w:ascii="Arial" w:cs="Arial" w:eastAsia="Arial" w:hAnsi="Arial"/>
                <w:color w:val="1A202C"/>
                <w:sz w:val="18"/>
                <w:szCs w:val="18"/>
              </w:rPr>
              <w:t xml:space="preserve">Current net margin of 33.9% (before MD remuneration) is healthy and confirms the business is viable before any fee correction.</w:t>
            </w:r>
          </w:p>
          <w:p>
            <w:pPr>
              <w:pStyle w:val="ListParagraph"/>
              <w:numPr>
                <w:ilvl w:val="0"/>
                <w:numId w:val="2"/>
              </w:numPr>
              <w:spacing w:before="40" w:after="40"/>
            </w:pPr>
            <w:r>
              <w:rPr>
                <w:rFonts w:ascii="Arial" w:cs="Arial" w:eastAsia="Arial" w:hAnsi="Arial"/>
                <w:color w:val="1A202C"/>
                <w:sz w:val="18"/>
                <w:szCs w:val="18"/>
              </w:rPr>
              <w:t xml:space="preserve">The infrastructure for the next level already exists: systems, trust, staff base, and a branded office.</w:t>
            </w:r>
          </w:p>
        </w:tc>
        <w:tc>
          <w:tcPr>
            <w:tcW w:type="dxa" w:w="4680"/>
            <w:tcBorders>
              <w:top w:val="single" w:color="E2E8EF" w:sz="4"/>
              <w:left w:val="single" w:color="E2E8EF" w:sz="4"/>
              <w:bottom w:val="single" w:color="E2E8EF" w:sz="4"/>
              <w:right w:val="single" w:color="E2E8EF" w:sz="4"/>
            </w:tcBorders>
            <w:shd w:fill="FDF9F0" w:val="clear"/>
            <w:tcMar>
              <w:top w:type="dxa" w:w="140"/>
              <w:left w:type="dxa" w:w="180"/>
              <w:bottom w:type="dxa" w:w="140"/>
              <w:right w:type="dxa" w:w="180"/>
            </w:tcMar>
          </w:tcPr>
          <w:p>
            <w:pPr>
              <w:pStyle w:val="ListParagraph"/>
              <w:numPr>
                <w:ilvl w:val="0"/>
                <w:numId w:val="2"/>
              </w:numPr>
              <w:spacing w:before="40" w:after="40"/>
            </w:pPr>
            <w:r>
              <w:rPr>
                <w:rFonts w:ascii="Arial" w:cs="Arial" w:eastAsia="Arial" w:hAnsi="Arial"/>
                <w:color w:val="1A202C"/>
                <w:sz w:val="18"/>
                <w:szCs w:val="18"/>
              </w:rPr>
              <w:t xml:space="preserve">Ltd and payroll fees are materially below market rates, leaving approximately £109,000/year uncaptured.</w:t>
            </w:r>
          </w:p>
          <w:p>
            <w:pPr>
              <w:pStyle w:val="ListParagraph"/>
              <w:numPr>
                <w:ilvl w:val="0"/>
                <w:numId w:val="2"/>
              </w:numPr>
              <w:spacing w:before="40" w:after="40"/>
            </w:pPr>
            <w:r>
              <w:rPr>
                <w:rFonts w:ascii="Arial" w:cs="Arial" w:eastAsia="Arial" w:hAnsi="Arial"/>
                <w:color w:val="1A202C"/>
                <w:sz w:val="18"/>
                <w:szCs w:val="18"/>
              </w:rPr>
              <w:t xml:space="preserve">Founder dependency suppresses both valuation and operational scalability.</w:t>
            </w:r>
          </w:p>
          <w:p>
            <w:pPr>
              <w:pStyle w:val="ListParagraph"/>
              <w:numPr>
                <w:ilvl w:val="0"/>
                <w:numId w:val="2"/>
              </w:numPr>
              <w:spacing w:before="40" w:after="40"/>
            </w:pPr>
            <w:r>
              <w:rPr>
                <w:rFonts w:ascii="Arial" w:cs="Arial" w:eastAsia="Arial" w:hAnsi="Arial"/>
                <w:color w:val="1A202C"/>
                <w:sz w:val="18"/>
                <w:szCs w:val="18"/>
              </w:rPr>
              <w:t xml:space="preserve">Client data is fragmented; phone coverage is absent and email coverage is incomplete.</w:t>
            </w:r>
          </w:p>
          <w:p>
            <w:pPr>
              <w:pStyle w:val="ListParagraph"/>
              <w:numPr>
                <w:ilvl w:val="0"/>
                <w:numId w:val="2"/>
              </w:numPr>
              <w:spacing w:before="40" w:after="40"/>
            </w:pPr>
            <w:r>
              <w:rPr>
                <w:rFonts w:ascii="Arial" w:cs="Arial" w:eastAsia="Arial" w:hAnsi="Arial"/>
                <w:color w:val="1A202C"/>
                <w:sz w:val="18"/>
                <w:szCs w:val="18"/>
              </w:rPr>
              <w:t xml:space="preserve">The practice is almost entirely compliance-led, with little high-margin advisory income.</w:t>
            </w:r>
          </w:p>
          <w:p>
            <w:pPr>
              <w:pStyle w:val="ListParagraph"/>
              <w:numPr>
                <w:ilvl w:val="0"/>
                <w:numId w:val="2"/>
              </w:numPr>
              <w:spacing w:before="40" w:after="40"/>
            </w:pPr>
            <w:r>
              <w:rPr>
                <w:rFonts w:ascii="Arial" w:cs="Arial" w:eastAsia="Arial" w:hAnsi="Arial"/>
                <w:color w:val="1A202C"/>
                <w:sz w:val="18"/>
                <w:szCs w:val="18"/>
              </w:rPr>
              <w:t xml:space="preserve">Loss of Hassan or Aminul would create an immediate operational pressure point.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160"/>
        <w:gridCol w:w="2400"/>
      </w:tblGrid>
      <w:tr>
        <w:tc>
          <w:tcPr>
            <w:tcW w:type="dxa" w:w="28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Metric</w:t>
            </w:r>
          </w:p>
        </w:tc>
        <w:tc>
          <w:tcPr>
            <w:tcW w:type="dxa" w:w="20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Current (2026)</w:t>
            </w:r>
          </w:p>
        </w:tc>
        <w:tc>
          <w:tcPr>
            <w:tcW w:type="dxa" w:w="21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Post Fee Correction</w:t>
            </w:r>
          </w:p>
        </w:tc>
        <w:tc>
          <w:tcPr>
            <w:tcW w:type="dxa" w:w="24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Vision 2030 / Upside</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Annual revenue</w:t>
            </w:r>
          </w:p>
        </w:tc>
        <w:tc>
          <w:tcPr>
            <w:tcW w:type="dxa" w:w="2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£314,000</w:t>
            </w:r>
          </w:p>
        </w:tc>
        <w:tc>
          <w:tcPr>
            <w:tcW w:type="dxa" w:w="21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3A6E"/>
                <w:sz w:val="18"/>
                <w:szCs w:val="18"/>
              </w:rPr>
              <w:t xml:space="preserve">£423,000</w:t>
            </w:r>
          </w:p>
        </w:tc>
        <w:tc>
          <w:tcPr>
            <w:tcW w:type="dxa" w:w="2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£750k–£1,000,000</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Net profit (before MD remuneration)</w:t>
            </w:r>
          </w:p>
        </w:tc>
        <w:tc>
          <w:tcPr>
            <w:tcW w:type="dxa" w:w="2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~£107,000</w:t>
            </w:r>
          </w:p>
        </w:tc>
        <w:tc>
          <w:tcPr>
            <w:tcW w:type="dxa" w:w="21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3A6E"/>
                <w:sz w:val="18"/>
                <w:szCs w:val="18"/>
              </w:rPr>
              <w:t xml:space="preserve">~£216,000</w:t>
            </w:r>
          </w:p>
        </w:tc>
        <w:tc>
          <w:tcPr>
            <w:tcW w:type="dxa" w:w="2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~£300,000+</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Monthly recurring revenue</w:t>
            </w:r>
          </w:p>
        </w:tc>
        <w:tc>
          <w:tcPr>
            <w:tcW w:type="dxa" w:w="2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£19,579</w:t>
            </w:r>
          </w:p>
        </w:tc>
        <w:tc>
          <w:tcPr>
            <w:tcW w:type="dxa" w:w="21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3A6E"/>
                <w:sz w:val="18"/>
                <w:szCs w:val="18"/>
              </w:rPr>
              <w:t xml:space="preserve">£21,000+</w:t>
            </w:r>
          </w:p>
        </w:tc>
        <w:tc>
          <w:tcPr>
            <w:tcW w:type="dxa" w:w="2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£25,000+</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Active clients</w:t>
            </w:r>
          </w:p>
        </w:tc>
        <w:tc>
          <w:tcPr>
            <w:tcW w:type="dxa" w:w="2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~600</w:t>
            </w:r>
          </w:p>
        </w:tc>
        <w:tc>
          <w:tcPr>
            <w:tcW w:type="dxa" w:w="21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3A6E"/>
                <w:sz w:val="18"/>
                <w:szCs w:val="18"/>
              </w:rPr>
              <w:t xml:space="preserve">~600</w:t>
            </w:r>
          </w:p>
        </w:tc>
        <w:tc>
          <w:tcPr>
            <w:tcW w:type="dxa" w:w="2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~800–1,000</w:t>
            </w:r>
          </w:p>
        </w:tc>
      </w:tr>
      <w:tr>
        <w:tc>
          <w:tcPr>
            <w:tcW w:type="dxa" w:w="28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Indicative practice valuation</w:t>
            </w:r>
          </w:p>
        </w:tc>
        <w:tc>
          <w:tcPr>
            <w:tcW w:type="dxa" w:w="20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£250k–£380k</w:t>
            </w:r>
          </w:p>
        </w:tc>
        <w:tc>
          <w:tcPr>
            <w:tcW w:type="dxa" w:w="216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bCs/>
                <w:i w:val="false"/>
                <w:iCs w:val="false"/>
                <w:color w:val="1A3A6E"/>
                <w:sz w:val="18"/>
                <w:szCs w:val="18"/>
              </w:rPr>
              <w:t xml:space="preserve">£340k–£470k</w:t>
            </w:r>
          </w:p>
        </w:tc>
        <w:tc>
          <w:tcPr>
            <w:tcW w:type="dxa" w:w="24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£750k–£975k</w:t>
            </w:r>
          </w:p>
        </w:tc>
      </w:tr>
    </w:tbl>
    <w:p>
      <w:pPr>
        <w:spacing w:before="0" w:after="80"/>
      </w:pPr>
      <w:r>
        <w:t xml:space="preserve"/>
      </w:r>
    </w:p>
    <w:p>
      <w:pPr>
        <w:pBdr>
          <w:left w:val="single" w:color="C4922A" w:sz="20" w:space="14"/>
        </w:pBdr>
        <w:spacing w:before="120" w:after="120"/>
        <w:jc w:val="left"/>
      </w:pPr>
      <w:r>
        <w:rPr>
          <w:rFonts w:ascii="Arial" w:cs="Arial" w:eastAsia="Arial" w:hAnsi="Arial"/>
          <w:b/>
          <w:bCs/>
          <w:i/>
          <w:iCs/>
          <w:color w:val="0C1D3B"/>
          <w:sz w:val="22"/>
          <w:szCs w:val="22"/>
        </w:rPr>
        <w:t xml:space="preserve">"The business does not require reinvention. It requires better pricing, better packaging, and more deliberate transfer of operational ownership away from the founder."</w:t>
      </w:r>
    </w:p>
    <w:p>
      <w:r>
        <w:br w:type="page"/>
      </w:r>
    </w:p>
    <w:p>
      <w:pPr>
        <w:pStyle w:val="Heading1"/>
        <w:pBdr>
          <w:bottom w:val="single" w:color="C4922A" w:sz="6" w:space="6"/>
        </w:pBdr>
        <w:spacing w:before="440" w:after="180"/>
      </w:pPr>
      <w:r>
        <w:rPr>
          <w:rFonts w:ascii="Arial" w:cs="Arial" w:eastAsia="Arial" w:hAnsi="Arial"/>
          <w:b/>
          <w:bCs/>
          <w:color w:val="0C1D3B"/>
          <w:sz w:val="30"/>
          <w:szCs w:val="30"/>
        </w:rPr>
        <w:t xml:space="preserve">1. Practice Overview</w:t>
      </w:r>
    </w:p>
    <w:p>
      <w:pPr>
        <w:spacing w:before="60" w:after="100"/>
      </w:pPr>
      <w:r>
        <w:rPr>
          <w:rFonts w:ascii="Arial" w:cs="Arial" w:eastAsia="Arial" w:hAnsi="Arial"/>
          <w:b w:val="false"/>
          <w:bCs w:val="false"/>
          <w:i w:val="false"/>
          <w:iCs w:val="false"/>
          <w:color w:val="1A202C"/>
          <w:sz w:val="20"/>
          <w:szCs w:val="20"/>
        </w:rPr>
        <w:t xml:space="preserve">The Chowdury Accountants Ltd is an AAT Licensed firm based at 283 Featherstall Road North, Oldham, trading as Chowdury Accountants. Founded in 2015, the practice has grown from a standing start to a substantial owner-managed client base. The brand now combines sector specialism, community trust, office visibility, and recurring collections infrastructure in a way that is uncommon for firms of comparable size.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Practice item</w:t>
            </w:r>
          </w:p>
        </w:tc>
        <w:tc>
          <w:tcPr>
            <w:tcW w:type="dxa" w:w="65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Detail</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Registered name</w:t>
            </w:r>
          </w:p>
        </w:tc>
        <w:tc>
          <w:tcPr>
            <w:tcW w:type="dxa" w:w="65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The Chowdury Accountants Ltd</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Trading style</w:t>
            </w:r>
          </w:p>
        </w:tc>
        <w:tc>
          <w:tcPr>
            <w:tcW w:type="dxa" w:w="65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Chowdury Accountants</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Company number</w:t>
            </w:r>
          </w:p>
        </w:tc>
        <w:tc>
          <w:tcPr>
            <w:tcW w:type="dxa" w:w="65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09441520</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VAT number</w:t>
            </w:r>
          </w:p>
        </w:tc>
        <w:tc>
          <w:tcPr>
            <w:tcW w:type="dxa" w:w="65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403 392 620</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Licence</w:t>
            </w:r>
          </w:p>
        </w:tc>
        <w:tc>
          <w:tcPr>
            <w:tcW w:type="dxa" w:w="65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AAT Licensed Accountants</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Trademark</w:t>
            </w:r>
          </w:p>
        </w:tc>
        <w:tc>
          <w:tcPr>
            <w:tcW w:type="dxa" w:w="65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UK00004273557 — Class 35, registered December 2025, renewal October 2035</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Registered address</w:t>
            </w:r>
          </w:p>
        </w:tc>
        <w:tc>
          <w:tcPr>
            <w:tcW w:type="dxa" w:w="65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283 Featherstall Road North, Oldham, OL1 2NH</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Telephone</w:t>
            </w:r>
          </w:p>
        </w:tc>
        <w:tc>
          <w:tcPr>
            <w:tcW w:type="dxa" w:w="65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0161 222 4647  /  07948 503627</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Email / website</w:t>
            </w:r>
          </w:p>
        </w:tc>
        <w:tc>
          <w:tcPr>
            <w:tcW w:type="dxa" w:w="65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info@chowduryaccountants.co.uk  /  www.chowduryaccountants.co.uk</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Managing Director</w:t>
            </w:r>
          </w:p>
        </w:tc>
        <w:tc>
          <w:tcPr>
            <w:tcW w:type="dxa" w:w="65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Md Asadul Chowdury AAT</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Practice founded</w:t>
            </w:r>
          </w:p>
        </w:tc>
        <w:tc>
          <w:tcPr>
            <w:tcW w:type="dxa" w:w="65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2015</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Team member</w:t>
            </w:r>
          </w:p>
        </w:tc>
        <w:tc>
          <w:tcPr>
            <w:tcW w:type="dxa" w:w="18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Role</w:t>
            </w:r>
          </w:p>
        </w:tc>
        <w:tc>
          <w:tcPr>
            <w:tcW w:type="dxa" w:w="51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Core responsibilities</w:t>
            </w:r>
          </w:p>
        </w:tc>
      </w:tr>
      <w:tr>
        <w:tc>
          <w:tcPr>
            <w:tcW w:type="dxa" w:w="2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Md Asadul Chowdury</w:t>
            </w:r>
          </w:p>
        </w:tc>
        <w:tc>
          <w:tcPr>
            <w:tcW w:type="dxa" w:w="1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A6E"/>
                <w:sz w:val="18"/>
                <w:szCs w:val="18"/>
              </w:rPr>
              <w:t xml:space="preserve">Managing Director</w:t>
            </w:r>
          </w:p>
        </w:tc>
        <w:tc>
          <w:tcPr>
            <w:tcW w:type="dxa" w:w="51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Client relationships, strategy, accounts review, pricing, business development, complex advisory matters.</w:t>
            </w:r>
          </w:p>
        </w:tc>
      </w:tr>
      <w:tr>
        <w:tc>
          <w:tcPr>
            <w:tcW w:type="dxa" w:w="2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Hassan Ali</w:t>
            </w:r>
          </w:p>
        </w:tc>
        <w:tc>
          <w:tcPr>
            <w:tcW w:type="dxa" w:w="1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Ltd Co. &amp; VAT Manager</w:t>
            </w:r>
          </w:p>
        </w:tc>
        <w:tc>
          <w:tcPr>
            <w:tcW w:type="dxa" w:w="51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Company accounts, corporation tax, VAT returns, client coordination, compliance management.</w:t>
            </w:r>
          </w:p>
        </w:tc>
      </w:tr>
      <w:tr>
        <w:tc>
          <w:tcPr>
            <w:tcW w:type="dxa" w:w="2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Aminul Choudhury</w:t>
            </w:r>
          </w:p>
        </w:tc>
        <w:tc>
          <w:tcPr>
            <w:tcW w:type="dxa" w:w="1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Payroll &amp; SA Manager</w:t>
            </w:r>
          </w:p>
        </w:tc>
        <w:tc>
          <w:tcPr>
            <w:tcW w:type="dxa" w:w="51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PAYE processing, self-assessment returns, onboarding, workflow, bookkeeping coordination.</w:t>
            </w:r>
          </w:p>
        </w:tc>
      </w:tr>
      <w:tr>
        <w:tc>
          <w:tcPr>
            <w:tcW w:type="dxa" w:w="2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Syed Nawaz</w:t>
            </w:r>
          </w:p>
        </w:tc>
        <w:tc>
          <w:tcPr>
            <w:tcW w:type="dxa" w:w="1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Apprentice</w:t>
            </w:r>
          </w:p>
        </w:tc>
        <w:tc>
          <w:tcPr>
            <w:tcW w:type="dxa" w:w="51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Administrative support, data entry, client liaison, filing support.</w:t>
            </w:r>
          </w:p>
        </w:tc>
      </w:tr>
      <w:tr>
        <w:tc>
          <w:tcPr>
            <w:tcW w:type="dxa" w:w="2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Sadat Bhuiyan</w:t>
            </w:r>
          </w:p>
        </w:tc>
        <w:tc>
          <w:tcPr>
            <w:tcW w:type="dxa" w:w="1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Remote Accountant</w:t>
            </w:r>
          </w:p>
        </w:tc>
        <w:tc>
          <w:tcPr>
            <w:tcW w:type="dxa" w:w="51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Accounts preparation and bookkeeping support (Bangladesh).</w:t>
            </w:r>
          </w:p>
        </w:tc>
      </w:tr>
    </w:tbl>
    <w:p>
      <w:pPr>
        <w:spacing w:before="0" w:after="80"/>
      </w:pPr>
      <w:r>
        <w:t xml:space="preserve"/>
      </w:r>
    </w:p>
    <w:p>
      <w:pPr>
        <w:spacing w:before="60" w:after="100"/>
      </w:pPr>
      <w:r>
        <w:rPr>
          <w:rFonts w:ascii="Arial" w:cs="Arial" w:eastAsia="Arial" w:hAnsi="Arial"/>
          <w:b w:val="false"/>
          <w:bCs w:val="false"/>
          <w:i w:val="false"/>
          <w:iCs w:val="false"/>
          <w:color w:val="1A202C"/>
          <w:sz w:val="20"/>
          <w:szCs w:val="20"/>
        </w:rPr>
        <w:t xml:space="preserve">The office building at 283 Featherstall Road North is owned by Chowdury Properties Ltd (CPL). The practice pays £2,000/month under a formal six-year commercial lease from November 2025. A commercial mortgage refinancing is in progress with broker Olivia Gallagher at B2B Finance, targeting a reduction from the current 9.9% APR to a competitive rate at 75% LTV, interest-only basis.</w:t>
      </w:r>
    </w:p>
    <w:p>
      <w:r>
        <w:br w:type="page"/>
      </w:r>
    </w:p>
    <w:p>
      <w:pPr>
        <w:pStyle w:val="Heading1"/>
        <w:pBdr>
          <w:bottom w:val="single" w:color="C4922A" w:sz="6" w:space="6"/>
        </w:pBdr>
        <w:spacing w:before="440" w:after="180"/>
      </w:pPr>
      <w:r>
        <w:rPr>
          <w:rFonts w:ascii="Arial" w:cs="Arial" w:eastAsia="Arial" w:hAnsi="Arial"/>
          <w:b/>
          <w:bCs/>
          <w:color w:val="0C1D3B"/>
          <w:sz w:val="30"/>
          <w:szCs w:val="30"/>
        </w:rPr>
        <w:t xml:space="preserve">2. Client Base, Services and Sector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Metric</w:t>
            </w:r>
          </w:p>
        </w:tc>
        <w:tc>
          <w:tcPr>
            <w:tcW w:type="dxa" w:w="65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Confirmed count and comment</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Active limited companies</w:t>
            </w:r>
          </w:p>
        </w:tc>
        <w:tc>
          <w:tcPr>
            <w:tcW w:type="dxa" w:w="65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307 — core economic engine of the practice.</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Self-assessment returns</w:t>
            </w:r>
          </w:p>
        </w:tc>
        <w:tc>
          <w:tcPr>
            <w:tcW w:type="dxa" w:w="65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383 — includes 44 directors also within the Ltd client base.</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PAYE employers</w:t>
            </w:r>
          </w:p>
        </w:tc>
        <w:tc>
          <w:tcPr>
            <w:tcW w:type="dxa" w:w="65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243 — managing approximately 1,007 employees in aggregate.</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VAT-registered clients</w:t>
            </w:r>
          </w:p>
        </w:tc>
        <w:tc>
          <w:tcPr>
            <w:tcW w:type="dxa" w:w="65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42 — correctly priced at £600/year for four returns.</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DD / SO recurring clients</w:t>
            </w:r>
          </w:p>
        </w:tc>
        <w:tc>
          <w:tcPr>
            <w:tcW w:type="dxa" w:w="65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208 — 163 GoCardless clients and 45 standing order clients.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400"/>
        <w:gridCol w:w="2000"/>
        <w:gridCol w:w="2160"/>
      </w:tblGrid>
      <w:tr>
        <w:tc>
          <w:tcPr>
            <w:tcW w:type="dxa" w:w="26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Service line</w:t>
            </w:r>
          </w:p>
        </w:tc>
        <w:tc>
          <w:tcPr>
            <w:tcW w:type="dxa" w:w="12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Clients</w:t>
            </w:r>
          </w:p>
        </w:tc>
        <w:tc>
          <w:tcPr>
            <w:tcW w:type="dxa" w:w="14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Current fee</w:t>
            </w:r>
          </w:p>
        </w:tc>
        <w:tc>
          <w:tcPr>
            <w:tcW w:type="dxa" w:w="20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Modelled annual revenue</w:t>
            </w:r>
          </w:p>
        </w:tc>
        <w:tc>
          <w:tcPr>
            <w:tcW w:type="dxa" w:w="21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Share of actual revenue</w:t>
            </w:r>
          </w:p>
        </w:tc>
      </w:tr>
      <w:tr>
        <w:tc>
          <w:tcPr>
            <w:tcW w:type="dxa" w:w="26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Ltd company accounts</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307</w:t>
            </w:r>
          </w:p>
        </w:tc>
        <w:tc>
          <w:tcPr>
            <w:tcW w:type="dxa" w:w="1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£600</w:t>
            </w:r>
          </w:p>
        </w:tc>
        <w:tc>
          <w:tcPr>
            <w:tcW w:type="dxa" w:w="2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£184,200</w:t>
            </w:r>
          </w:p>
        </w:tc>
        <w:tc>
          <w:tcPr>
            <w:tcW w:type="dxa" w:w="21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58.7%</w:t>
            </w:r>
          </w:p>
        </w:tc>
      </w:tr>
      <w:tr>
        <w:tc>
          <w:tcPr>
            <w:tcW w:type="dxa" w:w="26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PAYE / payroll</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243</w:t>
            </w:r>
          </w:p>
        </w:tc>
        <w:tc>
          <w:tcPr>
            <w:tcW w:type="dxa" w:w="1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£300 per employer</w:t>
            </w:r>
          </w:p>
        </w:tc>
        <w:tc>
          <w:tcPr>
            <w:tcW w:type="dxa" w:w="2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£72,900</w:t>
            </w:r>
          </w:p>
        </w:tc>
        <w:tc>
          <w:tcPr>
            <w:tcW w:type="dxa" w:w="21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23.2%</w:t>
            </w:r>
          </w:p>
        </w:tc>
      </w:tr>
      <w:tr>
        <w:tc>
          <w:tcPr>
            <w:tcW w:type="dxa" w:w="26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Self-assessment</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383</w:t>
            </w:r>
          </w:p>
        </w:tc>
        <w:tc>
          <w:tcPr>
            <w:tcW w:type="dxa" w:w="1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£150</w:t>
            </w:r>
          </w:p>
        </w:tc>
        <w:tc>
          <w:tcPr>
            <w:tcW w:type="dxa" w:w="2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£57,450</w:t>
            </w:r>
          </w:p>
        </w:tc>
        <w:tc>
          <w:tcPr>
            <w:tcW w:type="dxa" w:w="21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18.3%</w:t>
            </w:r>
          </w:p>
        </w:tc>
      </w:tr>
      <w:tr>
        <w:tc>
          <w:tcPr>
            <w:tcW w:type="dxa" w:w="26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VAT returns</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42</w:t>
            </w:r>
          </w:p>
        </w:tc>
        <w:tc>
          <w:tcPr>
            <w:tcW w:type="dxa" w:w="1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£600/year</w:t>
            </w:r>
          </w:p>
        </w:tc>
        <w:tc>
          <w:tcPr>
            <w:tcW w:type="dxa" w:w="2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£25,200</w:t>
            </w:r>
          </w:p>
        </w:tc>
        <w:tc>
          <w:tcPr>
            <w:tcW w:type="dxa" w:w="21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8.0%</w:t>
            </w:r>
          </w:p>
        </w:tc>
      </w:tr>
      <w:tr>
        <w:tc>
          <w:tcPr>
            <w:tcW w:type="dxa" w:w="26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Total modelled</w:t>
            </w:r>
          </w:p>
        </w:tc>
        <w:tc>
          <w:tcPr>
            <w:tcW w:type="dxa" w:w="12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
            </w:r>
          </w:p>
        </w:tc>
        <w:tc>
          <w:tcPr>
            <w:tcW w:type="dxa" w:w="14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
            </w:r>
          </w:p>
        </w:tc>
        <w:tc>
          <w:tcPr>
            <w:tcW w:type="dxa" w:w="20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bCs/>
                <w:i w:val="false"/>
                <w:iCs w:val="false"/>
                <w:color w:val="1A3A6E"/>
                <w:sz w:val="18"/>
                <w:szCs w:val="18"/>
              </w:rPr>
              <w:t xml:space="preserve">£339,750</w:t>
            </w:r>
          </w:p>
        </w:tc>
        <w:tc>
          <w:tcPr>
            <w:tcW w:type="dxa" w:w="216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w:t>
            </w:r>
          </w:p>
        </w:tc>
      </w:tr>
      <w:tr>
        <w:tc>
          <w:tcPr>
            <w:tcW w:type="dxa" w:w="26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Actual restated FY2025/26</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
            </w:r>
          </w:p>
        </w:tc>
        <w:tc>
          <w:tcPr>
            <w:tcW w:type="dxa" w:w="1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
            </w:r>
          </w:p>
        </w:tc>
        <w:tc>
          <w:tcPr>
            <w:tcW w:type="dxa" w:w="2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£314,000</w:t>
            </w:r>
          </w:p>
        </w:tc>
        <w:tc>
          <w:tcPr>
            <w:tcW w:type="dxa" w:w="21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100%</w:t>
            </w:r>
          </w:p>
        </w:tc>
      </w:tr>
    </w:tbl>
    <w:p>
      <w:pPr>
        <w:spacing w:before="0" w:after="80"/>
      </w:pPr>
      <w:r>
        <w:t xml:space="preserve"/>
      </w:r>
    </w:p>
    <w:p>
      <w:pPr>
        <w:spacing w:before="60" w:after="100"/>
      </w:pPr>
      <w:r>
        <w:rPr>
          <w:rFonts w:ascii="Arial" w:cs="Arial" w:eastAsia="Arial" w:hAnsi="Arial"/>
          <w:b w:val="false"/>
          <w:bCs w:val="false"/>
          <w:i w:val="false"/>
          <w:iCs w:val="false"/>
          <w:color w:val="4A5568"/>
          <w:sz w:val="20"/>
          <w:szCs w:val="20"/>
        </w:rPr>
        <w:t xml:space="preserve">The approximately £25,750 gap between modelled and actual revenue reflects a combination of timing differences, write-offs, collection lag, and under-billing — not a structural demand problem.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Sector</w:t>
            </w:r>
          </w:p>
        </w:tc>
        <w:tc>
          <w:tcPr>
            <w:tcW w:type="dxa" w:w="12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Clients</w:t>
            </w:r>
          </w:p>
        </w:tc>
        <w:tc>
          <w:tcPr>
            <w:tcW w:type="dxa" w:w="12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Share</w:t>
            </w:r>
          </w:p>
        </w:tc>
        <w:tc>
          <w:tcPr>
            <w:tcW w:type="dxa" w:w="41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Strategic reading</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Hospitality (restaurants / takeaways)</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122</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40%</w:t>
            </w:r>
          </w:p>
        </w:tc>
        <w:tc>
          <w:tcPr>
            <w:tcW w:type="dxa" w:w="41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Core niche and referral engine. Primary competitive moat.</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Professional and other SMEs</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109</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35%</w:t>
            </w:r>
          </w:p>
        </w:tc>
        <w:tc>
          <w:tcPr>
            <w:tcW w:type="dxa" w:w="41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Broad spread across trades, logistics, education, media.</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Property</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23</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7%</w:t>
            </w:r>
          </w:p>
        </w:tc>
        <w:tc>
          <w:tcPr>
            <w:tcW w:type="dxa" w:w="41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Landlords, property companies, letting and estate activity.</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Retail</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18</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6%</w:t>
            </w:r>
          </w:p>
        </w:tc>
        <w:tc>
          <w:tcPr>
            <w:tcW w:type="dxa" w:w="41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Off licences, convenience stores, supermarkets.</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Healthcare</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11</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4%</w:t>
            </w:r>
          </w:p>
        </w:tc>
        <w:tc>
          <w:tcPr>
            <w:tcW w:type="dxa" w:w="41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Locums, care providers, medical businesses.</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Construction / beauty / other</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25</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8%</w:t>
            </w:r>
          </w:p>
        </w:tc>
        <w:tc>
          <w:tcPr>
            <w:tcW w:type="dxa" w:w="41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Useful diversification outside the food-sector base.</w:t>
            </w:r>
          </w:p>
        </w:tc>
      </w:tr>
    </w:tbl>
    <w:p>
      <w:r>
        <w:br w:type="page"/>
      </w:r>
    </w:p>
    <w:p>
      <w:pPr>
        <w:pStyle w:val="Heading1"/>
        <w:pBdr>
          <w:bottom w:val="single" w:color="C4922A" w:sz="6" w:space="6"/>
        </w:pBdr>
        <w:spacing w:before="440" w:after="180"/>
      </w:pPr>
      <w:r>
        <w:rPr>
          <w:rFonts w:ascii="Arial" w:cs="Arial" w:eastAsia="Arial" w:hAnsi="Arial"/>
          <w:b/>
          <w:bCs/>
          <w:color w:val="0C1D3B"/>
          <w:sz w:val="30"/>
          <w:szCs w:val="30"/>
        </w:rPr>
        <w:t xml:space="preserve">3. Recurring Revenue and Cash-Flow Quality</w:t>
      </w:r>
    </w:p>
    <w:p>
      <w:pPr>
        <w:spacing w:before="60" w:after="100"/>
      </w:pPr>
      <w:r>
        <w:rPr>
          <w:rFonts w:ascii="Arial" w:cs="Arial" w:eastAsia="Arial" w:hAnsi="Arial"/>
          <w:b w:val="false"/>
          <w:bCs w:val="false"/>
          <w:i w:val="false"/>
          <w:iCs w:val="false"/>
          <w:color w:val="1A202C"/>
          <w:sz w:val="20"/>
          <w:szCs w:val="20"/>
        </w:rPr>
        <w:t xml:space="preserve">The recurring revenue base is one of the practice's most valuable features. It materially improves collection quality, cash predictability, and transfer value to a future buyer or lender. A recurring revenue ratio of 74.7% is exceptional for a regional practice of this size — well above the 30–50% typical benchmark.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Metric</w:t>
            </w:r>
          </w:p>
        </w:tc>
        <w:tc>
          <w:tcPr>
            <w:tcW w:type="dxa" w:w="65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Value and interpretation</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GoCardless clients</w:t>
            </w:r>
          </w:p>
        </w:tc>
        <w:tc>
          <w:tcPr>
            <w:tcW w:type="dxa" w:w="65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163 — average £90/month per client.</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GoCardless monthly revenue</w:t>
            </w:r>
          </w:p>
        </w:tc>
        <w:tc>
          <w:tcPr>
            <w:tcW w:type="dxa" w:w="65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£14,685 — confirmed from live portal data.</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Standing order clients</w:t>
            </w:r>
          </w:p>
        </w:tc>
        <w:tc>
          <w:tcPr>
            <w:tcW w:type="dxa" w:w="65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45 — average £109/month per client.</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Standing order monthly revenue</w:t>
            </w:r>
          </w:p>
        </w:tc>
        <w:tc>
          <w:tcPr>
            <w:tcW w:type="dxa" w:w="65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£4,894 — confirmed from February 2026 schedule.</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Combined MRR</w:t>
            </w:r>
          </w:p>
        </w:tc>
        <w:tc>
          <w:tcPr>
            <w:tcW w:type="dxa" w:w="65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£19,579 — equivalent to £234,945 annualised run-rate.</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Progress to £25,000 target</w:t>
            </w:r>
          </w:p>
        </w:tc>
        <w:tc>
          <w:tcPr>
            <w:tcW w:type="dxa" w:w="65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78.3% — gap of £5,421/month remaining.</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800"/>
        <w:gridCol w:w="1960"/>
      </w:tblGrid>
      <w:tr>
        <w:tc>
          <w:tcPr>
            <w:tcW w:type="dxa" w:w="22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Stage</w:t>
            </w:r>
          </w:p>
        </w:tc>
        <w:tc>
          <w:tcPr>
            <w:tcW w:type="dxa" w:w="18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Client profile</w:t>
            </w:r>
          </w:p>
        </w:tc>
        <w:tc>
          <w:tcPr>
            <w:tcW w:type="dxa" w:w="16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MRR</w:t>
            </w:r>
          </w:p>
        </w:tc>
        <w:tc>
          <w:tcPr>
            <w:tcW w:type="dxa" w:w="18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Annualised</w:t>
            </w:r>
          </w:p>
        </w:tc>
        <w:tc>
          <w:tcPr>
            <w:tcW w:type="dxa" w:w="19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Status</w:t>
            </w:r>
          </w:p>
        </w:tc>
      </w:tr>
      <w:tr>
        <w:tc>
          <w:tcPr>
            <w:tcW w:type="dxa" w:w="2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Pre-GC baseline</w:t>
            </w:r>
          </w:p>
        </w:tc>
        <w:tc>
          <w:tcPr>
            <w:tcW w:type="dxa" w:w="1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~20 SO only</w:t>
            </w:r>
          </w:p>
        </w:tc>
        <w:tc>
          <w:tcPr>
            <w:tcW w:type="dxa" w:w="16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202C"/>
                <w:sz w:val="18"/>
                <w:szCs w:val="18"/>
              </w:rPr>
              <w:t xml:space="preserve">~£2,000</w:t>
            </w:r>
          </w:p>
        </w:tc>
        <w:tc>
          <w:tcPr>
            <w:tcW w:type="dxa" w:w="1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~£24,000</w:t>
            </w:r>
          </w:p>
        </w:tc>
        <w:tc>
          <w:tcPr>
            <w:tcW w:type="dxa" w:w="19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4A5568"/>
                <w:sz w:val="18"/>
                <w:szCs w:val="18"/>
              </w:rPr>
              <w:t xml:space="preserve">Complete</w:t>
            </w:r>
          </w:p>
        </w:tc>
      </w:tr>
      <w:tr>
        <w:tc>
          <w:tcPr>
            <w:tcW w:type="dxa" w:w="2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FY2024/25</w:t>
            </w:r>
          </w:p>
        </w:tc>
        <w:tc>
          <w:tcPr>
            <w:tcW w:type="dxa" w:w="1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68 GC + 45 SO</w:t>
            </w:r>
          </w:p>
        </w:tc>
        <w:tc>
          <w:tcPr>
            <w:tcW w:type="dxa" w:w="16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202C"/>
                <w:sz w:val="18"/>
                <w:szCs w:val="18"/>
              </w:rPr>
              <w:t xml:space="preserve">~£9,800</w:t>
            </w:r>
          </w:p>
        </w:tc>
        <w:tc>
          <w:tcPr>
            <w:tcW w:type="dxa" w:w="1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~£117,600</w:t>
            </w:r>
          </w:p>
        </w:tc>
        <w:tc>
          <w:tcPr>
            <w:tcW w:type="dxa" w:w="19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4A5568"/>
                <w:sz w:val="18"/>
                <w:szCs w:val="18"/>
              </w:rPr>
              <w:t xml:space="preserve">Complete</w:t>
            </w:r>
          </w:p>
        </w:tc>
      </w:tr>
      <w:tr>
        <w:tc>
          <w:tcPr>
            <w:tcW w:type="dxa" w:w="2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October 2025</w:t>
            </w:r>
          </w:p>
        </w:tc>
        <w:tc>
          <w:tcPr>
            <w:tcW w:type="dxa" w:w="1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146 GC + 45 SO</w:t>
            </w:r>
          </w:p>
        </w:tc>
        <w:tc>
          <w:tcPr>
            <w:tcW w:type="dxa" w:w="16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202C"/>
                <w:sz w:val="18"/>
                <w:szCs w:val="18"/>
              </w:rPr>
              <w:t xml:space="preserve">£17,977</w:t>
            </w:r>
          </w:p>
        </w:tc>
        <w:tc>
          <w:tcPr>
            <w:tcW w:type="dxa" w:w="1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£215,721</w:t>
            </w:r>
          </w:p>
        </w:tc>
        <w:tc>
          <w:tcPr>
            <w:tcW w:type="dxa" w:w="19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4A5568"/>
                <w:sz w:val="18"/>
                <w:szCs w:val="18"/>
              </w:rPr>
              <w:t xml:space="preserve">Complete</w:t>
            </w:r>
          </w:p>
        </w:tc>
      </w:tr>
      <w:tr>
        <w:tc>
          <w:tcPr>
            <w:tcW w:type="dxa" w:w="2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March 2026 — confirmed</w:t>
            </w:r>
          </w:p>
        </w:tc>
        <w:tc>
          <w:tcPr>
            <w:tcW w:type="dxa" w:w="1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163 GC + 45 SO</w:t>
            </w:r>
          </w:p>
        </w:tc>
        <w:tc>
          <w:tcPr>
            <w:tcW w:type="dxa" w:w="16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£19,579</w:t>
            </w:r>
          </w:p>
        </w:tc>
        <w:tc>
          <w:tcPr>
            <w:tcW w:type="dxa" w:w="1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£234,945</w:t>
            </w:r>
          </w:p>
        </w:tc>
        <w:tc>
          <w:tcPr>
            <w:tcW w:type="dxa" w:w="19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Confirmed</w:t>
            </w:r>
          </w:p>
        </w:tc>
      </w:tr>
      <w:tr>
        <w:tc>
          <w:tcPr>
            <w:tcW w:type="dxa" w:w="22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Vision 2030 target</w:t>
            </w:r>
          </w:p>
        </w:tc>
        <w:tc>
          <w:tcPr>
            <w:tcW w:type="dxa" w:w="18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220+ clients</w:t>
            </w:r>
          </w:p>
        </w:tc>
        <w:tc>
          <w:tcPr>
            <w:tcW w:type="dxa" w:w="16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£25,000</w:t>
            </w:r>
          </w:p>
        </w:tc>
        <w:tc>
          <w:tcPr>
            <w:tcW w:type="dxa" w:w="18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£300,000</w:t>
            </w:r>
          </w:p>
        </w:tc>
        <w:tc>
          <w:tcPr>
            <w:tcW w:type="dxa" w:w="196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Target</w:t>
            </w:r>
          </w:p>
        </w:tc>
      </w:tr>
    </w:tbl>
    <w:p>
      <w:pPr>
        <w:spacing w:before="0" w:after="80"/>
      </w:pPr>
      <w:r>
        <w:t xml:space="preserve"/>
      </w:r>
    </w:p>
    <w:p>
      <w:pPr>
        <w:pStyle w:val="Heading2"/>
        <w:spacing w:before="280" w:after="100"/>
      </w:pPr>
      <w:r>
        <w:rPr>
          <w:rFonts w:ascii="Arial" w:cs="Arial" w:eastAsia="Arial" w:hAnsi="Arial"/>
          <w:b/>
          <w:bCs/>
          <w:color w:val="1A3A6E"/>
          <w:sz w:val="24"/>
          <w:szCs w:val="24"/>
        </w:rPr>
        <w:t xml:space="preserve">Client Tier Segmentation — All 208 Recurring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800"/>
        <w:gridCol w:w="900"/>
        <w:gridCol w:w="1500"/>
        <w:gridCol w:w="1100"/>
        <w:gridCol w:w="1200"/>
        <w:gridCol w:w="1360"/>
      </w:tblGrid>
      <w:tr>
        <w:tc>
          <w:tcPr>
            <w:tcW w:type="dxa" w:w="5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Tier</w:t>
            </w:r>
          </w:p>
        </w:tc>
        <w:tc>
          <w:tcPr>
            <w:tcW w:type="dxa" w:w="20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Annual value</w:t>
            </w:r>
          </w:p>
        </w:tc>
        <w:tc>
          <w:tcPr>
            <w:tcW w:type="dxa" w:w="8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Clients</w:t>
            </w:r>
          </w:p>
        </w:tc>
        <w:tc>
          <w:tcPr>
            <w:tcW w:type="dxa" w:w="9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Avg /mo</w:t>
            </w:r>
          </w:p>
        </w:tc>
        <w:tc>
          <w:tcPr>
            <w:tcW w:type="dxa" w:w="15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Annual recurring</w:t>
            </w:r>
          </w:p>
        </w:tc>
        <w:tc>
          <w:tcPr>
            <w:tcW w:type="dxa" w:w="11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 MRR</w:t>
            </w:r>
          </w:p>
        </w:tc>
        <w:tc>
          <w:tcPr>
            <w:tcW w:type="dxa" w:w="12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GC / SO</w:t>
            </w:r>
          </w:p>
        </w:tc>
        <w:tc>
          <w:tcPr>
            <w:tcW w:type="dxa" w:w="13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Priority</w:t>
            </w:r>
          </w:p>
        </w:tc>
      </w:tr>
      <w:tr>
        <w:tc>
          <w:tcPr>
            <w:tcW w:type="dxa" w:w="5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C1D3B"/>
                <w:sz w:val="18"/>
                <w:szCs w:val="18"/>
              </w:rPr>
              <w:t xml:space="preserve">A</w:t>
            </w:r>
          </w:p>
        </w:tc>
        <w:tc>
          <w:tcPr>
            <w:tcW w:type="dxa" w:w="20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C1D3B"/>
                <w:sz w:val="18"/>
                <w:szCs w:val="18"/>
              </w:rPr>
              <w:t xml:space="preserve">£1,800+ (£150+/mo)</w:t>
            </w:r>
          </w:p>
        </w:tc>
        <w:tc>
          <w:tcPr>
            <w:tcW w:type="dxa" w:w="8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0C1D3B"/>
                <w:sz w:val="18"/>
                <w:szCs w:val="18"/>
              </w:rPr>
              <w:t xml:space="preserve">28</w:t>
            </w:r>
          </w:p>
        </w:tc>
        <w:tc>
          <w:tcPr>
            <w:tcW w:type="dxa" w:w="9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0C1D3B"/>
                <w:sz w:val="18"/>
                <w:szCs w:val="18"/>
              </w:rPr>
              <w:t xml:space="preserve">£206</w:t>
            </w:r>
          </w:p>
        </w:tc>
        <w:tc>
          <w:tcPr>
            <w:tcW w:type="dxa" w:w="15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£69,279</w:t>
            </w:r>
          </w:p>
        </w:tc>
        <w:tc>
          <w:tcPr>
            <w:tcW w:type="dxa" w:w="11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0C1D3B"/>
                <w:sz w:val="18"/>
                <w:szCs w:val="18"/>
              </w:rPr>
              <w:t xml:space="preserve">29.5%</w:t>
            </w:r>
          </w:p>
        </w:tc>
        <w:tc>
          <w:tcPr>
            <w:tcW w:type="dxa" w:w="12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0C1D3B"/>
                <w:sz w:val="18"/>
                <w:szCs w:val="18"/>
              </w:rPr>
              <w:t xml:space="preserve">19 / 9</w:t>
            </w:r>
          </w:p>
        </w:tc>
        <w:tc>
          <w:tcPr>
            <w:tcW w:type="dxa" w:w="136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Retain &amp; deepen</w:t>
            </w:r>
          </w:p>
        </w:tc>
      </w:tr>
      <w:tr>
        <w:tc>
          <w:tcPr>
            <w:tcW w:type="dxa" w:w="5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B</w:t>
            </w:r>
          </w:p>
        </w:tc>
        <w:tc>
          <w:tcPr>
            <w:tcW w:type="dxa" w:w="2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£900–1,799/yr</w:t>
            </w:r>
          </w:p>
        </w:tc>
        <w:tc>
          <w:tcPr>
            <w:tcW w:type="dxa" w:w="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126</w:t>
            </w:r>
          </w:p>
        </w:tc>
        <w:tc>
          <w:tcPr>
            <w:tcW w:type="dxa" w:w="9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£89</w:t>
            </w:r>
          </w:p>
        </w:tc>
        <w:tc>
          <w:tcPr>
            <w:tcW w:type="dxa" w:w="15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£134,832</w:t>
            </w:r>
          </w:p>
        </w:tc>
        <w:tc>
          <w:tcPr>
            <w:tcW w:type="dxa" w:w="11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57.4%</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110 / 16</w:t>
            </w:r>
          </w:p>
        </w:tc>
        <w:tc>
          <w:tcPr>
            <w:tcW w:type="dxa" w:w="13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Retain &amp; grow</w:t>
            </w:r>
          </w:p>
        </w:tc>
      </w:tr>
      <w:tr>
        <w:tc>
          <w:tcPr>
            <w:tcW w:type="dxa" w:w="5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C</w:t>
            </w:r>
          </w:p>
        </w:tc>
        <w:tc>
          <w:tcPr>
            <w:tcW w:type="dxa" w:w="2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£360–899/yr</w:t>
            </w:r>
          </w:p>
        </w:tc>
        <w:tc>
          <w:tcPr>
            <w:tcW w:type="dxa" w:w="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41</w:t>
            </w:r>
          </w:p>
        </w:tc>
        <w:tc>
          <w:tcPr>
            <w:tcW w:type="dxa" w:w="9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£58</w:t>
            </w:r>
          </w:p>
        </w:tc>
        <w:tc>
          <w:tcPr>
            <w:tcW w:type="dxa" w:w="15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£28,574</w:t>
            </w:r>
          </w:p>
        </w:tc>
        <w:tc>
          <w:tcPr>
            <w:tcW w:type="dxa" w:w="11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12.2%</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31 / 10</w:t>
            </w:r>
          </w:p>
        </w:tc>
        <w:tc>
          <w:tcPr>
            <w:tcW w:type="dxa" w:w="13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Upsell</w:t>
            </w:r>
          </w:p>
        </w:tc>
      </w:tr>
      <w:tr>
        <w:tc>
          <w:tcPr>
            <w:tcW w:type="dxa" w:w="5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D</w:t>
            </w:r>
          </w:p>
        </w:tc>
        <w:tc>
          <w:tcPr>
            <w:tcW w:type="dxa" w:w="2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Below £360/yr</w:t>
            </w:r>
          </w:p>
        </w:tc>
        <w:tc>
          <w:tcPr>
            <w:tcW w:type="dxa" w:w="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4A5568"/>
                <w:sz w:val="18"/>
                <w:szCs w:val="18"/>
              </w:rPr>
              <w:t xml:space="preserve">13</w:t>
            </w:r>
          </w:p>
        </w:tc>
        <w:tc>
          <w:tcPr>
            <w:tcW w:type="dxa" w:w="9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4A5568"/>
                <w:sz w:val="18"/>
                <w:szCs w:val="18"/>
              </w:rPr>
              <w:t xml:space="preserve">£14</w:t>
            </w:r>
          </w:p>
        </w:tc>
        <w:tc>
          <w:tcPr>
            <w:tcW w:type="dxa" w:w="15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£2,260</w:t>
            </w:r>
          </w:p>
        </w:tc>
        <w:tc>
          <w:tcPr>
            <w:tcW w:type="dxa" w:w="11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4A5568"/>
                <w:sz w:val="18"/>
                <w:szCs w:val="18"/>
              </w:rPr>
              <w:t xml:space="preserve">1.0%</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4A5568"/>
                <w:sz w:val="18"/>
                <w:szCs w:val="18"/>
              </w:rPr>
              <w:t xml:space="preserve">3 / 10</w:t>
            </w:r>
          </w:p>
        </w:tc>
        <w:tc>
          <w:tcPr>
            <w:tcW w:type="dxa" w:w="13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Review</w:t>
            </w:r>
          </w:p>
        </w:tc>
      </w:tr>
      <w:tr>
        <w:tc>
          <w:tcPr>
            <w:tcW w:type="dxa" w:w="500"/>
            <w:tcBorders>
              <w:top w:val="single" w:color="E2E8EF" w:sz="4"/>
              <w:left w:val="single" w:color="E2E8EF" w:sz="4"/>
              <w:bottom w:val="single" w:color="E2E8EF" w:sz="4"/>
              <w:right w:val="single" w:color="E2E8EF" w:sz="4"/>
            </w:tcBorders>
            <w:shd w:fill="0C1D3B"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w:t>
            </w:r>
          </w:p>
        </w:tc>
        <w:tc>
          <w:tcPr>
            <w:tcW w:type="dxa" w:w="2000"/>
            <w:tcBorders>
              <w:top w:val="single" w:color="E2E8EF" w:sz="4"/>
              <w:left w:val="single" w:color="E2E8EF" w:sz="4"/>
              <w:bottom w:val="single" w:color="E2E8EF" w:sz="4"/>
              <w:right w:val="single" w:color="E2E8EF" w:sz="4"/>
            </w:tcBorders>
            <w:shd w:fill="0C1D3B"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Total</w:t>
            </w:r>
          </w:p>
        </w:tc>
        <w:tc>
          <w:tcPr>
            <w:tcW w:type="dxa" w:w="800"/>
            <w:tcBorders>
              <w:top w:val="single" w:color="E2E8EF" w:sz="4"/>
              <w:left w:val="single" w:color="E2E8EF" w:sz="4"/>
              <w:bottom w:val="single" w:color="E2E8EF" w:sz="4"/>
              <w:right w:val="single" w:color="E2E8EF" w:sz="4"/>
            </w:tcBorders>
            <w:shd w:fill="0C1D3B"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208</w:t>
            </w:r>
          </w:p>
        </w:tc>
        <w:tc>
          <w:tcPr>
            <w:tcW w:type="dxa" w:w="900"/>
            <w:tcBorders>
              <w:top w:val="single" w:color="E2E8EF" w:sz="4"/>
              <w:left w:val="single" w:color="E2E8EF" w:sz="4"/>
              <w:bottom w:val="single" w:color="E2E8EF" w:sz="4"/>
              <w:right w:val="single" w:color="E2E8EF" w:sz="4"/>
            </w:tcBorders>
            <w:shd w:fill="0C1D3B"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FFFFFF"/>
                <w:sz w:val="18"/>
                <w:szCs w:val="18"/>
              </w:rPr>
              <w:t xml:space="preserve">£94</w:t>
            </w:r>
          </w:p>
        </w:tc>
        <w:tc>
          <w:tcPr>
            <w:tcW w:type="dxa" w:w="1500"/>
            <w:tcBorders>
              <w:top w:val="single" w:color="E2E8EF" w:sz="4"/>
              <w:left w:val="single" w:color="E2E8EF" w:sz="4"/>
              <w:bottom w:val="single" w:color="E2E8EF" w:sz="4"/>
              <w:right w:val="single" w:color="E2E8EF" w:sz="4"/>
            </w:tcBorders>
            <w:shd w:fill="0C1D3B"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£234,945</w:t>
            </w:r>
          </w:p>
        </w:tc>
        <w:tc>
          <w:tcPr>
            <w:tcW w:type="dxa" w:w="1100"/>
            <w:tcBorders>
              <w:top w:val="single" w:color="E2E8EF" w:sz="4"/>
              <w:left w:val="single" w:color="E2E8EF" w:sz="4"/>
              <w:bottom w:val="single" w:color="E2E8EF" w:sz="4"/>
              <w:right w:val="single" w:color="E2E8EF" w:sz="4"/>
            </w:tcBorders>
            <w:shd w:fill="0C1D3B"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FFFFFF"/>
                <w:sz w:val="18"/>
                <w:szCs w:val="18"/>
              </w:rPr>
              <w:t xml:space="preserve">100%</w:t>
            </w:r>
          </w:p>
        </w:tc>
        <w:tc>
          <w:tcPr>
            <w:tcW w:type="dxa" w:w="1200"/>
            <w:tcBorders>
              <w:top w:val="single" w:color="E2E8EF" w:sz="4"/>
              <w:left w:val="single" w:color="E2E8EF" w:sz="4"/>
              <w:bottom w:val="single" w:color="E2E8EF" w:sz="4"/>
              <w:right w:val="single" w:color="E2E8EF" w:sz="4"/>
            </w:tcBorders>
            <w:shd w:fill="0C1D3B"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FFFFFF"/>
                <w:sz w:val="18"/>
                <w:szCs w:val="18"/>
              </w:rPr>
              <w:t xml:space="preserve">163 / 45</w:t>
            </w:r>
          </w:p>
        </w:tc>
        <w:tc>
          <w:tcPr>
            <w:tcW w:type="dxa" w:w="1360"/>
            <w:tcBorders>
              <w:top w:val="single" w:color="E2E8EF" w:sz="4"/>
              <w:left w:val="single" w:color="E2E8EF" w:sz="4"/>
              <w:bottom w:val="single" w:color="E2E8EF" w:sz="4"/>
              <w:right w:val="single" w:color="E2E8EF" w:sz="4"/>
            </w:tcBorders>
            <w:shd w:fill="0C1D3B"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FFFFFF"/>
                <w:sz w:val="18"/>
                <w:szCs w:val="18"/>
              </w:rPr>
              <w:t xml:space="preserve"/>
            </w:r>
          </w:p>
        </w:tc>
      </w:tr>
    </w:tbl>
    <w:p>
      <w:pPr>
        <w:spacing w:before="0" w:after="80"/>
      </w:pPr>
      <w:r>
        <w:t xml:space="preserve"/>
      </w:r>
    </w:p>
    <w:p>
      <w:pPr>
        <w:spacing w:before="60" w:after="100"/>
      </w:pPr>
      <w:r>
        <w:rPr>
          <w:rFonts w:ascii="Arial" w:cs="Arial" w:eastAsia="Arial" w:hAnsi="Arial"/>
          <w:b w:val="false"/>
          <w:bCs w:val="false"/>
          <w:i w:val="false"/>
          <w:iCs w:val="false"/>
          <w:color w:val="1A202C"/>
          <w:sz w:val="20"/>
          <w:szCs w:val="20"/>
        </w:rPr>
        <w:t xml:space="preserve">The 69 clients paying exactly £75/month represent an immediate pricing cohort. Moving this cohort alone to £100/month adds £20,700 annual recurring revenue without a single new client.</w:t>
      </w:r>
    </w:p>
    <w:p>
      <w:pPr>
        <w:spacing w:before="0" w:after="80"/>
      </w:pPr>
      <w:r>
        <w:t xml:space="preserve"/>
      </w:r>
    </w:p>
    <w:p>
      <w:pPr>
        <w:pStyle w:val="Heading2"/>
        <w:spacing w:before="280" w:after="100"/>
      </w:pPr>
      <w:r>
        <w:rPr>
          <w:rFonts w:ascii="Arial" w:cs="Arial" w:eastAsia="Arial" w:hAnsi="Arial"/>
          <w:b/>
          <w:bCs/>
          <w:color w:val="1A3A6E"/>
          <w:sz w:val="24"/>
          <w:szCs w:val="24"/>
        </w:rPr>
        <w:t xml:space="preserve">Tier A Clients — All 28 (£150+ per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800"/>
        <w:gridCol w:w="1200"/>
        <w:gridCol w:w="980"/>
        <w:gridCol w:w="900"/>
        <w:gridCol w:w="2000"/>
      </w:tblGrid>
      <w:tr>
        <w:tc>
          <w:tcPr>
            <w:tcW w:type="dxa" w:w="48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
            </w:r>
          </w:p>
        </w:tc>
        <w:tc>
          <w:tcPr>
            <w:tcW w:type="dxa" w:w="38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Client</w:t>
            </w:r>
          </w:p>
        </w:tc>
        <w:tc>
          <w:tcPr>
            <w:tcW w:type="dxa" w:w="12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Location</w:t>
            </w:r>
          </w:p>
        </w:tc>
        <w:tc>
          <w:tcPr>
            <w:tcW w:type="dxa" w:w="98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right"/>
            </w:pPr>
            <w:r>
              <w:rPr>
                <w:rFonts w:ascii="Arial" w:cs="Arial" w:eastAsia="Arial" w:hAnsi="Arial"/>
                <w:b/>
                <w:bCs/>
                <w:color w:val="FFFFFF"/>
                <w:sz w:val="18"/>
                <w:szCs w:val="18"/>
              </w:rPr>
              <w:t xml:space="preserve">Monthly</w:t>
            </w:r>
          </w:p>
        </w:tc>
        <w:tc>
          <w:tcPr>
            <w:tcW w:type="dxa" w:w="9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right"/>
            </w:pPr>
            <w:r>
              <w:rPr>
                <w:rFonts w:ascii="Arial" w:cs="Arial" w:eastAsia="Arial" w:hAnsi="Arial"/>
                <w:b/>
                <w:bCs/>
                <w:color w:val="FFFFFF"/>
                <w:sz w:val="18"/>
                <w:szCs w:val="18"/>
              </w:rPr>
              <w:t xml:space="preserve">Annual</w:t>
            </w:r>
          </w:p>
        </w:tc>
        <w:tc>
          <w:tcPr>
            <w:tcW w:type="dxa" w:w="20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
            </w:r>
          </w:p>
        </w:tc>
      </w:tr>
      <w:tr>
        <w:tc>
          <w:tcPr>
            <w:tcW w:type="dxa" w:w="48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A6E"/>
                <w:sz w:val="18"/>
                <w:szCs w:val="18"/>
              </w:rPr>
              <w:t xml:space="preserve">SO</w:t>
            </w:r>
          </w:p>
        </w:tc>
        <w:tc>
          <w:tcPr>
            <w:tcW w:type="dxa" w:w="3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Anthony Close — Close Properties + Van Breakers</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Doncaster</w:t>
            </w:r>
          </w:p>
        </w:tc>
        <w:tc>
          <w:tcPr>
            <w:tcW w:type="dxa" w:w="98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bCs/>
                <w:i w:val="false"/>
                <w:iCs w:val="false"/>
                <w:color w:val="C4922A"/>
                <w:sz w:val="18"/>
                <w:szCs w:val="18"/>
              </w:rPr>
              <w:t xml:space="preserve">£736.60</w:t>
            </w:r>
          </w:p>
        </w:tc>
        <w:tc>
          <w:tcPr>
            <w:tcW w:type="dxa" w:w="9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5C35"/>
                <w:sz w:val="18"/>
                <w:szCs w:val="18"/>
              </w:rPr>
              <w:t xml:space="preserve">£8,839</w:t>
            </w:r>
          </w:p>
        </w:tc>
        <w:tc>
          <w:tcPr>
            <w:tcW w:type="dxa" w:w="2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r>
        <w:tc>
          <w:tcPr>
            <w:tcW w:type="dxa" w:w="48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3A6E"/>
                <w:sz w:val="18"/>
                <w:szCs w:val="18"/>
              </w:rPr>
              <w:t xml:space="preserve">SO</w:t>
            </w:r>
          </w:p>
        </w:tc>
        <w:tc>
          <w:tcPr>
            <w:tcW w:type="dxa" w:w="3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Aram Rasul Ali — Aria Cash &amp; Carry Ltd</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Oldham</w:t>
            </w:r>
          </w:p>
        </w:tc>
        <w:tc>
          <w:tcPr>
            <w:tcW w:type="dxa" w:w="98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bCs/>
                <w:i w:val="false"/>
                <w:iCs w:val="false"/>
                <w:color w:val="C4922A"/>
                <w:sz w:val="18"/>
                <w:szCs w:val="18"/>
              </w:rPr>
              <w:t xml:space="preserve">£500.00</w:t>
            </w:r>
          </w:p>
        </w:tc>
        <w:tc>
          <w:tcPr>
            <w:tcW w:type="dxa" w:w="9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5C35"/>
                <w:sz w:val="18"/>
                <w:szCs w:val="18"/>
              </w:rPr>
              <w:t xml:space="preserve">£6,000</w:t>
            </w:r>
          </w:p>
        </w:tc>
        <w:tc>
          <w:tcPr>
            <w:tcW w:type="dxa" w:w="2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r>
        <w:tc>
          <w:tcPr>
            <w:tcW w:type="dxa" w:w="48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C35"/>
                <w:sz w:val="18"/>
                <w:szCs w:val="18"/>
              </w:rPr>
              <w:t xml:space="preserve">GC</w:t>
            </w:r>
          </w:p>
        </w:tc>
        <w:tc>
          <w:tcPr>
            <w:tcW w:type="dxa" w:w="3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SHAIKH HEALTHCARE LTD</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Oldham</w:t>
            </w:r>
          </w:p>
        </w:tc>
        <w:tc>
          <w:tcPr>
            <w:tcW w:type="dxa" w:w="98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bCs/>
                <w:i w:val="false"/>
                <w:iCs w:val="false"/>
                <w:color w:val="C4922A"/>
                <w:sz w:val="18"/>
                <w:szCs w:val="18"/>
              </w:rPr>
              <w:t xml:space="preserve">£375.00</w:t>
            </w:r>
          </w:p>
        </w:tc>
        <w:tc>
          <w:tcPr>
            <w:tcW w:type="dxa" w:w="9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5C35"/>
                <w:sz w:val="18"/>
                <w:szCs w:val="18"/>
              </w:rPr>
              <w:t xml:space="preserve">£4,500</w:t>
            </w:r>
          </w:p>
        </w:tc>
        <w:tc>
          <w:tcPr>
            <w:tcW w:type="dxa" w:w="2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r>
        <w:tc>
          <w:tcPr>
            <w:tcW w:type="dxa" w:w="48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3A6E"/>
                <w:sz w:val="18"/>
                <w:szCs w:val="18"/>
              </w:rPr>
              <w:t xml:space="preserve">SO</w:t>
            </w:r>
          </w:p>
        </w:tc>
        <w:tc>
          <w:tcPr>
            <w:tcW w:type="dxa" w:w="3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Abdur Rouf — Sequential Services</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Oldham</w:t>
            </w:r>
          </w:p>
        </w:tc>
        <w:tc>
          <w:tcPr>
            <w:tcW w:type="dxa" w:w="98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bCs/>
                <w:i w:val="false"/>
                <w:iCs w:val="false"/>
                <w:color w:val="C4922A"/>
                <w:sz w:val="18"/>
                <w:szCs w:val="18"/>
              </w:rPr>
              <w:t xml:space="preserve">£249.99</w:t>
            </w:r>
          </w:p>
        </w:tc>
        <w:tc>
          <w:tcPr>
            <w:tcW w:type="dxa" w:w="9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5C35"/>
                <w:sz w:val="18"/>
                <w:szCs w:val="18"/>
              </w:rPr>
              <w:t xml:space="preserve">£3,000</w:t>
            </w:r>
          </w:p>
        </w:tc>
        <w:tc>
          <w:tcPr>
            <w:tcW w:type="dxa" w:w="2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r>
        <w:tc>
          <w:tcPr>
            <w:tcW w:type="dxa" w:w="48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A6E"/>
                <w:sz w:val="18"/>
                <w:szCs w:val="18"/>
              </w:rPr>
              <w:t xml:space="preserve">SO</w:t>
            </w:r>
          </w:p>
        </w:tc>
        <w:tc>
          <w:tcPr>
            <w:tcW w:type="dxa" w:w="3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Samiul &amp; Robiul — 3 companies</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Oldham</w:t>
            </w:r>
          </w:p>
        </w:tc>
        <w:tc>
          <w:tcPr>
            <w:tcW w:type="dxa" w:w="98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bCs/>
                <w:i w:val="false"/>
                <w:iCs w:val="false"/>
                <w:color w:val="C4922A"/>
                <w:sz w:val="18"/>
                <w:szCs w:val="18"/>
              </w:rPr>
              <w:t xml:space="preserve">£215.00</w:t>
            </w:r>
          </w:p>
        </w:tc>
        <w:tc>
          <w:tcPr>
            <w:tcW w:type="dxa" w:w="9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5C35"/>
                <w:sz w:val="18"/>
                <w:szCs w:val="18"/>
              </w:rPr>
              <w:t xml:space="preserve">£2,580</w:t>
            </w:r>
          </w:p>
        </w:tc>
        <w:tc>
          <w:tcPr>
            <w:tcW w:type="dxa" w:w="2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r>
        <w:tc>
          <w:tcPr>
            <w:tcW w:type="dxa" w:w="48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5C35"/>
                <w:sz w:val="18"/>
                <w:szCs w:val="18"/>
              </w:rPr>
              <w:t xml:space="preserve">GC</w:t>
            </w:r>
          </w:p>
        </w:tc>
        <w:tc>
          <w:tcPr>
            <w:tcW w:type="dxa" w:w="3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Al amin foodstore ltd</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Oldham</w:t>
            </w:r>
          </w:p>
        </w:tc>
        <w:tc>
          <w:tcPr>
            <w:tcW w:type="dxa" w:w="98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bCs/>
                <w:i w:val="false"/>
                <w:iCs w:val="false"/>
                <w:color w:val="C4922A"/>
                <w:sz w:val="18"/>
                <w:szCs w:val="18"/>
              </w:rPr>
              <w:t xml:space="preserve">£200.00</w:t>
            </w:r>
          </w:p>
        </w:tc>
        <w:tc>
          <w:tcPr>
            <w:tcW w:type="dxa" w:w="9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5C35"/>
                <w:sz w:val="18"/>
                <w:szCs w:val="18"/>
              </w:rPr>
              <w:t xml:space="preserve">£2,400</w:t>
            </w:r>
          </w:p>
        </w:tc>
        <w:tc>
          <w:tcPr>
            <w:tcW w:type="dxa" w:w="2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r>
        <w:tc>
          <w:tcPr>
            <w:tcW w:type="dxa" w:w="48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C35"/>
                <w:sz w:val="18"/>
                <w:szCs w:val="18"/>
              </w:rPr>
              <w:t xml:space="preserve">GC</w:t>
            </w:r>
          </w:p>
        </w:tc>
        <w:tc>
          <w:tcPr>
            <w:tcW w:type="dxa" w:w="3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Global Learning Pathway Ltd</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Oldham</w:t>
            </w:r>
          </w:p>
        </w:tc>
        <w:tc>
          <w:tcPr>
            <w:tcW w:type="dxa" w:w="98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bCs/>
                <w:i w:val="false"/>
                <w:iCs w:val="false"/>
                <w:color w:val="C4922A"/>
                <w:sz w:val="18"/>
                <w:szCs w:val="18"/>
              </w:rPr>
              <w:t xml:space="preserve">£195.00</w:t>
            </w:r>
          </w:p>
        </w:tc>
        <w:tc>
          <w:tcPr>
            <w:tcW w:type="dxa" w:w="9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5C35"/>
                <w:sz w:val="18"/>
                <w:szCs w:val="18"/>
              </w:rPr>
              <w:t xml:space="preserve">£2,340</w:t>
            </w:r>
          </w:p>
        </w:tc>
        <w:tc>
          <w:tcPr>
            <w:tcW w:type="dxa" w:w="2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r>
        <w:tc>
          <w:tcPr>
            <w:tcW w:type="dxa" w:w="48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5C35"/>
                <w:sz w:val="18"/>
                <w:szCs w:val="18"/>
              </w:rPr>
              <w:t xml:space="preserve">GC</w:t>
            </w:r>
          </w:p>
        </w:tc>
        <w:tc>
          <w:tcPr>
            <w:tcW w:type="dxa" w:w="3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Ziggy's Schoolwear Bolton Ltd</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Bolton</w:t>
            </w:r>
          </w:p>
        </w:tc>
        <w:tc>
          <w:tcPr>
            <w:tcW w:type="dxa" w:w="98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bCs/>
                <w:i w:val="false"/>
                <w:iCs w:val="false"/>
                <w:color w:val="C4922A"/>
                <w:sz w:val="18"/>
                <w:szCs w:val="18"/>
              </w:rPr>
              <w:t xml:space="preserve">£180.00</w:t>
            </w:r>
          </w:p>
        </w:tc>
        <w:tc>
          <w:tcPr>
            <w:tcW w:type="dxa" w:w="9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5C35"/>
                <w:sz w:val="18"/>
                <w:szCs w:val="18"/>
              </w:rPr>
              <w:t xml:space="preserve">£2,160</w:t>
            </w:r>
          </w:p>
        </w:tc>
        <w:tc>
          <w:tcPr>
            <w:tcW w:type="dxa" w:w="2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r>
        <w:tc>
          <w:tcPr>
            <w:tcW w:type="dxa" w:w="48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A6E"/>
                <w:sz w:val="18"/>
                <w:szCs w:val="18"/>
              </w:rPr>
              <w:t xml:space="preserve">SO</w:t>
            </w:r>
          </w:p>
        </w:tc>
        <w:tc>
          <w:tcPr>
            <w:tcW w:type="dxa" w:w="3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Bengal Curry Pot Ltd</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Oldham</w:t>
            </w:r>
          </w:p>
        </w:tc>
        <w:tc>
          <w:tcPr>
            <w:tcW w:type="dxa" w:w="98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bCs/>
                <w:i w:val="false"/>
                <w:iCs w:val="false"/>
                <w:color w:val="C4922A"/>
                <w:sz w:val="18"/>
                <w:szCs w:val="18"/>
              </w:rPr>
              <w:t xml:space="preserve">£180.00</w:t>
            </w:r>
          </w:p>
        </w:tc>
        <w:tc>
          <w:tcPr>
            <w:tcW w:type="dxa" w:w="9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5C35"/>
                <w:sz w:val="18"/>
                <w:szCs w:val="18"/>
              </w:rPr>
              <w:t xml:space="preserve">£2,160</w:t>
            </w:r>
          </w:p>
        </w:tc>
        <w:tc>
          <w:tcPr>
            <w:tcW w:type="dxa" w:w="2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r>
        <w:tc>
          <w:tcPr>
            <w:tcW w:type="dxa" w:w="48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3A6E"/>
                <w:sz w:val="18"/>
                <w:szCs w:val="18"/>
              </w:rPr>
              <w:t xml:space="preserve">SO</w:t>
            </w:r>
          </w:p>
        </w:tc>
        <w:tc>
          <w:tcPr>
            <w:tcW w:type="dxa" w:w="3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ST Catering WA Ltd</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Warrington</w:t>
            </w:r>
          </w:p>
        </w:tc>
        <w:tc>
          <w:tcPr>
            <w:tcW w:type="dxa" w:w="98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bCs/>
                <w:i w:val="false"/>
                <w:iCs w:val="false"/>
                <w:color w:val="C4922A"/>
                <w:sz w:val="18"/>
                <w:szCs w:val="18"/>
              </w:rPr>
              <w:t xml:space="preserve">£180.00</w:t>
            </w:r>
          </w:p>
        </w:tc>
        <w:tc>
          <w:tcPr>
            <w:tcW w:type="dxa" w:w="9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5C35"/>
                <w:sz w:val="18"/>
                <w:szCs w:val="18"/>
              </w:rPr>
              <w:t xml:space="preserve">£2,160</w:t>
            </w:r>
          </w:p>
        </w:tc>
        <w:tc>
          <w:tcPr>
            <w:tcW w:type="dxa" w:w="2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r>
        <w:tc>
          <w:tcPr>
            <w:tcW w:type="dxa" w:w="48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C35"/>
                <w:sz w:val="18"/>
                <w:szCs w:val="18"/>
              </w:rPr>
              <w:t xml:space="preserve">GC</w:t>
            </w:r>
          </w:p>
        </w:tc>
        <w:tc>
          <w:tcPr>
            <w:tcW w:type="dxa" w:w="3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Travel Line Minibus Services</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Oldham</w:t>
            </w:r>
          </w:p>
        </w:tc>
        <w:tc>
          <w:tcPr>
            <w:tcW w:type="dxa" w:w="98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bCs/>
                <w:i w:val="false"/>
                <w:iCs w:val="false"/>
                <w:color w:val="C4922A"/>
                <w:sz w:val="18"/>
                <w:szCs w:val="18"/>
              </w:rPr>
              <w:t xml:space="preserve">£175.00</w:t>
            </w:r>
          </w:p>
        </w:tc>
        <w:tc>
          <w:tcPr>
            <w:tcW w:type="dxa" w:w="9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5C35"/>
                <w:sz w:val="18"/>
                <w:szCs w:val="18"/>
              </w:rPr>
              <w:t xml:space="preserve">£2,100</w:t>
            </w:r>
          </w:p>
        </w:tc>
        <w:tc>
          <w:tcPr>
            <w:tcW w:type="dxa" w:w="2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r>
        <w:tc>
          <w:tcPr>
            <w:tcW w:type="dxa" w:w="48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5C35"/>
                <w:sz w:val="18"/>
                <w:szCs w:val="18"/>
              </w:rPr>
              <w:t xml:space="preserve">GC</w:t>
            </w:r>
          </w:p>
        </w:tc>
        <w:tc>
          <w:tcPr>
            <w:tcW w:type="dxa" w:w="3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UNION NEWS AGENT LTD</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Oldham</w:t>
            </w:r>
          </w:p>
        </w:tc>
        <w:tc>
          <w:tcPr>
            <w:tcW w:type="dxa" w:w="98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bCs/>
                <w:i w:val="false"/>
                <w:iCs w:val="false"/>
                <w:color w:val="C4922A"/>
                <w:sz w:val="18"/>
                <w:szCs w:val="18"/>
              </w:rPr>
              <w:t xml:space="preserve">£170.00</w:t>
            </w:r>
          </w:p>
        </w:tc>
        <w:tc>
          <w:tcPr>
            <w:tcW w:type="dxa" w:w="9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5C35"/>
                <w:sz w:val="18"/>
                <w:szCs w:val="18"/>
              </w:rPr>
              <w:t xml:space="preserve">£2,040</w:t>
            </w:r>
          </w:p>
        </w:tc>
        <w:tc>
          <w:tcPr>
            <w:tcW w:type="dxa" w:w="2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r>
        <w:tc>
          <w:tcPr>
            <w:tcW w:type="dxa" w:w="48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C35"/>
                <w:sz w:val="18"/>
                <w:szCs w:val="18"/>
              </w:rPr>
              <w:t xml:space="preserve">GC</w:t>
            </w:r>
          </w:p>
        </w:tc>
        <w:tc>
          <w:tcPr>
            <w:tcW w:type="dxa" w:w="3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MRA Restaurant Ltd</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Oldham</w:t>
            </w:r>
          </w:p>
        </w:tc>
        <w:tc>
          <w:tcPr>
            <w:tcW w:type="dxa" w:w="98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bCs/>
                <w:i w:val="false"/>
                <w:iCs w:val="false"/>
                <w:color w:val="C4922A"/>
                <w:sz w:val="18"/>
                <w:szCs w:val="18"/>
              </w:rPr>
              <w:t xml:space="preserve">£165.00</w:t>
            </w:r>
          </w:p>
        </w:tc>
        <w:tc>
          <w:tcPr>
            <w:tcW w:type="dxa" w:w="9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5C35"/>
                <w:sz w:val="18"/>
                <w:szCs w:val="18"/>
              </w:rPr>
              <w:t xml:space="preserve">£1,980</w:t>
            </w:r>
          </w:p>
        </w:tc>
        <w:tc>
          <w:tcPr>
            <w:tcW w:type="dxa" w:w="2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r>
        <w:tc>
          <w:tcPr>
            <w:tcW w:type="dxa" w:w="48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5C35"/>
                <w:sz w:val="18"/>
                <w:szCs w:val="18"/>
              </w:rPr>
              <w:t xml:space="preserve">GC</w:t>
            </w:r>
          </w:p>
        </w:tc>
        <w:tc>
          <w:tcPr>
            <w:tcW w:type="dxa" w:w="3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EH Takeaway Ltd (weekly collection)</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Oldham</w:t>
            </w:r>
          </w:p>
        </w:tc>
        <w:tc>
          <w:tcPr>
            <w:tcW w:type="dxa" w:w="98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bCs/>
                <w:i w:val="false"/>
                <w:iCs w:val="false"/>
                <w:color w:val="C4922A"/>
                <w:sz w:val="18"/>
                <w:szCs w:val="18"/>
              </w:rPr>
              <w:t xml:space="preserve">£151.67</w:t>
            </w:r>
          </w:p>
        </w:tc>
        <w:tc>
          <w:tcPr>
            <w:tcW w:type="dxa" w:w="9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5C35"/>
                <w:sz w:val="18"/>
                <w:szCs w:val="18"/>
              </w:rPr>
              <w:t xml:space="preserve">£1,820</w:t>
            </w:r>
          </w:p>
        </w:tc>
        <w:tc>
          <w:tcPr>
            <w:tcW w:type="dxa" w:w="2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r>
        <w:tc>
          <w:tcPr>
            <w:tcW w:type="dxa" w:w="48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C35"/>
                <w:sz w:val="18"/>
                <w:szCs w:val="18"/>
              </w:rPr>
              <w:t xml:space="preserve">GC</w:t>
            </w:r>
          </w:p>
        </w:tc>
        <w:tc>
          <w:tcPr>
            <w:tcW w:type="dxa" w:w="3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KINGFISHER BD RESTAURANT LTD</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Congleton</w:t>
            </w:r>
          </w:p>
        </w:tc>
        <w:tc>
          <w:tcPr>
            <w:tcW w:type="dxa" w:w="98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bCs/>
                <w:i w:val="false"/>
                <w:iCs w:val="false"/>
                <w:color w:val="C4922A"/>
                <w:sz w:val="18"/>
                <w:szCs w:val="18"/>
              </w:rPr>
              <w:t xml:space="preserve">£150.00</w:t>
            </w:r>
          </w:p>
        </w:tc>
        <w:tc>
          <w:tcPr>
            <w:tcW w:type="dxa" w:w="9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5C35"/>
                <w:sz w:val="18"/>
                <w:szCs w:val="18"/>
              </w:rPr>
              <w:t xml:space="preserve">£1,800</w:t>
            </w:r>
          </w:p>
        </w:tc>
        <w:tc>
          <w:tcPr>
            <w:tcW w:type="dxa" w:w="2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r>
        <w:tc>
          <w:tcPr>
            <w:tcW w:type="dxa" w:w="48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5C35"/>
                <w:sz w:val="18"/>
                <w:szCs w:val="18"/>
              </w:rPr>
              <w:t xml:space="preserve">GC</w:t>
            </w:r>
          </w:p>
        </w:tc>
        <w:tc>
          <w:tcPr>
            <w:tcW w:type="dxa" w:w="3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2020 Optix Ltd</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Oldham</w:t>
            </w:r>
          </w:p>
        </w:tc>
        <w:tc>
          <w:tcPr>
            <w:tcW w:type="dxa" w:w="98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bCs/>
                <w:i w:val="false"/>
                <w:iCs w:val="false"/>
                <w:color w:val="C4922A"/>
                <w:sz w:val="18"/>
                <w:szCs w:val="18"/>
              </w:rPr>
              <w:t xml:space="preserve">£150.00</w:t>
            </w:r>
          </w:p>
        </w:tc>
        <w:tc>
          <w:tcPr>
            <w:tcW w:type="dxa" w:w="9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5C35"/>
                <w:sz w:val="18"/>
                <w:szCs w:val="18"/>
              </w:rPr>
              <w:t xml:space="preserve">£1,800</w:t>
            </w:r>
          </w:p>
        </w:tc>
        <w:tc>
          <w:tcPr>
            <w:tcW w:type="dxa" w:w="2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r>
        <w:tc>
          <w:tcPr>
            <w:tcW w:type="dxa" w:w="48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C35"/>
                <w:sz w:val="18"/>
                <w:szCs w:val="18"/>
              </w:rPr>
              <w:t xml:space="preserve">GC</w:t>
            </w:r>
          </w:p>
        </w:tc>
        <w:tc>
          <w:tcPr>
            <w:tcW w:type="dxa" w:w="3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COPPICE BAZAR LTD</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Oldham</w:t>
            </w:r>
          </w:p>
        </w:tc>
        <w:tc>
          <w:tcPr>
            <w:tcW w:type="dxa" w:w="98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bCs/>
                <w:i w:val="false"/>
                <w:iCs w:val="false"/>
                <w:color w:val="C4922A"/>
                <w:sz w:val="18"/>
                <w:szCs w:val="18"/>
              </w:rPr>
              <w:t xml:space="preserve">£150.00</w:t>
            </w:r>
          </w:p>
        </w:tc>
        <w:tc>
          <w:tcPr>
            <w:tcW w:type="dxa" w:w="9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5C35"/>
                <w:sz w:val="18"/>
                <w:szCs w:val="18"/>
              </w:rPr>
              <w:t xml:space="preserve">£1,800</w:t>
            </w:r>
          </w:p>
        </w:tc>
        <w:tc>
          <w:tcPr>
            <w:tcW w:type="dxa" w:w="2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r>
        <w:tc>
          <w:tcPr>
            <w:tcW w:type="dxa" w:w="48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5C35"/>
                <w:sz w:val="18"/>
                <w:szCs w:val="18"/>
              </w:rPr>
              <w:t xml:space="preserve">GC</w:t>
            </w:r>
          </w:p>
        </w:tc>
        <w:tc>
          <w:tcPr>
            <w:tcW w:type="dxa" w:w="3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Lija Catering Ltd</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Southport</w:t>
            </w:r>
          </w:p>
        </w:tc>
        <w:tc>
          <w:tcPr>
            <w:tcW w:type="dxa" w:w="98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bCs/>
                <w:i w:val="false"/>
                <w:iCs w:val="false"/>
                <w:color w:val="C4922A"/>
                <w:sz w:val="18"/>
                <w:szCs w:val="18"/>
              </w:rPr>
              <w:t xml:space="preserve">£150.00</w:t>
            </w:r>
          </w:p>
        </w:tc>
        <w:tc>
          <w:tcPr>
            <w:tcW w:type="dxa" w:w="9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5C35"/>
                <w:sz w:val="18"/>
                <w:szCs w:val="18"/>
              </w:rPr>
              <w:t xml:space="preserve">£1,800</w:t>
            </w:r>
          </w:p>
        </w:tc>
        <w:tc>
          <w:tcPr>
            <w:tcW w:type="dxa" w:w="2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r>
        <w:tc>
          <w:tcPr>
            <w:tcW w:type="dxa" w:w="48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C35"/>
                <w:sz w:val="18"/>
                <w:szCs w:val="18"/>
              </w:rPr>
              <w:t xml:space="preserve">GC</w:t>
            </w:r>
          </w:p>
        </w:tc>
        <w:tc>
          <w:tcPr>
            <w:tcW w:type="dxa" w:w="3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Bengal Rose Ltd</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Ulverston</w:t>
            </w:r>
          </w:p>
        </w:tc>
        <w:tc>
          <w:tcPr>
            <w:tcW w:type="dxa" w:w="98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bCs/>
                <w:i w:val="false"/>
                <w:iCs w:val="false"/>
                <w:color w:val="C4922A"/>
                <w:sz w:val="18"/>
                <w:szCs w:val="18"/>
              </w:rPr>
              <w:t xml:space="preserve">£150.00</w:t>
            </w:r>
          </w:p>
        </w:tc>
        <w:tc>
          <w:tcPr>
            <w:tcW w:type="dxa" w:w="9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5C35"/>
                <w:sz w:val="18"/>
                <w:szCs w:val="18"/>
              </w:rPr>
              <w:t xml:space="preserve">£1,800</w:t>
            </w:r>
          </w:p>
        </w:tc>
        <w:tc>
          <w:tcPr>
            <w:tcW w:type="dxa" w:w="2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r>
        <w:tc>
          <w:tcPr>
            <w:tcW w:type="dxa" w:w="48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5C35"/>
                <w:sz w:val="18"/>
                <w:szCs w:val="18"/>
              </w:rPr>
              <w:t xml:space="preserve">GC</w:t>
            </w:r>
          </w:p>
        </w:tc>
        <w:tc>
          <w:tcPr>
            <w:tcW w:type="dxa" w:w="3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Prospect Store Ltd</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Oldham</w:t>
            </w:r>
          </w:p>
        </w:tc>
        <w:tc>
          <w:tcPr>
            <w:tcW w:type="dxa" w:w="98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bCs/>
                <w:i w:val="false"/>
                <w:iCs w:val="false"/>
                <w:color w:val="C4922A"/>
                <w:sz w:val="18"/>
                <w:szCs w:val="18"/>
              </w:rPr>
              <w:t xml:space="preserve">£150.00</w:t>
            </w:r>
          </w:p>
        </w:tc>
        <w:tc>
          <w:tcPr>
            <w:tcW w:type="dxa" w:w="9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5C35"/>
                <w:sz w:val="18"/>
                <w:szCs w:val="18"/>
              </w:rPr>
              <w:t xml:space="preserve">£1,800</w:t>
            </w:r>
          </w:p>
        </w:tc>
        <w:tc>
          <w:tcPr>
            <w:tcW w:type="dxa" w:w="2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r>
        <w:tc>
          <w:tcPr>
            <w:tcW w:type="dxa" w:w="48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C35"/>
                <w:sz w:val="18"/>
                <w:szCs w:val="18"/>
              </w:rPr>
              <w:t xml:space="preserve">GC</w:t>
            </w:r>
          </w:p>
        </w:tc>
        <w:tc>
          <w:tcPr>
            <w:tcW w:type="dxa" w:w="3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Mcdhaba Ltd</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Gretna</w:t>
            </w:r>
          </w:p>
        </w:tc>
        <w:tc>
          <w:tcPr>
            <w:tcW w:type="dxa" w:w="98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bCs/>
                <w:i w:val="false"/>
                <w:iCs w:val="false"/>
                <w:color w:val="C4922A"/>
                <w:sz w:val="18"/>
                <w:szCs w:val="18"/>
              </w:rPr>
              <w:t xml:space="preserve">£150.00</w:t>
            </w:r>
          </w:p>
        </w:tc>
        <w:tc>
          <w:tcPr>
            <w:tcW w:type="dxa" w:w="9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5C35"/>
                <w:sz w:val="18"/>
                <w:szCs w:val="18"/>
              </w:rPr>
              <w:t xml:space="preserve">£1,800</w:t>
            </w:r>
          </w:p>
        </w:tc>
        <w:tc>
          <w:tcPr>
            <w:tcW w:type="dxa" w:w="2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r>
        <w:tc>
          <w:tcPr>
            <w:tcW w:type="dxa" w:w="48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5C35"/>
                <w:sz w:val="18"/>
                <w:szCs w:val="18"/>
              </w:rPr>
              <w:t xml:space="preserve">GC</w:t>
            </w:r>
          </w:p>
        </w:tc>
        <w:tc>
          <w:tcPr>
            <w:tcW w:type="dxa" w:w="3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Spice of India Cuerdley Ltd</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Warrington</w:t>
            </w:r>
          </w:p>
        </w:tc>
        <w:tc>
          <w:tcPr>
            <w:tcW w:type="dxa" w:w="98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bCs/>
                <w:i w:val="false"/>
                <w:iCs w:val="false"/>
                <w:color w:val="C4922A"/>
                <w:sz w:val="18"/>
                <w:szCs w:val="18"/>
              </w:rPr>
              <w:t xml:space="preserve">£150.00</w:t>
            </w:r>
          </w:p>
        </w:tc>
        <w:tc>
          <w:tcPr>
            <w:tcW w:type="dxa" w:w="9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5C35"/>
                <w:sz w:val="18"/>
                <w:szCs w:val="18"/>
              </w:rPr>
              <w:t xml:space="preserve">£1,800</w:t>
            </w:r>
          </w:p>
        </w:tc>
        <w:tc>
          <w:tcPr>
            <w:tcW w:type="dxa" w:w="2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r>
        <w:tc>
          <w:tcPr>
            <w:tcW w:type="dxa" w:w="48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C35"/>
                <w:sz w:val="18"/>
                <w:szCs w:val="18"/>
              </w:rPr>
              <w:t xml:space="preserve">GC</w:t>
            </w:r>
          </w:p>
        </w:tc>
        <w:tc>
          <w:tcPr>
            <w:tcW w:type="dxa" w:w="3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Yas International Ltd</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Oldham</w:t>
            </w:r>
          </w:p>
        </w:tc>
        <w:tc>
          <w:tcPr>
            <w:tcW w:type="dxa" w:w="98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bCs/>
                <w:i w:val="false"/>
                <w:iCs w:val="false"/>
                <w:color w:val="C4922A"/>
                <w:sz w:val="18"/>
                <w:szCs w:val="18"/>
              </w:rPr>
              <w:t xml:space="preserve">£150.00</w:t>
            </w:r>
          </w:p>
        </w:tc>
        <w:tc>
          <w:tcPr>
            <w:tcW w:type="dxa" w:w="9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5C35"/>
                <w:sz w:val="18"/>
                <w:szCs w:val="18"/>
              </w:rPr>
              <w:t xml:space="preserve">£1,800</w:t>
            </w:r>
          </w:p>
        </w:tc>
        <w:tc>
          <w:tcPr>
            <w:tcW w:type="dxa" w:w="2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r>
        <w:tc>
          <w:tcPr>
            <w:tcW w:type="dxa" w:w="48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5C35"/>
                <w:sz w:val="18"/>
                <w:szCs w:val="18"/>
              </w:rPr>
              <w:t xml:space="preserve">GC</w:t>
            </w:r>
          </w:p>
        </w:tc>
        <w:tc>
          <w:tcPr>
            <w:tcW w:type="dxa" w:w="3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BRTA LTD</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Oldham</w:t>
            </w:r>
          </w:p>
        </w:tc>
        <w:tc>
          <w:tcPr>
            <w:tcW w:type="dxa" w:w="98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bCs/>
                <w:i w:val="false"/>
                <w:iCs w:val="false"/>
                <w:color w:val="C4922A"/>
                <w:sz w:val="18"/>
                <w:szCs w:val="18"/>
              </w:rPr>
              <w:t xml:space="preserve">£150.00</w:t>
            </w:r>
          </w:p>
        </w:tc>
        <w:tc>
          <w:tcPr>
            <w:tcW w:type="dxa" w:w="9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5C35"/>
                <w:sz w:val="18"/>
                <w:szCs w:val="18"/>
              </w:rPr>
              <w:t xml:space="preserve">£1,800</w:t>
            </w:r>
          </w:p>
        </w:tc>
        <w:tc>
          <w:tcPr>
            <w:tcW w:type="dxa" w:w="2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r>
        <w:tc>
          <w:tcPr>
            <w:tcW w:type="dxa" w:w="48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C35"/>
                <w:sz w:val="18"/>
                <w:szCs w:val="18"/>
              </w:rPr>
              <w:t xml:space="preserve">GC</w:t>
            </w:r>
          </w:p>
        </w:tc>
        <w:tc>
          <w:tcPr>
            <w:tcW w:type="dxa" w:w="3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MAMU ENTERPRISES LTD</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Kendal</w:t>
            </w:r>
          </w:p>
        </w:tc>
        <w:tc>
          <w:tcPr>
            <w:tcW w:type="dxa" w:w="98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bCs/>
                <w:i w:val="false"/>
                <w:iCs w:val="false"/>
                <w:color w:val="C4922A"/>
                <w:sz w:val="18"/>
                <w:szCs w:val="18"/>
              </w:rPr>
              <w:t xml:space="preserve">£150.00</w:t>
            </w:r>
          </w:p>
        </w:tc>
        <w:tc>
          <w:tcPr>
            <w:tcW w:type="dxa" w:w="9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5C35"/>
                <w:sz w:val="18"/>
                <w:szCs w:val="18"/>
              </w:rPr>
              <w:t xml:space="preserve">£1,800</w:t>
            </w:r>
          </w:p>
        </w:tc>
        <w:tc>
          <w:tcPr>
            <w:tcW w:type="dxa" w:w="2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r>
        <w:tc>
          <w:tcPr>
            <w:tcW w:type="dxa" w:w="48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3A6E"/>
                <w:sz w:val="18"/>
                <w:szCs w:val="18"/>
              </w:rPr>
              <w:t xml:space="preserve">SO</w:t>
            </w:r>
          </w:p>
        </w:tc>
        <w:tc>
          <w:tcPr>
            <w:tcW w:type="dxa" w:w="3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AH Takeaway Ltd</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Oldham</w:t>
            </w:r>
          </w:p>
        </w:tc>
        <w:tc>
          <w:tcPr>
            <w:tcW w:type="dxa" w:w="98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bCs/>
                <w:i w:val="false"/>
                <w:iCs w:val="false"/>
                <w:color w:val="C4922A"/>
                <w:sz w:val="18"/>
                <w:szCs w:val="18"/>
              </w:rPr>
              <w:t xml:space="preserve">£150.00</w:t>
            </w:r>
          </w:p>
        </w:tc>
        <w:tc>
          <w:tcPr>
            <w:tcW w:type="dxa" w:w="9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5C35"/>
                <w:sz w:val="18"/>
                <w:szCs w:val="18"/>
              </w:rPr>
              <w:t xml:space="preserve">£1,800</w:t>
            </w:r>
          </w:p>
        </w:tc>
        <w:tc>
          <w:tcPr>
            <w:tcW w:type="dxa" w:w="2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r>
        <w:tc>
          <w:tcPr>
            <w:tcW w:type="dxa" w:w="48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A6E"/>
                <w:sz w:val="18"/>
                <w:szCs w:val="18"/>
              </w:rPr>
              <w:t xml:space="preserve">SO</w:t>
            </w:r>
          </w:p>
        </w:tc>
        <w:tc>
          <w:tcPr>
            <w:tcW w:type="dxa" w:w="3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Spicy Valley Todmorden Ltd</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Todmorden</w:t>
            </w:r>
          </w:p>
        </w:tc>
        <w:tc>
          <w:tcPr>
            <w:tcW w:type="dxa" w:w="98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bCs/>
                <w:i w:val="false"/>
                <w:iCs w:val="false"/>
                <w:color w:val="C4922A"/>
                <w:sz w:val="18"/>
                <w:szCs w:val="18"/>
              </w:rPr>
              <w:t xml:space="preserve">£150.00</w:t>
            </w:r>
          </w:p>
        </w:tc>
        <w:tc>
          <w:tcPr>
            <w:tcW w:type="dxa" w:w="9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5C35"/>
                <w:sz w:val="18"/>
                <w:szCs w:val="18"/>
              </w:rPr>
              <w:t xml:space="preserve">£1,800</w:t>
            </w:r>
          </w:p>
        </w:tc>
        <w:tc>
          <w:tcPr>
            <w:tcW w:type="dxa" w:w="2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r>
        <w:tc>
          <w:tcPr>
            <w:tcW w:type="dxa" w:w="48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3A6E"/>
                <w:sz w:val="18"/>
                <w:szCs w:val="18"/>
              </w:rPr>
              <w:t xml:space="preserve">SO</w:t>
            </w:r>
          </w:p>
        </w:tc>
        <w:tc>
          <w:tcPr>
            <w:tcW w:type="dxa" w:w="3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Imon Tandoori</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Oldham</w:t>
            </w:r>
          </w:p>
        </w:tc>
        <w:tc>
          <w:tcPr>
            <w:tcW w:type="dxa" w:w="98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bCs/>
                <w:i w:val="false"/>
                <w:iCs w:val="false"/>
                <w:color w:val="C4922A"/>
                <w:sz w:val="18"/>
                <w:szCs w:val="18"/>
              </w:rPr>
              <w:t xml:space="preserve">£150.00</w:t>
            </w:r>
          </w:p>
        </w:tc>
        <w:tc>
          <w:tcPr>
            <w:tcW w:type="dxa" w:w="9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5C35"/>
                <w:sz w:val="18"/>
                <w:szCs w:val="18"/>
              </w:rPr>
              <w:t xml:space="preserve">£1,800</w:t>
            </w:r>
          </w:p>
        </w:tc>
        <w:tc>
          <w:tcPr>
            <w:tcW w:type="dxa" w:w="2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bl>
    <w:p>
      <w:r>
        <w:br w:type="page"/>
      </w:r>
    </w:p>
    <w:p>
      <w:pPr>
        <w:pStyle w:val="Heading1"/>
        <w:pBdr>
          <w:bottom w:val="single" w:color="C4922A" w:sz="6" w:space="6"/>
        </w:pBdr>
        <w:spacing w:before="440" w:after="180"/>
      </w:pPr>
      <w:r>
        <w:rPr>
          <w:rFonts w:ascii="Arial" w:cs="Arial" w:eastAsia="Arial" w:hAnsi="Arial"/>
          <w:b/>
          <w:bCs/>
          <w:color w:val="0C1D3B"/>
          <w:sz w:val="30"/>
          <w:szCs w:val="30"/>
        </w:rPr>
        <w:t xml:space="preserve">4. Financial Analysis and Profitability</w:t>
      </w:r>
    </w:p>
    <w:p>
      <w:pPr>
        <w:spacing w:before="60" w:after="100"/>
      </w:pPr>
      <w:r>
        <w:rPr>
          <w:rFonts w:ascii="Arial" w:cs="Arial" w:eastAsia="Arial" w:hAnsi="Arial"/>
          <w:b w:val="false"/>
          <w:bCs w:val="false"/>
          <w:i w:val="false"/>
          <w:iCs w:val="false"/>
          <w:color w:val="1A202C"/>
          <w:sz w:val="20"/>
          <w:szCs w:val="20"/>
        </w:rPr>
        <w:t xml:space="preserve">The restated revenue position of approximately £314,000 is the correct anchor for strategic planning. In this report, staff costs represent the four employed or contracted team members only. Managing Director remuneration — whether drawn as salary, dividends, or a combination — is excluded from operating costs and treated as a distribution from net profit.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3160"/>
      </w:tblGrid>
      <w:tr>
        <w:tc>
          <w:tcPr>
            <w:tcW w:type="dxa" w:w="28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Revenue stream</w:t>
            </w:r>
          </w:p>
        </w:tc>
        <w:tc>
          <w:tcPr>
            <w:tcW w:type="dxa" w:w="16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Annual revenue</w:t>
            </w:r>
          </w:p>
        </w:tc>
        <w:tc>
          <w:tcPr>
            <w:tcW w:type="dxa" w:w="18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Share of actual revenue</w:t>
            </w:r>
          </w:p>
        </w:tc>
        <w:tc>
          <w:tcPr>
            <w:tcW w:type="dxa" w:w="31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Comment</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Ltd company accounts</w:t>
            </w:r>
          </w:p>
        </w:tc>
        <w:tc>
          <w:tcPr>
            <w:tcW w:type="dxa" w:w="16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3A6E"/>
                <w:sz w:val="18"/>
                <w:szCs w:val="18"/>
              </w:rPr>
              <w:t xml:space="preserve">£184,200</w:t>
            </w:r>
          </w:p>
        </w:tc>
        <w:tc>
          <w:tcPr>
            <w:tcW w:type="dxa" w:w="1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58.7%</w:t>
            </w:r>
          </w:p>
        </w:tc>
        <w:tc>
          <w:tcPr>
            <w:tcW w:type="dxa" w:w="31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Primary revenue engine of the practice.</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PAYE / payroll</w:t>
            </w:r>
          </w:p>
        </w:tc>
        <w:tc>
          <w:tcPr>
            <w:tcW w:type="dxa" w:w="16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3A6E"/>
                <w:sz w:val="18"/>
                <w:szCs w:val="18"/>
              </w:rPr>
              <w:t xml:space="preserve">£72,900</w:t>
            </w:r>
          </w:p>
        </w:tc>
        <w:tc>
          <w:tcPr>
            <w:tcW w:type="dxa" w:w="1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23.2%</w:t>
            </w:r>
          </w:p>
        </w:tc>
        <w:tc>
          <w:tcPr>
            <w:tcW w:type="dxa" w:w="31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Operationally important; currently underpriced.</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Self-assessment</w:t>
            </w:r>
          </w:p>
        </w:tc>
        <w:tc>
          <w:tcPr>
            <w:tcW w:type="dxa" w:w="16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3A6E"/>
                <w:sz w:val="18"/>
                <w:szCs w:val="18"/>
              </w:rPr>
              <w:t xml:space="preserve">£57,450</w:t>
            </w:r>
          </w:p>
        </w:tc>
        <w:tc>
          <w:tcPr>
            <w:tcW w:type="dxa" w:w="1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18.3%</w:t>
            </w:r>
          </w:p>
        </w:tc>
        <w:tc>
          <w:tcPr>
            <w:tcW w:type="dxa" w:w="31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Foundation service and feeder into broader work.</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VAT returns</w:t>
            </w:r>
          </w:p>
        </w:tc>
        <w:tc>
          <w:tcPr>
            <w:tcW w:type="dxa" w:w="16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3A6E"/>
                <w:sz w:val="18"/>
                <w:szCs w:val="18"/>
              </w:rPr>
              <w:t xml:space="preserve">£25,200</w:t>
            </w:r>
          </w:p>
        </w:tc>
        <w:tc>
          <w:tcPr>
            <w:tcW w:type="dxa" w:w="1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8.0%</w:t>
            </w:r>
          </w:p>
        </w:tc>
        <w:tc>
          <w:tcPr>
            <w:tcW w:type="dxa" w:w="31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Well-priced and attractive recurring work.</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560"/>
      </w:tblGrid>
      <w:tr>
        <w:tc>
          <w:tcPr>
            <w:tcW w:type="dxa" w:w="28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Cost category</w:t>
            </w:r>
          </w:p>
        </w:tc>
        <w:tc>
          <w:tcPr>
            <w:tcW w:type="dxa" w:w="14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Monthly</w:t>
            </w:r>
          </w:p>
        </w:tc>
        <w:tc>
          <w:tcPr>
            <w:tcW w:type="dxa" w:w="16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Annual</w:t>
            </w:r>
          </w:p>
        </w:tc>
        <w:tc>
          <w:tcPr>
            <w:tcW w:type="dxa" w:w="35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Comment</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Staff — team wages and NIC</w:t>
            </w:r>
          </w:p>
        </w:tc>
        <w:tc>
          <w:tcPr>
            <w:tcW w:type="dxa" w:w="1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202C"/>
                <w:sz w:val="18"/>
                <w:szCs w:val="18"/>
              </w:rPr>
              <w:t xml:space="preserve">£10,500</w:t>
            </w:r>
          </w:p>
        </w:tc>
        <w:tc>
          <w:tcPr>
            <w:tcW w:type="dxa" w:w="16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202C"/>
                <w:sz w:val="18"/>
                <w:szCs w:val="18"/>
              </w:rPr>
              <w:t xml:space="preserve">£126,000</w:t>
            </w:r>
          </w:p>
        </w:tc>
        <w:tc>
          <w:tcPr>
            <w:tcW w:type="dxa" w:w="35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Hassan, Aminul, Nawaz and Sadat. MD remuneration separate.</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Premises (rent to CPL + rates)</w:t>
            </w:r>
          </w:p>
        </w:tc>
        <w:tc>
          <w:tcPr>
            <w:tcW w:type="dxa" w:w="1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202C"/>
                <w:sz w:val="18"/>
                <w:szCs w:val="18"/>
              </w:rPr>
              <w:t xml:space="preserve">£2,329</w:t>
            </w:r>
          </w:p>
        </w:tc>
        <w:tc>
          <w:tcPr>
            <w:tcW w:type="dxa" w:w="16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202C"/>
                <w:sz w:val="18"/>
                <w:szCs w:val="18"/>
              </w:rPr>
              <w:t xml:space="preserve">£27,948</w:t>
            </w:r>
          </w:p>
        </w:tc>
        <w:tc>
          <w:tcPr>
            <w:tcW w:type="dxa" w:w="35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Rent to CPL at £2,000/month plus rates and utilities.</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Software and subscriptions</w:t>
            </w:r>
          </w:p>
        </w:tc>
        <w:tc>
          <w:tcPr>
            <w:tcW w:type="dxa" w:w="1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202C"/>
                <w:sz w:val="18"/>
                <w:szCs w:val="18"/>
              </w:rPr>
              <w:t xml:space="preserve">£1,277</w:t>
            </w:r>
          </w:p>
        </w:tc>
        <w:tc>
          <w:tcPr>
            <w:tcW w:type="dxa" w:w="16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202C"/>
                <w:sz w:val="18"/>
                <w:szCs w:val="18"/>
              </w:rPr>
              <w:t xml:space="preserve">£15,324</w:t>
            </w:r>
          </w:p>
        </w:tc>
        <w:tc>
          <w:tcPr>
            <w:tcW w:type="dxa" w:w="35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QBO, Bright Manager, Inform Direct and related stack.</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Companies House / Inform Direct</w:t>
            </w:r>
          </w:p>
        </w:tc>
        <w:tc>
          <w:tcPr>
            <w:tcW w:type="dxa" w:w="1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202C"/>
                <w:sz w:val="18"/>
                <w:szCs w:val="18"/>
              </w:rPr>
              <w:t xml:space="preserve">£1,700</w:t>
            </w:r>
          </w:p>
        </w:tc>
        <w:tc>
          <w:tcPr>
            <w:tcW w:type="dxa" w:w="16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202C"/>
                <w:sz w:val="18"/>
                <w:szCs w:val="18"/>
              </w:rPr>
              <w:t xml:space="preserve">£20,400</w:t>
            </w:r>
          </w:p>
        </w:tc>
        <w:tc>
          <w:tcPr>
            <w:tcW w:type="dxa" w:w="35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Filing fees and annual subscriptions.</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Lloyds business loan</w:t>
            </w:r>
          </w:p>
        </w:tc>
        <w:tc>
          <w:tcPr>
            <w:tcW w:type="dxa" w:w="1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202C"/>
                <w:sz w:val="18"/>
                <w:szCs w:val="18"/>
              </w:rPr>
              <w:t xml:space="preserve">£971</w:t>
            </w:r>
          </w:p>
        </w:tc>
        <w:tc>
          <w:tcPr>
            <w:tcW w:type="dxa" w:w="16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202C"/>
                <w:sz w:val="18"/>
                <w:szCs w:val="18"/>
              </w:rPr>
              <w:t xml:space="preserve">£11,652</w:t>
            </w:r>
          </w:p>
        </w:tc>
        <w:tc>
          <w:tcPr>
            <w:tcW w:type="dxa" w:w="35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Consolidation loan at 10.65% APR.</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Communications</w:t>
            </w:r>
          </w:p>
        </w:tc>
        <w:tc>
          <w:tcPr>
            <w:tcW w:type="dxa" w:w="1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202C"/>
                <w:sz w:val="18"/>
                <w:szCs w:val="18"/>
              </w:rPr>
              <w:t xml:space="preserve">£210</w:t>
            </w:r>
          </w:p>
        </w:tc>
        <w:tc>
          <w:tcPr>
            <w:tcW w:type="dxa" w:w="16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202C"/>
                <w:sz w:val="18"/>
                <w:szCs w:val="18"/>
              </w:rPr>
              <w:t xml:space="preserve">£2,520</w:t>
            </w:r>
          </w:p>
        </w:tc>
        <w:tc>
          <w:tcPr>
            <w:tcW w:type="dxa" w:w="35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Mobile, broadband and landline.</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Fuel and travel</w:t>
            </w:r>
          </w:p>
        </w:tc>
        <w:tc>
          <w:tcPr>
            <w:tcW w:type="dxa" w:w="1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202C"/>
                <w:sz w:val="18"/>
                <w:szCs w:val="18"/>
              </w:rPr>
              <w:t xml:space="preserve">£200</w:t>
            </w:r>
          </w:p>
        </w:tc>
        <w:tc>
          <w:tcPr>
            <w:tcW w:type="dxa" w:w="16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202C"/>
                <w:sz w:val="18"/>
                <w:szCs w:val="18"/>
              </w:rPr>
              <w:t xml:space="preserve">£2,400</w:t>
            </w:r>
          </w:p>
        </w:tc>
        <w:tc>
          <w:tcPr>
            <w:tcW w:type="dxa" w:w="35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Business travel and client visits.</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Professional fees and other</w:t>
            </w:r>
          </w:p>
        </w:tc>
        <w:tc>
          <w:tcPr>
            <w:tcW w:type="dxa" w:w="1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202C"/>
                <w:sz w:val="18"/>
                <w:szCs w:val="18"/>
              </w:rPr>
              <w:t xml:space="preserve">£97</w:t>
            </w:r>
          </w:p>
        </w:tc>
        <w:tc>
          <w:tcPr>
            <w:tcW w:type="dxa" w:w="16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202C"/>
                <w:sz w:val="18"/>
                <w:szCs w:val="18"/>
              </w:rPr>
              <w:t xml:space="preserve">£1,164</w:t>
            </w:r>
          </w:p>
        </w:tc>
        <w:tc>
          <w:tcPr>
            <w:tcW w:type="dxa" w:w="35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Insurance, AAT and banking costs.</w:t>
            </w:r>
          </w:p>
        </w:tc>
      </w:tr>
      <w:tr>
        <w:tc>
          <w:tcPr>
            <w:tcW w:type="dxa" w:w="28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Total operating cost</w:t>
            </w:r>
          </w:p>
        </w:tc>
        <w:tc>
          <w:tcPr>
            <w:tcW w:type="dxa" w:w="14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right"/>
            </w:pPr>
            <w:r>
              <w:rPr>
                <w:rFonts w:ascii="Arial" w:cs="Arial" w:eastAsia="Arial" w:hAnsi="Arial"/>
                <w:b/>
                <w:bCs/>
                <w:i w:val="false"/>
                <w:iCs w:val="false"/>
                <w:color w:val="A61C2E"/>
                <w:sz w:val="18"/>
                <w:szCs w:val="18"/>
              </w:rPr>
              <w:t xml:space="preserve">£17,284</w:t>
            </w:r>
          </w:p>
        </w:tc>
        <w:tc>
          <w:tcPr>
            <w:tcW w:type="dxa" w:w="16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right"/>
            </w:pPr>
            <w:r>
              <w:rPr>
                <w:rFonts w:ascii="Arial" w:cs="Arial" w:eastAsia="Arial" w:hAnsi="Arial"/>
                <w:b/>
                <w:bCs/>
                <w:i w:val="false"/>
                <w:iCs w:val="false"/>
                <w:color w:val="A61C2E"/>
                <w:sz w:val="18"/>
                <w:szCs w:val="18"/>
              </w:rPr>
              <w:t xml:space="preserve">£207,408</w:t>
            </w:r>
          </w:p>
        </w:tc>
        <w:tc>
          <w:tcPr>
            <w:tcW w:type="dxa" w:w="356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Lean cost base relative to revenue and client volume.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2960"/>
      </w:tblGrid>
      <w:tr>
        <w:tc>
          <w:tcPr>
            <w:tcW w:type="dxa" w:w="34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Profit metric</w:t>
            </w:r>
          </w:p>
        </w:tc>
        <w:tc>
          <w:tcPr>
            <w:tcW w:type="dxa" w:w="15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 Amount</w:t>
            </w:r>
          </w:p>
        </w:tc>
        <w:tc>
          <w:tcPr>
            <w:tcW w:type="dxa" w:w="15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 Revenue</w:t>
            </w:r>
          </w:p>
        </w:tc>
        <w:tc>
          <w:tcPr>
            <w:tcW w:type="dxa" w:w="29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Comment</w:t>
            </w:r>
          </w:p>
        </w:tc>
      </w:tr>
      <w:tr>
        <w:tc>
          <w:tcPr>
            <w:tcW w:type="dxa" w:w="3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Net revenue (actual, restated)</w:t>
            </w:r>
          </w:p>
        </w:tc>
        <w:tc>
          <w:tcPr>
            <w:tcW w:type="dxa" w:w="15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202C"/>
                <w:sz w:val="18"/>
                <w:szCs w:val="18"/>
              </w:rPr>
              <w:t xml:space="preserve">£314,000</w:t>
            </w:r>
          </w:p>
        </w:tc>
        <w:tc>
          <w:tcPr>
            <w:tcW w:type="dxa" w:w="15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100.0%</w:t>
            </w:r>
          </w:p>
        </w:tc>
        <w:tc>
          <w:tcPr>
            <w:tcW w:type="dxa" w:w="29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Clean trading income, bank-statement verified.</w:t>
            </w:r>
          </w:p>
        </w:tc>
      </w:tr>
      <w:tr>
        <w:tc>
          <w:tcPr>
            <w:tcW w:type="dxa" w:w="3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Operating costs (excl. MD remuneration)</w:t>
            </w:r>
          </w:p>
        </w:tc>
        <w:tc>
          <w:tcPr>
            <w:tcW w:type="dxa" w:w="15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202C"/>
                <w:sz w:val="18"/>
                <w:szCs w:val="18"/>
              </w:rPr>
              <w:t xml:space="preserve">£207,408</w:t>
            </w:r>
          </w:p>
        </w:tc>
        <w:tc>
          <w:tcPr>
            <w:tcW w:type="dxa" w:w="15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66.1%</w:t>
            </w:r>
          </w:p>
        </w:tc>
        <w:tc>
          <w:tcPr>
            <w:tcW w:type="dxa" w:w="29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All overheads; four team members; excludes MD pay.</w:t>
            </w:r>
          </w:p>
        </w:tc>
      </w:tr>
      <w:tr>
        <w:tc>
          <w:tcPr>
            <w:tcW w:type="dxa" w:w="34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Net operating profit</w:t>
            </w:r>
          </w:p>
        </w:tc>
        <w:tc>
          <w:tcPr>
            <w:tcW w:type="dxa" w:w="15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right"/>
            </w:pPr>
            <w:r>
              <w:rPr>
                <w:rFonts w:ascii="Arial" w:cs="Arial" w:eastAsia="Arial" w:hAnsi="Arial"/>
                <w:b/>
                <w:bCs/>
                <w:i w:val="false"/>
                <w:iCs w:val="false"/>
                <w:color w:val="1A5C35"/>
                <w:sz w:val="18"/>
                <w:szCs w:val="18"/>
              </w:rPr>
              <w:t xml:space="preserve">£106,592</w:t>
            </w:r>
          </w:p>
        </w:tc>
        <w:tc>
          <w:tcPr>
            <w:tcW w:type="dxa" w:w="15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33.9%</w:t>
            </w:r>
          </w:p>
        </w:tc>
        <w:tc>
          <w:tcPr>
            <w:tcW w:type="dxa" w:w="296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Available for MD remuneration and reinvestment.</w:t>
            </w:r>
          </w:p>
        </w:tc>
      </w:tr>
      <w:tr>
        <w:tc>
          <w:tcPr>
            <w:tcW w:type="dxa" w:w="3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c>
          <w:tcPr>
            <w:tcW w:type="dxa" w:w="15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202C"/>
                <w:sz w:val="18"/>
                <w:szCs w:val="18"/>
              </w:rPr>
              <w:t xml:space="preserve"/>
            </w:r>
          </w:p>
        </w:tc>
        <w:tc>
          <w:tcPr>
            <w:tcW w:type="dxa" w:w="15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
            </w:r>
          </w:p>
        </w:tc>
        <w:tc>
          <w:tcPr>
            <w:tcW w:type="dxa" w:w="29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
            </w:r>
          </w:p>
        </w:tc>
      </w:tr>
      <w:tr>
        <w:tc>
          <w:tcPr>
            <w:tcW w:type="dxa" w:w="3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Post-fee-correction revenue</w:t>
            </w:r>
          </w:p>
        </w:tc>
        <w:tc>
          <w:tcPr>
            <w:tcW w:type="dxa" w:w="15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202C"/>
                <w:sz w:val="18"/>
                <w:szCs w:val="18"/>
              </w:rPr>
              <w:t xml:space="preserve">£423,340</w:t>
            </w:r>
          </w:p>
        </w:tc>
        <w:tc>
          <w:tcPr>
            <w:tcW w:type="dxa" w:w="15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w:t>
            </w:r>
          </w:p>
        </w:tc>
        <w:tc>
          <w:tcPr>
            <w:tcW w:type="dxa" w:w="29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Same client base; corrected rates only; no new clients.</w:t>
            </w:r>
          </w:p>
        </w:tc>
      </w:tr>
      <w:tr>
        <w:tc>
          <w:tcPr>
            <w:tcW w:type="dxa" w:w="34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Post-correction operating profit</w:t>
            </w:r>
          </w:p>
        </w:tc>
        <w:tc>
          <w:tcPr>
            <w:tcW w:type="dxa" w:w="15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right"/>
            </w:pPr>
            <w:r>
              <w:rPr>
                <w:rFonts w:ascii="Arial" w:cs="Arial" w:eastAsia="Arial" w:hAnsi="Arial"/>
                <w:b/>
                <w:bCs/>
                <w:i w:val="false"/>
                <w:iCs w:val="false"/>
                <w:color w:val="1A5C35"/>
                <w:sz w:val="18"/>
                <w:szCs w:val="18"/>
              </w:rPr>
              <w:t xml:space="preserve">£215,932</w:t>
            </w:r>
          </w:p>
        </w:tc>
        <w:tc>
          <w:tcPr>
            <w:tcW w:type="dxa" w:w="15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5C35"/>
                <w:sz w:val="18"/>
                <w:szCs w:val="18"/>
              </w:rPr>
              <w:t xml:space="preserve">51.0%</w:t>
            </w:r>
          </w:p>
        </w:tc>
        <w:tc>
          <w:tcPr>
            <w:tcW w:type="dxa" w:w="296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Directional model — not a guaranteed delivery figure.</w:t>
            </w:r>
          </w:p>
        </w:tc>
      </w:tr>
    </w:tbl>
    <w:p>
      <w:pPr>
        <w:spacing w:before="0" w:after="80"/>
      </w:pPr>
      <w:r>
        <w:t xml:space="preserve"/>
      </w:r>
    </w:p>
    <w:p>
      <w:pPr>
        <w:spacing w:before="60" w:after="100"/>
      </w:pPr>
      <w:r>
        <w:rPr>
          <w:rFonts w:ascii="Arial" w:cs="Arial" w:eastAsia="Arial" w:hAnsi="Arial"/>
          <w:b w:val="false"/>
          <w:bCs w:val="false"/>
          <w:i/>
          <w:iCs/>
          <w:color w:val="4A5568"/>
          <w:sz w:val="20"/>
          <w:szCs w:val="20"/>
        </w:rPr>
        <w:t xml:space="preserve">The post-correction figures should be read as a directional model, not a guaranteed outcome. Implementation will involve timing lag and a modest level of expected client attrition. The strategic point remains: the current fee schedule materially understates the value being delivered.</w:t>
      </w:r>
    </w:p>
    <w:p>
      <w:r>
        <w:br w:type="page"/>
      </w:r>
    </w:p>
    <w:p>
      <w:pPr>
        <w:pStyle w:val="Heading1"/>
        <w:pBdr>
          <w:bottom w:val="single" w:color="C4922A" w:sz="6" w:space="6"/>
        </w:pBdr>
        <w:spacing w:before="440" w:after="180"/>
      </w:pPr>
      <w:r>
        <w:rPr>
          <w:rFonts w:ascii="Arial" w:cs="Arial" w:eastAsia="Arial" w:hAnsi="Arial"/>
          <w:b/>
          <w:bCs/>
          <w:color w:val="0C1D3B"/>
          <w:sz w:val="30"/>
          <w:szCs w:val="30"/>
        </w:rPr>
        <w:t xml:space="preserve">5. Pricing Strategy and Commercial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500"/>
        <w:gridCol w:w="1300"/>
        <w:gridCol w:w="2660"/>
      </w:tblGrid>
      <w:tr>
        <w:tc>
          <w:tcPr>
            <w:tcW w:type="dxa" w:w="26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Service</w:t>
            </w:r>
          </w:p>
        </w:tc>
        <w:tc>
          <w:tcPr>
            <w:tcW w:type="dxa" w:w="13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Current fee</w:t>
            </w:r>
          </w:p>
        </w:tc>
        <w:tc>
          <w:tcPr>
            <w:tcW w:type="dxa" w:w="15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Recommended</w:t>
            </w:r>
          </w:p>
        </w:tc>
        <w:tc>
          <w:tcPr>
            <w:tcW w:type="dxa" w:w="13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Increase</w:t>
            </w:r>
          </w:p>
        </w:tc>
        <w:tc>
          <w:tcPr>
            <w:tcW w:type="dxa" w:w="26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Annual uplift on current base</w:t>
            </w:r>
          </w:p>
        </w:tc>
      </w:tr>
      <w:tr>
        <w:tc>
          <w:tcPr>
            <w:tcW w:type="dxa" w:w="26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Ltd company accounts</w:t>
            </w:r>
          </w:p>
        </w:tc>
        <w:tc>
          <w:tcPr>
            <w:tcW w:type="dxa" w:w="13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£600</w:t>
            </w:r>
          </w:p>
        </w:tc>
        <w:tc>
          <w:tcPr>
            <w:tcW w:type="dxa" w:w="15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£800</w:t>
            </w:r>
          </w:p>
        </w:tc>
        <w:tc>
          <w:tcPr>
            <w:tcW w:type="dxa" w:w="13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C4922A"/>
                <w:sz w:val="18"/>
                <w:szCs w:val="18"/>
              </w:rPr>
              <w:t xml:space="preserve">+£200 (33%)</w:t>
            </w:r>
          </w:p>
        </w:tc>
        <w:tc>
          <w:tcPr>
            <w:tcW w:type="dxa" w:w="26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307 × £200 = £61,400</w:t>
            </w:r>
          </w:p>
        </w:tc>
      </w:tr>
      <w:tr>
        <w:tc>
          <w:tcPr>
            <w:tcW w:type="dxa" w:w="26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PAYE / payroll</w:t>
            </w:r>
          </w:p>
        </w:tc>
        <w:tc>
          <w:tcPr>
            <w:tcW w:type="dxa" w:w="13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£300</w:t>
            </w:r>
          </w:p>
        </w:tc>
        <w:tc>
          <w:tcPr>
            <w:tcW w:type="dxa" w:w="15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£450</w:t>
            </w:r>
          </w:p>
        </w:tc>
        <w:tc>
          <w:tcPr>
            <w:tcW w:type="dxa" w:w="13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C4922A"/>
                <w:sz w:val="18"/>
                <w:szCs w:val="18"/>
              </w:rPr>
              <w:t xml:space="preserve">+£150 (50%)</w:t>
            </w:r>
          </w:p>
        </w:tc>
        <w:tc>
          <w:tcPr>
            <w:tcW w:type="dxa" w:w="26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243 × £150 = £36,450</w:t>
            </w:r>
          </w:p>
        </w:tc>
      </w:tr>
      <w:tr>
        <w:tc>
          <w:tcPr>
            <w:tcW w:type="dxa" w:w="26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Self-assessment</w:t>
            </w:r>
          </w:p>
        </w:tc>
        <w:tc>
          <w:tcPr>
            <w:tcW w:type="dxa" w:w="13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£150</w:t>
            </w:r>
          </w:p>
        </w:tc>
        <w:tc>
          <w:tcPr>
            <w:tcW w:type="dxa" w:w="15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£180</w:t>
            </w:r>
          </w:p>
        </w:tc>
        <w:tc>
          <w:tcPr>
            <w:tcW w:type="dxa" w:w="13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C4922A"/>
                <w:sz w:val="18"/>
                <w:szCs w:val="18"/>
              </w:rPr>
              <w:t xml:space="preserve">+£30 (20%)</w:t>
            </w:r>
          </w:p>
        </w:tc>
        <w:tc>
          <w:tcPr>
            <w:tcW w:type="dxa" w:w="26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383 × £30 = £11,490</w:t>
            </w:r>
          </w:p>
        </w:tc>
      </w:tr>
      <w:tr>
        <w:tc>
          <w:tcPr>
            <w:tcW w:type="dxa" w:w="26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VAT returns</w:t>
            </w:r>
          </w:p>
        </w:tc>
        <w:tc>
          <w:tcPr>
            <w:tcW w:type="dxa" w:w="13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£600</w:t>
            </w:r>
          </w:p>
        </w:tc>
        <w:tc>
          <w:tcPr>
            <w:tcW w:type="dxa" w:w="15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£600</w:t>
            </w:r>
          </w:p>
        </w:tc>
        <w:tc>
          <w:tcPr>
            <w:tcW w:type="dxa" w:w="13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No change</w:t>
            </w:r>
          </w:p>
        </w:tc>
        <w:tc>
          <w:tcPr>
            <w:tcW w:type="dxa" w:w="26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Market rate confirmed</w:t>
            </w:r>
          </w:p>
        </w:tc>
      </w:tr>
      <w:tr>
        <w:tc>
          <w:tcPr>
            <w:tcW w:type="dxa" w:w="26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Total</w:t>
            </w:r>
          </w:p>
        </w:tc>
        <w:tc>
          <w:tcPr>
            <w:tcW w:type="dxa" w:w="13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
            </w:r>
          </w:p>
        </w:tc>
        <w:tc>
          <w:tcPr>
            <w:tcW w:type="dxa" w:w="15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
            </w:r>
          </w:p>
        </w:tc>
        <w:tc>
          <w:tcPr>
            <w:tcW w:type="dxa" w:w="13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
            </w:r>
          </w:p>
        </w:tc>
        <w:tc>
          <w:tcPr>
            <w:tcW w:type="dxa" w:w="266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+£109,340 per year</w:t>
            </w:r>
          </w:p>
        </w:tc>
      </w:tr>
    </w:tbl>
    <w:p>
      <w:pPr>
        <w:spacing w:before="0" w:after="80"/>
      </w:pPr>
      <w:r>
        <w:t xml:space="preserve"/>
      </w:r>
    </w:p>
    <w:p>
      <w:pPr>
        <w:spacing w:before="60" w:after="100"/>
      </w:pPr>
      <w:r>
        <w:rPr>
          <w:rFonts w:ascii="Arial" w:cs="Arial" w:eastAsia="Arial" w:hAnsi="Arial"/>
          <w:b w:val="false"/>
          <w:bCs w:val="false"/>
          <w:i w:val="false"/>
          <w:iCs w:val="false"/>
          <w:color w:val="1A202C"/>
          <w:sz w:val="20"/>
          <w:szCs w:val="20"/>
        </w:rPr>
        <w:t xml:space="preserve">The highest-value immediate commercial action is to apply corrected pricing to every new client now and to issue a structured fee review to the existing base with clear notice periods. The price increase case is strongest where the service has repeatability, reliance, and embedded client trust — most notably limited company accounts and payroll.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4922A" w:sz="4"/>
              <w:left w:val="single" w:color="C4922A" w:sz="4"/>
              <w:bottom w:val="single" w:color="C4922A" w:sz="4"/>
              <w:right w:val="single" w:color="C4922A" w:sz="4"/>
            </w:tcBorders>
            <w:shd w:fill="C4922A"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Recommended implementation</w:t>
            </w:r>
          </w:p>
        </w:tc>
        <w:tc>
          <w:tcPr>
            <w:tcW w:type="dxa" w:w="468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Commercial cautions</w:t>
            </w:r>
          </w:p>
        </w:tc>
      </w:tr>
      <w:tr>
        <w:tc>
          <w:tcPr>
            <w:tcW w:type="dxa" w:w="4680"/>
            <w:tcBorders>
              <w:top w:val="single" w:color="E2E8EF" w:sz="4"/>
              <w:left w:val="single" w:color="E2E8EF" w:sz="4"/>
              <w:bottom w:val="single" w:color="E2E8EF" w:sz="4"/>
              <w:right w:val="single" w:color="E2E8EF" w:sz="4"/>
            </w:tcBorders>
            <w:shd w:fill="F7F9FC" w:val="clear"/>
            <w:tcMar>
              <w:top w:type="dxa" w:w="140"/>
              <w:left w:type="dxa" w:w="180"/>
              <w:bottom w:type="dxa" w:w="140"/>
              <w:right w:type="dxa" w:w="180"/>
            </w:tcMar>
          </w:tcPr>
          <w:p>
            <w:pPr>
              <w:pStyle w:val="ListParagraph"/>
              <w:numPr>
                <w:ilvl w:val="0"/>
                <w:numId w:val="2"/>
              </w:numPr>
              <w:spacing w:before="40" w:after="40"/>
            </w:pPr>
            <w:r>
              <w:rPr>
                <w:rFonts w:ascii="Arial" w:cs="Arial" w:eastAsia="Arial" w:hAnsi="Arial"/>
                <w:color w:val="1A202C"/>
                <w:sz w:val="18"/>
                <w:szCs w:val="18"/>
              </w:rPr>
              <w:t xml:space="preserve">Apply new prices to all new clients immediately: £800 Ltd, £450 PAYE, £180 SA.</w:t>
            </w:r>
          </w:p>
          <w:p>
            <w:pPr>
              <w:pStyle w:val="ListParagraph"/>
              <w:numPr>
                <w:ilvl w:val="0"/>
                <w:numId w:val="2"/>
              </w:numPr>
              <w:spacing w:before="40" w:after="40"/>
            </w:pPr>
            <w:r>
              <w:rPr>
                <w:rFonts w:ascii="Arial" w:cs="Arial" w:eastAsia="Arial" w:hAnsi="Arial"/>
                <w:color w:val="1A202C"/>
                <w:sz w:val="18"/>
                <w:szCs w:val="18"/>
              </w:rPr>
              <w:t xml:space="preserve">Move the 69-client £75 cohort to £100/month on renewal.</w:t>
            </w:r>
          </w:p>
          <w:p>
            <w:pPr>
              <w:pStyle w:val="ListParagraph"/>
              <w:numPr>
                <w:ilvl w:val="0"/>
                <w:numId w:val="2"/>
              </w:numPr>
              <w:spacing w:before="40" w:after="40"/>
            </w:pPr>
            <w:r>
              <w:rPr>
                <w:rFonts w:ascii="Arial" w:cs="Arial" w:eastAsia="Arial" w:hAnsi="Arial"/>
                <w:color w:val="1A202C"/>
                <w:sz w:val="18"/>
                <w:szCs w:val="18"/>
              </w:rPr>
              <w:t xml:space="preserve">Use 90 days' notice for legacy clients. Frame increases around service quality, compliance demands, and DD convenience.</w:t>
            </w:r>
          </w:p>
          <w:p>
            <w:pPr>
              <w:pStyle w:val="ListParagraph"/>
              <w:numPr>
                <w:ilvl w:val="0"/>
                <w:numId w:val="2"/>
              </w:numPr>
              <w:spacing w:before="40" w:after="40"/>
            </w:pPr>
            <w:r>
              <w:rPr>
                <w:rFonts w:ascii="Arial" w:cs="Arial" w:eastAsia="Arial" w:hAnsi="Arial"/>
                <w:color w:val="1A202C"/>
                <w:sz w:val="18"/>
                <w:szCs w:val="18"/>
              </w:rPr>
              <w:t xml:space="preserve">Bundle where value is clear: Ltd + PAYE, Ltd + SA, Ltd + VAT + PAYE.</w:t>
            </w:r>
          </w:p>
        </w:tc>
        <w:tc>
          <w:tcPr>
            <w:tcW w:type="dxa" w:w="4680"/>
            <w:tcBorders>
              <w:top w:val="single" w:color="E2E8EF" w:sz="4"/>
              <w:left w:val="single" w:color="E2E8EF" w:sz="4"/>
              <w:bottom w:val="single" w:color="E2E8EF" w:sz="4"/>
              <w:right w:val="single" w:color="E2E8EF" w:sz="4"/>
            </w:tcBorders>
            <w:shd w:fill="FDF9F0" w:val="clear"/>
            <w:tcMar>
              <w:top w:type="dxa" w:w="140"/>
              <w:left w:type="dxa" w:w="180"/>
              <w:bottom w:type="dxa" w:w="140"/>
              <w:right w:type="dxa" w:w="180"/>
            </w:tcMar>
          </w:tcPr>
          <w:p>
            <w:pPr>
              <w:pStyle w:val="ListParagraph"/>
              <w:numPr>
                <w:ilvl w:val="0"/>
                <w:numId w:val="2"/>
              </w:numPr>
              <w:spacing w:before="40" w:after="40"/>
            </w:pPr>
            <w:r>
              <w:rPr>
                <w:rFonts w:ascii="Arial" w:cs="Arial" w:eastAsia="Arial" w:hAnsi="Arial"/>
                <w:color w:val="1A202C"/>
                <w:sz w:val="18"/>
                <w:szCs w:val="18"/>
              </w:rPr>
              <w:t xml:space="preserve">Do not apply blunt percentage rises without segmenting by service mix and client value.</w:t>
            </w:r>
          </w:p>
          <w:p>
            <w:pPr>
              <w:pStyle w:val="ListParagraph"/>
              <w:numPr>
                <w:ilvl w:val="0"/>
                <w:numId w:val="2"/>
              </w:numPr>
              <w:spacing w:before="40" w:after="40"/>
            </w:pPr>
            <w:r>
              <w:rPr>
                <w:rFonts w:ascii="Arial" w:cs="Arial" w:eastAsia="Arial" w:hAnsi="Arial"/>
                <w:color w:val="1A202C"/>
                <w:sz w:val="18"/>
                <w:szCs w:val="18"/>
              </w:rPr>
              <w:t xml:space="preserve">Expect some timing slippage and modest attrition — but do not let fear of churn freeze necessary repricing.</w:t>
            </w:r>
          </w:p>
          <w:p>
            <w:pPr>
              <w:pStyle w:val="ListParagraph"/>
              <w:numPr>
                <w:ilvl w:val="0"/>
                <w:numId w:val="2"/>
              </w:numPr>
              <w:spacing w:before="40" w:after="40"/>
            </w:pPr>
            <w:r>
              <w:rPr>
                <w:rFonts w:ascii="Arial" w:cs="Arial" w:eastAsia="Arial" w:hAnsi="Arial"/>
                <w:color w:val="1A202C"/>
                <w:sz w:val="18"/>
                <w:szCs w:val="18"/>
              </w:rPr>
              <w:t xml:space="preserve">Give Tier A clients direct personal communication rather than a standard mass letter.</w:t>
            </w:r>
          </w:p>
          <w:p>
            <w:pPr>
              <w:pStyle w:val="ListParagraph"/>
              <w:numPr>
                <w:ilvl w:val="0"/>
                <w:numId w:val="2"/>
              </w:numPr>
              <w:spacing w:before="40" w:after="40"/>
            </w:pPr>
            <w:r>
              <w:rPr>
                <w:rFonts w:ascii="Arial" w:cs="Arial" w:eastAsia="Arial" w:hAnsi="Arial"/>
                <w:color w:val="1A202C"/>
                <w:sz w:val="18"/>
                <w:szCs w:val="18"/>
              </w:rPr>
              <w:t xml:space="preserve">Use the fee review process to simultaneously improve data capture: email, mobile, service confirmation.</w:t>
            </w:r>
          </w:p>
        </w:tc>
      </w:tr>
    </w:tbl>
    <w:p>
      <w:r>
        <w:br w:type="page"/>
      </w:r>
    </w:p>
    <w:p>
      <w:pPr>
        <w:pStyle w:val="Heading1"/>
        <w:pBdr>
          <w:bottom w:val="single" w:color="C4922A" w:sz="6" w:space="6"/>
        </w:pBdr>
        <w:spacing w:before="440" w:after="180"/>
      </w:pPr>
      <w:r>
        <w:rPr>
          <w:rFonts w:ascii="Arial" w:cs="Arial" w:eastAsia="Arial" w:hAnsi="Arial"/>
          <w:b/>
          <w:bCs/>
          <w:color w:val="0C1D3B"/>
          <w:sz w:val="30"/>
          <w:szCs w:val="30"/>
        </w:rPr>
        <w:t xml:space="preserve">6. Operating Economics and Performance Metrics</w:t>
      </w:r>
    </w:p>
    <w:p>
      <w:pPr>
        <w:spacing w:before="60" w:after="100"/>
      </w:pPr>
      <w:r>
        <w:rPr>
          <w:rFonts w:ascii="Arial" w:cs="Arial" w:eastAsia="Arial" w:hAnsi="Arial"/>
          <w:b w:val="false"/>
          <w:bCs w:val="false"/>
          <w:i w:val="false"/>
          <w:iCs w:val="false"/>
          <w:color w:val="1A202C"/>
          <w:sz w:val="20"/>
          <w:szCs w:val="20"/>
        </w:rPr>
        <w:t xml:space="preserve">The practice compares well on retention, recurring revenue, and margin. It compares less well on revenue per client and revenue per team member — but this is primarily a pricing issue, not a productivity shortfall.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800"/>
        <w:gridCol w:w="3260"/>
      </w:tblGrid>
      <w:tr>
        <w:tc>
          <w:tcPr>
            <w:tcW w:type="dxa" w:w="28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KPI</w:t>
            </w:r>
          </w:p>
        </w:tc>
        <w:tc>
          <w:tcPr>
            <w:tcW w:type="dxa" w:w="15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Current</w:t>
            </w:r>
          </w:p>
        </w:tc>
        <w:tc>
          <w:tcPr>
            <w:tcW w:type="dxa" w:w="18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Post-correction</w:t>
            </w:r>
          </w:p>
        </w:tc>
        <w:tc>
          <w:tcPr>
            <w:tcW w:type="dxa" w:w="32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Interpretation</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Revenue per employee</w:t>
            </w:r>
          </w:p>
        </w:tc>
        <w:tc>
          <w:tcPr>
            <w:tcW w:type="dxa" w:w="15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£62,800</w:t>
            </w:r>
          </w:p>
        </w:tc>
        <w:tc>
          <w:tcPr>
            <w:tcW w:type="dxa" w:w="1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£84,668</w:t>
            </w:r>
          </w:p>
        </w:tc>
        <w:tc>
          <w:tcPr>
            <w:tcW w:type="dxa" w:w="32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Moves into a healthy range after fee correction.</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Revenue per client</w:t>
            </w:r>
          </w:p>
        </w:tc>
        <w:tc>
          <w:tcPr>
            <w:tcW w:type="dxa" w:w="15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£523</w:t>
            </w:r>
          </w:p>
        </w:tc>
        <w:tc>
          <w:tcPr>
            <w:tcW w:type="dxa" w:w="1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£706</w:t>
            </w:r>
          </w:p>
        </w:tc>
        <w:tc>
          <w:tcPr>
            <w:tcW w:type="dxa" w:w="32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Confirms that many relationships remain under-monetised.</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Clients per employee</w:t>
            </w:r>
          </w:p>
        </w:tc>
        <w:tc>
          <w:tcPr>
            <w:tcW w:type="dxa" w:w="15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120</w:t>
            </w:r>
          </w:p>
        </w:tc>
        <w:tc>
          <w:tcPr>
            <w:tcW w:type="dxa" w:w="1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120</w:t>
            </w:r>
          </w:p>
        </w:tc>
        <w:tc>
          <w:tcPr>
            <w:tcW w:type="dxa" w:w="32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At the top end of what is comfortable without further systemisation.</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Staff cost as % of revenue</w:t>
            </w:r>
          </w:p>
        </w:tc>
        <w:tc>
          <w:tcPr>
            <w:tcW w:type="dxa" w:w="15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40.1%</w:t>
            </w:r>
          </w:p>
        </w:tc>
        <w:tc>
          <w:tcPr>
            <w:tcW w:type="dxa" w:w="1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29.8%</w:t>
            </w:r>
          </w:p>
        </w:tc>
        <w:tc>
          <w:tcPr>
            <w:tcW w:type="dxa" w:w="32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Healthy today; very strong post-correction.</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Net margin (before MD remuneration)</w:t>
            </w:r>
          </w:p>
        </w:tc>
        <w:tc>
          <w:tcPr>
            <w:tcW w:type="dxa" w:w="15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33.9%</w:t>
            </w:r>
          </w:p>
        </w:tc>
        <w:tc>
          <w:tcPr>
            <w:tcW w:type="dxa" w:w="1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51.0%</w:t>
            </w:r>
          </w:p>
        </w:tc>
        <w:tc>
          <w:tcPr>
            <w:tcW w:type="dxa" w:w="32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Directional model; demonstrates pricing power.</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Recurring revenue % of total</w:t>
            </w:r>
          </w:p>
        </w:tc>
        <w:tc>
          <w:tcPr>
            <w:tcW w:type="dxa" w:w="15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74.7%</w:t>
            </w:r>
          </w:p>
        </w:tc>
        <w:tc>
          <w:tcPr>
            <w:tcW w:type="dxa" w:w="1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w:t>
            </w:r>
          </w:p>
        </w:tc>
        <w:tc>
          <w:tcPr>
            <w:tcW w:type="dxa" w:w="32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Significantly above the 30–50% sector norm. A genuine asset.</w:t>
            </w:r>
          </w:p>
        </w:tc>
      </w:tr>
    </w:tbl>
    <w:p>
      <w:pPr>
        <w:spacing w:before="0" w:after="80"/>
      </w:pPr>
      <w:r>
        <w:t xml:space="preserve"/>
      </w:r>
    </w:p>
    <w:p>
      <w:pPr>
        <w:spacing w:before="60" w:after="100"/>
      </w:pPr>
      <w:r>
        <w:rPr>
          <w:rFonts w:ascii="Arial" w:cs="Arial" w:eastAsia="Arial" w:hAnsi="Arial"/>
          <w:b w:val="false"/>
          <w:bCs w:val="false"/>
          <w:i w:val="false"/>
          <w:iCs w:val="false"/>
          <w:color w:val="4A5568"/>
          <w:sz w:val="20"/>
          <w:szCs w:val="20"/>
        </w:rPr>
        <w:t xml:space="preserve">The key managerial truth does not depend on precise hourly-rate modelling: the firm's realised price per client is below what the service complexity and relationship depth would justify at current market rates.</w:t>
      </w:r>
    </w:p>
    <w:p>
      <w:r>
        <w:br w:type="page"/>
      </w:r>
    </w:p>
    <w:p>
      <w:pPr>
        <w:pStyle w:val="Heading1"/>
        <w:pBdr>
          <w:bottom w:val="single" w:color="C4922A" w:sz="6" w:space="6"/>
        </w:pBdr>
        <w:spacing w:before="440" w:after="180"/>
      </w:pPr>
      <w:r>
        <w:rPr>
          <w:rFonts w:ascii="Arial" w:cs="Arial" w:eastAsia="Arial" w:hAnsi="Arial"/>
          <w:b/>
          <w:bCs/>
          <w:color w:val="0C1D3B"/>
          <w:sz w:val="30"/>
          <w:szCs w:val="30"/>
        </w:rPr>
        <w:t xml:space="preserve">7. Client Data, Systems and Operational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Source</w:t>
            </w:r>
          </w:p>
        </w:tc>
        <w:tc>
          <w:tcPr>
            <w:tcW w:type="dxa" w:w="65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Records and coverage</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GoCardless export</w:t>
            </w:r>
          </w:p>
        </w:tc>
        <w:tc>
          <w:tcPr>
            <w:tcW w:type="dxa" w:w="65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163 records — 100% email coverage. All confirmed and usable.</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Moneysoft payroll export</w:t>
            </w:r>
          </w:p>
        </w:tc>
        <w:tc>
          <w:tcPr>
            <w:tcW w:type="dxa" w:w="65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243 records — 209 with email (86%). 34 employers missing.</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Total unique email coverage</w:t>
            </w:r>
          </w:p>
        </w:tc>
        <w:tc>
          <w:tcPr>
            <w:tcW w:type="dxa" w:w="65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~267 of ~600 active clients (44%). Immediately usable for fee letters and campaigns.</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Phone number coverage</w:t>
            </w:r>
          </w:p>
        </w:tc>
        <w:tc>
          <w:tcPr>
            <w:tcW w:type="dxa" w:w="65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0 of ~600 — a genuine operational gap across all current exports.</w:t>
            </w:r>
          </w:p>
        </w:tc>
      </w:tr>
    </w:tbl>
    <w:p>
      <w:pPr>
        <w:spacing w:before="0" w:after="80"/>
      </w:pPr>
      <w:r>
        <w:t xml:space="preserve"/>
      </w:r>
    </w:p>
    <w:p>
      <w:pPr>
        <w:spacing w:before="60" w:after="100"/>
      </w:pPr>
      <w:r>
        <w:rPr>
          <w:rFonts w:ascii="Arial" w:cs="Arial" w:eastAsia="Arial" w:hAnsi="Arial"/>
          <w:b w:val="false"/>
          <w:bCs w:val="false"/>
          <w:i w:val="false"/>
          <w:iCs w:val="false"/>
          <w:color w:val="1A202C"/>
          <w:sz w:val="20"/>
          <w:szCs w:val="20"/>
        </w:rPr>
        <w:t xml:space="preserve">Email coverage is meaningful and immediately actionable for fee increase letters, GoCardless campaigns, and targeted communication. The critical gap is phone numbers. The next data-management priority should be disciplined capture: mandatory mobile and email fields on every new client form, plus annual renewal confirmation for the existing base. Bright Manager clean-up also matters — inflated records at 717 vs approximately 600 active clients distort workload planning and benchmarking.</w:t>
      </w:r>
    </w:p>
    <w:p>
      <w:r>
        <w:br w:type="page"/>
      </w:r>
    </w:p>
    <w:p>
      <w:pPr>
        <w:pStyle w:val="Heading1"/>
        <w:pBdr>
          <w:bottom w:val="single" w:color="C4922A" w:sz="6" w:space="6"/>
        </w:pBdr>
        <w:spacing w:before="440" w:after="180"/>
      </w:pPr>
      <w:r>
        <w:rPr>
          <w:rFonts w:ascii="Arial" w:cs="Arial" w:eastAsia="Arial" w:hAnsi="Arial"/>
          <w:b/>
          <w:bCs/>
          <w:color w:val="0C1D3B"/>
          <w:sz w:val="30"/>
          <w:szCs w:val="30"/>
        </w:rPr>
        <w:t xml:space="preserve">8. SWOT Analysis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4922A" w:sz="4"/>
              <w:left w:val="single" w:color="C4922A" w:sz="4"/>
              <w:bottom w:val="single" w:color="C4922A" w:sz="4"/>
              <w:right w:val="single" w:color="C4922A" w:sz="4"/>
            </w:tcBorders>
            <w:shd w:fill="C4922A"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Strengths</w:t>
            </w:r>
          </w:p>
        </w:tc>
        <w:tc>
          <w:tcPr>
            <w:tcW w:type="dxa" w:w="468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Weaknesses</w:t>
            </w:r>
          </w:p>
        </w:tc>
      </w:tr>
      <w:tr>
        <w:tc>
          <w:tcPr>
            <w:tcW w:type="dxa" w:w="4680"/>
            <w:tcBorders>
              <w:top w:val="single" w:color="E2E8EF" w:sz="4"/>
              <w:left w:val="single" w:color="E2E8EF" w:sz="4"/>
              <w:bottom w:val="single" w:color="E2E8EF" w:sz="4"/>
              <w:right w:val="single" w:color="E2E8EF" w:sz="4"/>
            </w:tcBorders>
            <w:shd w:fill="FAFDF6" w:val="clear"/>
            <w:tcMar>
              <w:top w:type="dxa" w:w="140"/>
              <w:left w:type="dxa" w:w="180"/>
              <w:bottom w:type="dxa" w:w="140"/>
              <w:right w:type="dxa" w:w="180"/>
            </w:tcMar>
          </w:tcPr>
          <w:p>
            <w:pPr>
              <w:pStyle w:val="ListParagraph"/>
              <w:numPr>
                <w:ilvl w:val="0"/>
                <w:numId w:val="2"/>
              </w:numPr>
              <w:spacing w:before="40" w:after="40"/>
            </w:pPr>
            <w:r>
              <w:rPr>
                <w:rFonts w:ascii="Arial" w:cs="Arial" w:eastAsia="Arial" w:hAnsi="Arial"/>
                <w:color w:val="1A202C"/>
                <w:sz w:val="18"/>
                <w:szCs w:val="18"/>
              </w:rPr>
              <w:t xml:space="preserve">Deep hospitality specialism and strong positioning within the South Asian business community.</w:t>
            </w:r>
          </w:p>
          <w:p>
            <w:pPr>
              <w:pStyle w:val="ListParagraph"/>
              <w:numPr>
                <w:ilvl w:val="0"/>
                <w:numId w:val="2"/>
              </w:numPr>
              <w:spacing w:before="40" w:after="40"/>
            </w:pPr>
            <w:r>
              <w:rPr>
                <w:rFonts w:ascii="Arial" w:cs="Arial" w:eastAsia="Arial" w:hAnsi="Arial"/>
                <w:color w:val="1A202C"/>
                <w:sz w:val="18"/>
                <w:szCs w:val="18"/>
              </w:rPr>
              <w:t xml:space="preserve">High recurring revenue for a firm of this scale — well above sector norm.</w:t>
            </w:r>
          </w:p>
          <w:p>
            <w:pPr>
              <w:pStyle w:val="ListParagraph"/>
              <w:numPr>
                <w:ilvl w:val="0"/>
                <w:numId w:val="2"/>
              </w:numPr>
              <w:spacing w:before="40" w:after="40"/>
            </w:pPr>
            <w:r>
              <w:rPr>
                <w:rFonts w:ascii="Arial" w:cs="Arial" w:eastAsia="Arial" w:hAnsi="Arial"/>
                <w:color w:val="1A202C"/>
                <w:sz w:val="18"/>
                <w:szCs w:val="18"/>
              </w:rPr>
              <w:t xml:space="preserve">Strong client loyalty and a decade-long referral engine with low acquisition cost.</w:t>
            </w:r>
          </w:p>
          <w:p>
            <w:pPr>
              <w:pStyle w:val="ListParagraph"/>
              <w:numPr>
                <w:ilvl w:val="0"/>
                <w:numId w:val="2"/>
              </w:numPr>
              <w:spacing w:before="40" w:after="40"/>
            </w:pPr>
            <w:r>
              <w:rPr>
                <w:rFonts w:ascii="Arial" w:cs="Arial" w:eastAsia="Arial" w:hAnsi="Arial"/>
                <w:color w:val="1A202C"/>
                <w:sz w:val="18"/>
                <w:szCs w:val="18"/>
              </w:rPr>
              <w:t xml:space="preserve">Lean operating cost base and healthy current margin before MD remuneration.</w:t>
            </w:r>
          </w:p>
          <w:p>
            <w:pPr>
              <w:pStyle w:val="ListParagraph"/>
              <w:numPr>
                <w:ilvl w:val="0"/>
                <w:numId w:val="2"/>
              </w:numPr>
              <w:spacing w:before="40" w:after="40"/>
            </w:pPr>
            <w:r>
              <w:rPr>
                <w:rFonts w:ascii="Arial" w:cs="Arial" w:eastAsia="Arial" w:hAnsi="Arial"/>
                <w:color w:val="1A202C"/>
                <w:sz w:val="18"/>
                <w:szCs w:val="18"/>
              </w:rPr>
              <w:t xml:space="preserve">Bespoke management portal, branded premises, and visible local presence.</w:t>
            </w:r>
          </w:p>
          <w:p>
            <w:pPr>
              <w:pStyle w:val="ListParagraph"/>
              <w:numPr>
                <w:ilvl w:val="0"/>
                <w:numId w:val="2"/>
              </w:numPr>
              <w:spacing w:before="40" w:after="40"/>
            </w:pPr>
            <w:r>
              <w:rPr>
                <w:rFonts w:ascii="Arial" w:cs="Arial" w:eastAsia="Arial" w:hAnsi="Arial"/>
                <w:color w:val="1A202C"/>
                <w:sz w:val="18"/>
                <w:szCs w:val="18"/>
              </w:rPr>
              <w:t xml:space="preserve">Registered trademark (Class 35) and owner-occupied office via CPL.</w:t>
            </w:r>
          </w:p>
        </w:tc>
        <w:tc>
          <w:tcPr>
            <w:tcW w:type="dxa" w:w="4680"/>
            <w:tcBorders>
              <w:top w:val="single" w:color="E2E8EF" w:sz="4"/>
              <w:left w:val="single" w:color="E2E8EF" w:sz="4"/>
              <w:bottom w:val="single" w:color="E2E8EF" w:sz="4"/>
              <w:right w:val="single" w:color="E2E8EF" w:sz="4"/>
            </w:tcBorders>
            <w:shd w:fill="FDF9F7" w:val="clear"/>
            <w:tcMar>
              <w:top w:type="dxa" w:w="140"/>
              <w:left w:type="dxa" w:w="180"/>
              <w:bottom w:type="dxa" w:w="140"/>
              <w:right w:type="dxa" w:w="180"/>
            </w:tcMar>
          </w:tcPr>
          <w:p>
            <w:pPr>
              <w:pStyle w:val="ListParagraph"/>
              <w:numPr>
                <w:ilvl w:val="0"/>
                <w:numId w:val="2"/>
              </w:numPr>
              <w:spacing w:before="40" w:after="40"/>
            </w:pPr>
            <w:r>
              <w:rPr>
                <w:rFonts w:ascii="Arial" w:cs="Arial" w:eastAsia="Arial" w:hAnsi="Arial"/>
                <w:color w:val="1A202C"/>
                <w:sz w:val="18"/>
                <w:szCs w:val="18"/>
              </w:rPr>
              <w:t xml:space="preserve">Underpricing in Ltd accounts and payroll — approximately £109k/year uncaptured.</w:t>
            </w:r>
          </w:p>
          <w:p>
            <w:pPr>
              <w:pStyle w:val="ListParagraph"/>
              <w:numPr>
                <w:ilvl w:val="0"/>
                <w:numId w:val="2"/>
              </w:numPr>
              <w:spacing w:before="40" w:after="40"/>
            </w:pPr>
            <w:r>
              <w:rPr>
                <w:rFonts w:ascii="Arial" w:cs="Arial" w:eastAsia="Arial" w:hAnsi="Arial"/>
                <w:color w:val="1A202C"/>
                <w:sz w:val="18"/>
                <w:szCs w:val="18"/>
              </w:rPr>
              <w:t xml:space="preserve">High founder dependency in client relationships and key decisions.</w:t>
            </w:r>
          </w:p>
          <w:p>
            <w:pPr>
              <w:pStyle w:val="ListParagraph"/>
              <w:numPr>
                <w:ilvl w:val="0"/>
                <w:numId w:val="2"/>
              </w:numPr>
              <w:spacing w:before="40" w:after="40"/>
            </w:pPr>
            <w:r>
              <w:rPr>
                <w:rFonts w:ascii="Arial" w:cs="Arial" w:eastAsia="Arial" w:hAnsi="Arial"/>
                <w:color w:val="1A202C"/>
                <w:sz w:val="18"/>
                <w:szCs w:val="18"/>
              </w:rPr>
              <w:t xml:space="preserve">No reliable phone coverage; fragmented contact data across systems.</w:t>
            </w:r>
          </w:p>
          <w:p>
            <w:pPr>
              <w:pStyle w:val="ListParagraph"/>
              <w:numPr>
                <w:ilvl w:val="0"/>
                <w:numId w:val="2"/>
              </w:numPr>
              <w:spacing w:before="40" w:after="40"/>
            </w:pPr>
            <w:r>
              <w:rPr>
                <w:rFonts w:ascii="Arial" w:cs="Arial" w:eastAsia="Arial" w:hAnsi="Arial"/>
                <w:color w:val="1A202C"/>
                <w:sz w:val="18"/>
                <w:szCs w:val="18"/>
              </w:rPr>
              <w:t xml:space="preserve">Very limited advisory revenue outside compliance work.</w:t>
            </w:r>
          </w:p>
          <w:p>
            <w:pPr>
              <w:pStyle w:val="ListParagraph"/>
              <w:numPr>
                <w:ilvl w:val="0"/>
                <w:numId w:val="2"/>
              </w:numPr>
              <w:spacing w:before="40" w:after="40"/>
            </w:pPr>
            <w:r>
              <w:rPr>
                <w:rFonts w:ascii="Arial" w:cs="Arial" w:eastAsia="Arial" w:hAnsi="Arial"/>
                <w:color w:val="1A202C"/>
                <w:sz w:val="18"/>
                <w:szCs w:val="18"/>
              </w:rPr>
              <w:t xml:space="preserve">Capacity pressure if key staff were lost or growth accelerated without additional resource.</w:t>
            </w:r>
          </w:p>
        </w:tc>
      </w:tr>
      <w:tr>
        <w:tc>
          <w:tcPr>
            <w:tcW w:type="dxa" w:w="4680"/>
            <w:tcBorders>
              <w:top w:val="single" w:color="C4922A" w:sz="4"/>
              <w:left w:val="single" w:color="C4922A" w:sz="4"/>
              <w:bottom w:val="single" w:color="C4922A" w:sz="4"/>
              <w:right w:val="single" w:color="C4922A" w:sz="4"/>
            </w:tcBorders>
            <w:shd w:fill="C4922A"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Opportunities</w:t>
            </w:r>
          </w:p>
        </w:tc>
        <w:tc>
          <w:tcPr>
            <w:tcW w:type="dxa" w:w="468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Threats</w:t>
            </w:r>
          </w:p>
        </w:tc>
      </w:tr>
      <w:tr>
        <w:tc>
          <w:tcPr>
            <w:tcW w:type="dxa" w:w="4680"/>
            <w:tcBorders>
              <w:top w:val="single" w:color="E2E8EF" w:sz="4"/>
              <w:left w:val="single" w:color="E2E8EF" w:sz="4"/>
              <w:bottom w:val="single" w:color="E2E8EF" w:sz="4"/>
              <w:right w:val="single" w:color="E2E8EF" w:sz="4"/>
            </w:tcBorders>
            <w:shd w:fill="F0F7FF" w:val="clear"/>
            <w:tcMar>
              <w:top w:type="dxa" w:w="140"/>
              <w:left w:type="dxa" w:w="180"/>
              <w:bottom w:type="dxa" w:w="140"/>
              <w:right w:type="dxa" w:w="180"/>
            </w:tcMar>
          </w:tcPr>
          <w:p>
            <w:pPr>
              <w:pStyle w:val="ListParagraph"/>
              <w:numPr>
                <w:ilvl w:val="0"/>
                <w:numId w:val="2"/>
              </w:numPr>
              <w:spacing w:before="40" w:after="40"/>
            </w:pPr>
            <w:r>
              <w:rPr>
                <w:rFonts w:ascii="Arial" w:cs="Arial" w:eastAsia="Arial" w:hAnsi="Arial"/>
                <w:color w:val="1A202C"/>
                <w:sz w:val="18"/>
                <w:szCs w:val="18"/>
              </w:rPr>
              <w:t xml:space="preserve">Fee correction on the current client base — immediate and requires no new clients.</w:t>
            </w:r>
          </w:p>
          <w:p>
            <w:pPr>
              <w:pStyle w:val="ListParagraph"/>
              <w:numPr>
                <w:ilvl w:val="0"/>
                <w:numId w:val="2"/>
              </w:numPr>
              <w:spacing w:before="40" w:after="40"/>
            </w:pPr>
            <w:r>
              <w:rPr>
                <w:rFonts w:ascii="Arial" w:cs="Arial" w:eastAsia="Arial" w:hAnsi="Arial"/>
                <w:color w:val="1A202C"/>
                <w:sz w:val="18"/>
                <w:szCs w:val="18"/>
              </w:rPr>
              <w:t xml:space="preserve">Service bundling: Ltd + PAYE, Ltd + SA, Ltd + VAT + bookkeeping.</w:t>
            </w:r>
          </w:p>
          <w:p>
            <w:pPr>
              <w:pStyle w:val="ListParagraph"/>
              <w:numPr>
                <w:ilvl w:val="0"/>
                <w:numId w:val="2"/>
              </w:numPr>
              <w:spacing w:before="40" w:after="40"/>
            </w:pPr>
            <w:r>
              <w:rPr>
                <w:rFonts w:ascii="Arial" w:cs="Arial" w:eastAsia="Arial" w:hAnsi="Arial"/>
                <w:color w:val="1A202C"/>
                <w:sz w:val="18"/>
                <w:szCs w:val="18"/>
              </w:rPr>
              <w:t xml:space="preserve">Management accounts and quarterly review for the strongest clients.</w:t>
            </w:r>
          </w:p>
          <w:p>
            <w:pPr>
              <w:pStyle w:val="ListParagraph"/>
              <w:numPr>
                <w:ilvl w:val="0"/>
                <w:numId w:val="2"/>
              </w:numPr>
              <w:spacing w:before="40" w:after="40"/>
            </w:pPr>
            <w:r>
              <w:rPr>
                <w:rFonts w:ascii="Arial" w:cs="Arial" w:eastAsia="Arial" w:hAnsi="Arial"/>
                <w:color w:val="1A202C"/>
                <w:sz w:val="18"/>
                <w:szCs w:val="18"/>
              </w:rPr>
              <w:t xml:space="preserve">Bookkeeping using remote support capacity at low marginal cost.</w:t>
            </w:r>
          </w:p>
          <w:p>
            <w:pPr>
              <w:pStyle w:val="ListParagraph"/>
              <w:numPr>
                <w:ilvl w:val="0"/>
                <w:numId w:val="2"/>
              </w:numPr>
              <w:spacing w:before="40" w:after="40"/>
            </w:pPr>
            <w:r>
              <w:rPr>
                <w:rFonts w:ascii="Arial" w:cs="Arial" w:eastAsia="Arial" w:hAnsi="Arial"/>
                <w:color w:val="1A202C"/>
                <w:sz w:val="18"/>
                <w:szCs w:val="18"/>
              </w:rPr>
              <w:t xml:space="preserve">Referral programme formalisation within the hospitality network.</w:t>
            </w:r>
          </w:p>
          <w:p>
            <w:pPr>
              <w:pStyle w:val="ListParagraph"/>
              <w:numPr>
                <w:ilvl w:val="0"/>
                <w:numId w:val="2"/>
              </w:numPr>
              <w:spacing w:before="40" w:after="40"/>
            </w:pPr>
            <w:r>
              <w:rPr>
                <w:rFonts w:ascii="Arial" w:cs="Arial" w:eastAsia="Arial" w:hAnsi="Arial"/>
                <w:color w:val="1A202C"/>
                <w:sz w:val="18"/>
                <w:szCs w:val="18"/>
              </w:rPr>
              <w:t xml:space="preserve">MTD ITSA 2027 — advisory positioning opportunity ahead of the threshold change.</w:t>
            </w:r>
          </w:p>
        </w:tc>
        <w:tc>
          <w:tcPr>
            <w:tcW w:type="dxa" w:w="4680"/>
            <w:tcBorders>
              <w:top w:val="single" w:color="E2E8EF" w:sz="4"/>
              <w:left w:val="single" w:color="E2E8EF" w:sz="4"/>
              <w:bottom w:val="single" w:color="E2E8EF" w:sz="4"/>
              <w:right w:val="single" w:color="E2E8EF" w:sz="4"/>
            </w:tcBorders>
            <w:shd w:fill="FFFBF0" w:val="clear"/>
            <w:tcMar>
              <w:top w:type="dxa" w:w="140"/>
              <w:left w:type="dxa" w:w="180"/>
              <w:bottom w:type="dxa" w:w="140"/>
              <w:right w:type="dxa" w:w="180"/>
            </w:tcMar>
          </w:tcPr>
          <w:p>
            <w:pPr>
              <w:pStyle w:val="ListParagraph"/>
              <w:numPr>
                <w:ilvl w:val="0"/>
                <w:numId w:val="2"/>
              </w:numPr>
              <w:spacing w:before="40" w:after="40"/>
            </w:pPr>
            <w:r>
              <w:rPr>
                <w:rFonts w:ascii="Arial" w:cs="Arial" w:eastAsia="Arial" w:hAnsi="Arial"/>
                <w:color w:val="1A202C"/>
                <w:sz w:val="18"/>
                <w:szCs w:val="18"/>
              </w:rPr>
              <w:t xml:space="preserve">Loss of Hassan or Aminul would create an immediate operational pressure point.</w:t>
            </w:r>
          </w:p>
          <w:p>
            <w:pPr>
              <w:pStyle w:val="ListParagraph"/>
              <w:numPr>
                <w:ilvl w:val="0"/>
                <w:numId w:val="2"/>
              </w:numPr>
              <w:spacing w:before="40" w:after="40"/>
            </w:pPr>
            <w:r>
              <w:rPr>
                <w:rFonts w:ascii="Arial" w:cs="Arial" w:eastAsia="Arial" w:hAnsi="Arial"/>
                <w:color w:val="1A202C"/>
                <w:sz w:val="18"/>
                <w:szCs w:val="18"/>
              </w:rPr>
              <w:t xml:space="preserve">Sector concentration in hospitality if trading conditions tighten.</w:t>
            </w:r>
          </w:p>
          <w:p>
            <w:pPr>
              <w:pStyle w:val="ListParagraph"/>
              <w:numPr>
                <w:ilvl w:val="0"/>
                <w:numId w:val="2"/>
              </w:numPr>
              <w:spacing w:before="40" w:after="40"/>
            </w:pPr>
            <w:r>
              <w:rPr>
                <w:rFonts w:ascii="Arial" w:cs="Arial" w:eastAsia="Arial" w:hAnsi="Arial"/>
                <w:color w:val="1A202C"/>
                <w:sz w:val="18"/>
                <w:szCs w:val="18"/>
              </w:rPr>
              <w:t xml:space="preserve">Online competitors anchoring client expectations to lower headline prices.</w:t>
            </w:r>
          </w:p>
          <w:p>
            <w:pPr>
              <w:pStyle w:val="ListParagraph"/>
              <w:numPr>
                <w:ilvl w:val="0"/>
                <w:numId w:val="2"/>
              </w:numPr>
              <w:spacing w:before="40" w:after="40"/>
            </w:pPr>
            <w:r>
              <w:rPr>
                <w:rFonts w:ascii="Arial" w:cs="Arial" w:eastAsia="Arial" w:hAnsi="Arial"/>
                <w:color w:val="1A202C"/>
                <w:sz w:val="18"/>
                <w:szCs w:val="18"/>
              </w:rPr>
              <w:t xml:space="preserve">Increasing compliance complexity without matching fee discipline.</w:t>
            </w:r>
          </w:p>
          <w:p>
            <w:pPr>
              <w:pStyle w:val="ListParagraph"/>
              <w:numPr>
                <w:ilvl w:val="0"/>
                <w:numId w:val="2"/>
              </w:numPr>
              <w:spacing w:before="40" w:after="40"/>
            </w:pPr>
            <w:r>
              <w:rPr>
                <w:rFonts w:ascii="Arial" w:cs="Arial" w:eastAsia="Arial" w:hAnsi="Arial"/>
                <w:color w:val="1A202C"/>
                <w:sz w:val="18"/>
                <w:szCs w:val="18"/>
              </w:rPr>
              <w:t xml:space="preserve">Valuation suppression if founder dependency is not actively reduced.</w:t>
            </w:r>
          </w:p>
        </w:tc>
      </w:tr>
    </w:tbl>
    <w:p>
      <w:r>
        <w:br w:type="page"/>
      </w:r>
    </w:p>
    <w:p>
      <w:pPr>
        <w:pStyle w:val="Heading1"/>
        <w:pBdr>
          <w:bottom w:val="single" w:color="C4922A" w:sz="6" w:space="6"/>
        </w:pBdr>
        <w:spacing w:before="440" w:after="180"/>
      </w:pPr>
      <w:r>
        <w:rPr>
          <w:rFonts w:ascii="Arial" w:cs="Arial" w:eastAsia="Arial" w:hAnsi="Arial"/>
          <w:b/>
          <w:bCs/>
          <w:color w:val="0C1D3B"/>
          <w:sz w:val="30"/>
          <w:szCs w:val="30"/>
        </w:rPr>
        <w:t xml:space="preserve">9. Practice Valuation</w:t>
      </w:r>
    </w:p>
    <w:p>
      <w:pPr>
        <w:spacing w:before="60" w:after="100"/>
      </w:pPr>
      <w:r>
        <w:rPr>
          <w:rFonts w:ascii="Arial" w:cs="Arial" w:eastAsia="Arial" w:hAnsi="Arial"/>
          <w:b w:val="false"/>
          <w:bCs w:val="false"/>
          <w:i w:val="false"/>
          <w:iCs w:val="false"/>
          <w:color w:val="1A202C"/>
          <w:sz w:val="20"/>
          <w:szCs w:val="20"/>
        </w:rPr>
        <w:t xml:space="preserve">Valuation should be viewed as an outcome of quality, transferability, recurring fees, and risk — not simply a turnover multiple. The current practice would likely attract a discount for founder concentration. Better pricing, stronger recurring collections, cleaner data, and broader client ownership would all support a stronger multiple.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1400"/>
        <w:gridCol w:w="3560"/>
      </w:tblGrid>
      <w:tr>
        <w:tc>
          <w:tcPr>
            <w:tcW w:type="dxa" w:w="28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Scenario</w:t>
            </w:r>
          </w:p>
        </w:tc>
        <w:tc>
          <w:tcPr>
            <w:tcW w:type="dxa" w:w="14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Multiple</w:t>
            </w:r>
          </w:p>
        </w:tc>
        <w:tc>
          <w:tcPr>
            <w:tcW w:type="dxa" w:w="12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Low</w:t>
            </w:r>
          </w:p>
        </w:tc>
        <w:tc>
          <w:tcPr>
            <w:tcW w:type="dxa" w:w="14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High</w:t>
            </w:r>
          </w:p>
        </w:tc>
        <w:tc>
          <w:tcPr>
            <w:tcW w:type="dxa" w:w="35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Comment</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Current — founder discount</w:t>
            </w:r>
          </w:p>
        </w:tc>
        <w:tc>
          <w:tcPr>
            <w:tcW w:type="dxa" w:w="1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0.65–0.85×</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£204k</w:t>
            </w:r>
          </w:p>
        </w:tc>
        <w:tc>
          <w:tcPr>
            <w:tcW w:type="dxa" w:w="1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£267k</w:t>
            </w:r>
          </w:p>
        </w:tc>
        <w:tc>
          <w:tcPr>
            <w:tcW w:type="dxa" w:w="35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Applicable if sold today with clear key-person risk.</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Current — standard range</w:t>
            </w:r>
          </w:p>
        </w:tc>
        <w:tc>
          <w:tcPr>
            <w:tcW w:type="dxa" w:w="1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0.80–1.10×</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£251k</w:t>
            </w:r>
          </w:p>
        </w:tc>
        <w:tc>
          <w:tcPr>
            <w:tcW w:type="dxa" w:w="1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£345k</w:t>
            </w:r>
          </w:p>
        </w:tc>
        <w:tc>
          <w:tcPr>
            <w:tcW w:type="dxa" w:w="35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Possible if quality of transfer is evidenced.</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Current — recurring revenue premium</w:t>
            </w:r>
          </w:p>
        </w:tc>
        <w:tc>
          <w:tcPr>
            <w:tcW w:type="dxa" w:w="1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0.90–1.20×</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£283k</w:t>
            </w:r>
          </w:p>
        </w:tc>
        <w:tc>
          <w:tcPr>
            <w:tcW w:type="dxa" w:w="1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£377k</w:t>
            </w:r>
          </w:p>
        </w:tc>
        <w:tc>
          <w:tcPr>
            <w:tcW w:type="dxa" w:w="35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Achievable if the DD base is viewed as durable and clean.</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Post fee correction</w:t>
            </w:r>
          </w:p>
        </w:tc>
        <w:tc>
          <w:tcPr>
            <w:tcW w:type="dxa" w:w="1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0.80–1.10×</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£339k</w:t>
            </w:r>
          </w:p>
        </w:tc>
        <w:tc>
          <w:tcPr>
            <w:tcW w:type="dxa" w:w="1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£466k</w:t>
            </w:r>
          </w:p>
        </w:tc>
        <w:tc>
          <w:tcPr>
            <w:tcW w:type="dxa" w:w="35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Immediate value uplift from pricing discipline alone.</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Post correction + reduced MD dependency</w:t>
            </w:r>
          </w:p>
        </w:tc>
        <w:tc>
          <w:tcPr>
            <w:tcW w:type="dxa" w:w="1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0.90–1.20×</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£381k</w:t>
            </w:r>
          </w:p>
        </w:tc>
        <w:tc>
          <w:tcPr>
            <w:tcW w:type="dxa" w:w="1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£508k</w:t>
            </w:r>
          </w:p>
        </w:tc>
        <w:tc>
          <w:tcPr>
            <w:tcW w:type="dxa" w:w="35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Requires Hassan to hold portfolios credibly.</w:t>
            </w:r>
          </w:p>
        </w:tc>
      </w:tr>
      <w:tr>
        <w:tc>
          <w:tcPr>
            <w:tcW w:type="dxa" w:w="28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Vision 2030 — systemised</w:t>
            </w:r>
          </w:p>
        </w:tc>
        <w:tc>
          <w:tcPr>
            <w:tcW w:type="dxa" w:w="14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1.00–1.30×</w:t>
            </w:r>
          </w:p>
        </w:tc>
        <w:tc>
          <w:tcPr>
            <w:tcW w:type="dxa" w:w="12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£750k</w:t>
            </w:r>
          </w:p>
        </w:tc>
        <w:tc>
          <w:tcPr>
            <w:tcW w:type="dxa" w:w="14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£975k</w:t>
            </w:r>
          </w:p>
        </w:tc>
        <w:tc>
          <w:tcPr>
            <w:tcW w:type="dxa" w:w="356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Upper end requires transferability, data quality, staff depth.</w:t>
            </w:r>
          </w:p>
        </w:tc>
      </w:tr>
    </w:tbl>
    <w:p>
      <w:pPr>
        <w:spacing w:before="0" w:after="80"/>
      </w:pPr>
      <w:r>
        <w:t xml:space="preserve"/>
      </w:r>
    </w:p>
    <w:p>
      <w:pPr>
        <w:spacing w:before="60" w:after="100"/>
      </w:pPr>
      <w:r>
        <w:rPr>
          <w:rFonts w:ascii="Arial" w:cs="Arial" w:eastAsia="Arial" w:hAnsi="Arial"/>
          <w:b w:val="false"/>
          <w:bCs w:val="false"/>
          <w:i w:val="false"/>
          <w:iCs w:val="false"/>
          <w:color w:val="4A5568"/>
          <w:sz w:val="20"/>
          <w:szCs w:val="20"/>
        </w:rPr>
        <w:t xml:space="preserve">The single largest non-revenue lever for valuation is founder dependency. A buyer pays more when revenue looks likely to survive the transition. Documented processes, staff portfolio ownership, and broader direct client relationships therefore add value directly — not just operationally.</w:t>
      </w:r>
    </w:p>
    <w:p>
      <w:r>
        <w:br w:type="page"/>
      </w:r>
    </w:p>
    <w:p>
      <w:pPr>
        <w:pStyle w:val="Heading1"/>
        <w:pBdr>
          <w:bottom w:val="single" w:color="C4922A" w:sz="6" w:space="6"/>
        </w:pBdr>
        <w:spacing w:before="440" w:after="180"/>
      </w:pPr>
      <w:r>
        <w:rPr>
          <w:rFonts w:ascii="Arial" w:cs="Arial" w:eastAsia="Arial" w:hAnsi="Arial"/>
          <w:b/>
          <w:bCs/>
          <w:color w:val="0C1D3B"/>
          <w:sz w:val="30"/>
          <w:szCs w:val="30"/>
        </w:rPr>
        <w:t xml:space="preserve">10. Vision 2030 Growth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800"/>
        <w:gridCol w:w="3360"/>
      </w:tblGrid>
      <w:tr>
        <w:tc>
          <w:tcPr>
            <w:tcW w:type="dxa" w:w="28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Growth lever</w:t>
            </w:r>
          </w:p>
        </w:tc>
        <w:tc>
          <w:tcPr>
            <w:tcW w:type="dxa" w:w="14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Annual addition</w:t>
            </w:r>
          </w:p>
        </w:tc>
        <w:tc>
          <w:tcPr>
            <w:tcW w:type="dxa" w:w="18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Cumulative</w:t>
            </w:r>
          </w:p>
        </w:tc>
        <w:tc>
          <w:tcPr>
            <w:tcW w:type="dxa" w:w="33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Comment</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Starting position (FY2025/26)</w:t>
            </w:r>
          </w:p>
        </w:tc>
        <w:tc>
          <w:tcPr>
            <w:tcW w:type="dxa" w:w="1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w:t>
            </w:r>
          </w:p>
        </w:tc>
        <w:tc>
          <w:tcPr>
            <w:tcW w:type="dxa" w:w="1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£314,000</w:t>
            </w:r>
          </w:p>
        </w:tc>
        <w:tc>
          <w:tcPr>
            <w:tcW w:type="dxa" w:w="33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Confirmed restated revenue base.</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Fee correction (Ltd, PAYE, SA)</w:t>
            </w:r>
          </w:p>
        </w:tc>
        <w:tc>
          <w:tcPr>
            <w:tcW w:type="dxa" w:w="1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+£109,340</w:t>
            </w:r>
          </w:p>
        </w:tc>
        <w:tc>
          <w:tcPr>
            <w:tcW w:type="dxa" w:w="1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£423,340</w:t>
            </w:r>
          </w:p>
        </w:tc>
        <w:tc>
          <w:tcPr>
            <w:tcW w:type="dxa" w:w="33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Immediate upside; same client base; no new work.</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Organic growth (40 new Ltd clients/yr × 4 years)</w:t>
            </w:r>
          </w:p>
        </w:tc>
        <w:tc>
          <w:tcPr>
            <w:tcW w:type="dxa" w:w="1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+£141,120</w:t>
            </w:r>
          </w:p>
        </w:tc>
        <w:tc>
          <w:tcPr>
            <w:tcW w:type="dxa" w:w="1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£564,460</w:t>
            </w:r>
          </w:p>
        </w:tc>
        <w:tc>
          <w:tcPr>
            <w:tcW w:type="dxa" w:w="33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Assumes corrected pricing and continued referral strength.</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Management accounts (10-client pilot → 30–50 clients)</w:t>
            </w:r>
          </w:p>
        </w:tc>
        <w:tc>
          <w:tcPr>
            <w:tcW w:type="dxa" w:w="1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+£72,000</w:t>
            </w:r>
          </w:p>
        </w:tc>
        <w:tc>
          <w:tcPr>
            <w:tcW w:type="dxa" w:w="1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£636,460</w:t>
            </w:r>
          </w:p>
        </w:tc>
        <w:tc>
          <w:tcPr>
            <w:tcW w:type="dxa" w:w="33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Begin as a small pilot; scale over 3 years.</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Bookkeeping (remote capacity)</w:t>
            </w:r>
          </w:p>
        </w:tc>
        <w:tc>
          <w:tcPr>
            <w:tcW w:type="dxa" w:w="1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+£48,000</w:t>
            </w:r>
          </w:p>
        </w:tc>
        <w:tc>
          <w:tcPr>
            <w:tcW w:type="dxa" w:w="1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£684,460</w:t>
            </w:r>
          </w:p>
        </w:tc>
        <w:tc>
          <w:tcPr>
            <w:tcW w:type="dxa" w:w="33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Monthly add-on at low marginal cost.</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SA cross-sell and director advisory</w:t>
            </w:r>
          </w:p>
        </w:tc>
        <w:tc>
          <w:tcPr>
            <w:tcW w:type="dxa" w:w="1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+£10,800</w:t>
            </w:r>
          </w:p>
        </w:tc>
        <w:tc>
          <w:tcPr>
            <w:tcW w:type="dxa" w:w="1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£695,260</w:t>
            </w:r>
          </w:p>
        </w:tc>
        <w:tc>
          <w:tcPr>
            <w:tcW w:type="dxa" w:w="33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Annual income questionnaire for all directors.</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Referrals, VAT growth and other</w:t>
            </w:r>
          </w:p>
        </w:tc>
        <w:tc>
          <w:tcPr>
            <w:tcW w:type="dxa" w:w="1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+£54,740</w:t>
            </w:r>
          </w:p>
        </w:tc>
        <w:tc>
          <w:tcPr>
            <w:tcW w:type="dxa" w:w="1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£750,000</w:t>
            </w:r>
          </w:p>
        </w:tc>
        <w:tc>
          <w:tcPr>
            <w:tcW w:type="dxa" w:w="33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Network-led growth and better wallet share.</w:t>
            </w:r>
          </w:p>
        </w:tc>
      </w:tr>
      <w:tr>
        <w:tc>
          <w:tcPr>
            <w:tcW w:type="dxa" w:w="28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Vision 2030 target</w:t>
            </w:r>
          </w:p>
        </w:tc>
        <w:tc>
          <w:tcPr>
            <w:tcW w:type="dxa" w:w="14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
            </w:r>
          </w:p>
        </w:tc>
        <w:tc>
          <w:tcPr>
            <w:tcW w:type="dxa" w:w="18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£750,000–£800,000</w:t>
            </w:r>
          </w:p>
        </w:tc>
        <w:tc>
          <w:tcPr>
            <w:tcW w:type="dxa" w:w="336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
            </w:r>
          </w:p>
        </w:tc>
      </w:tr>
    </w:tbl>
    <w:p>
      <w:pPr>
        <w:spacing w:before="0" w:after="80"/>
      </w:pPr>
      <w:r>
        <w:t xml:space="preserve"/>
      </w:r>
    </w:p>
    <w:p>
      <w:pPr>
        <w:spacing w:before="60" w:after="100"/>
      </w:pPr>
      <w:r>
        <w:rPr>
          <w:rFonts w:ascii="Arial" w:cs="Arial" w:eastAsia="Arial" w:hAnsi="Arial"/>
          <w:b w:val="false"/>
          <w:bCs w:val="false"/>
          <w:i w:val="false"/>
          <w:iCs w:val="false"/>
          <w:color w:val="1A202C"/>
          <w:sz w:val="20"/>
          <w:szCs w:val="20"/>
        </w:rPr>
        <w:t xml:space="preserve">The path from £314,000 to £750,000 is credible only if growth is correctly sequenced. Phase one is monetisation. Phase two is service extension. Phase three is leadership transfer and systemisation. Revenue growth without that structure creates operational pressure faster than it creates profit.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Timeline</w:t>
            </w:r>
          </w:p>
        </w:tc>
        <w:tc>
          <w:tcPr>
            <w:tcW w:type="dxa" w:w="22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Primary focus</w:t>
            </w:r>
          </w:p>
        </w:tc>
        <w:tc>
          <w:tcPr>
            <w:tcW w:type="dxa" w:w="53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Key outputs</w:t>
            </w:r>
          </w:p>
        </w:tc>
      </w:tr>
      <w:tr>
        <w:tc>
          <w:tcPr>
            <w:tcW w:type="dxa" w:w="1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C4922A"/>
                <w:sz w:val="18"/>
                <w:szCs w:val="18"/>
              </w:rPr>
              <w:t xml:space="preserve">0–3 months</w:t>
            </w:r>
          </w:p>
        </w:tc>
        <w:tc>
          <w:tcPr>
            <w:tcW w:type="dxa" w:w="2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Pricing and communication</w:t>
            </w:r>
          </w:p>
        </w:tc>
        <w:tc>
          <w:tcPr>
            <w:tcW w:type="dxa" w:w="53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New fee schedule live. Client fee letters drafted and issued. Data capture improved.</w:t>
            </w:r>
          </w:p>
        </w:tc>
      </w:tr>
      <w:tr>
        <w:tc>
          <w:tcPr>
            <w:tcW w:type="dxa" w:w="1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C4922A"/>
                <w:sz w:val="18"/>
                <w:szCs w:val="18"/>
              </w:rPr>
              <w:t xml:space="preserve">3–12 months</w:t>
            </w:r>
          </w:p>
        </w:tc>
        <w:tc>
          <w:tcPr>
            <w:tcW w:type="dxa" w:w="2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Cash-flow and packaging</w:t>
            </w:r>
          </w:p>
        </w:tc>
        <w:tc>
          <w:tcPr>
            <w:tcW w:type="dxa" w:w="53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GoCardless at 180+. £75 cohort uplifted. Management accounts pilot launched.</w:t>
            </w:r>
          </w:p>
        </w:tc>
      </w:tr>
      <w:tr>
        <w:tc>
          <w:tcPr>
            <w:tcW w:type="dxa" w:w="1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C4922A"/>
                <w:sz w:val="18"/>
                <w:szCs w:val="18"/>
              </w:rPr>
              <w:t xml:space="preserve">12–24 months</w:t>
            </w:r>
          </w:p>
        </w:tc>
        <w:tc>
          <w:tcPr>
            <w:tcW w:type="dxa" w:w="2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Delegation and control</w:t>
            </w:r>
          </w:p>
        </w:tc>
        <w:tc>
          <w:tcPr>
            <w:tcW w:type="dxa" w:w="53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Hassan managing wider portfolio. SOPs documented. Bookkeeping scaled.</w:t>
            </w:r>
          </w:p>
        </w:tc>
      </w:tr>
      <w:tr>
        <w:tc>
          <w:tcPr>
            <w:tcW w:type="dxa" w:w="1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C4922A"/>
                <w:sz w:val="18"/>
                <w:szCs w:val="18"/>
              </w:rPr>
              <w:t xml:space="preserve">24–48 months</w:t>
            </w:r>
          </w:p>
        </w:tc>
        <w:tc>
          <w:tcPr>
            <w:tcW w:type="dxa" w:w="2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Systemised growth</w:t>
            </w:r>
          </w:p>
        </w:tc>
        <w:tc>
          <w:tcPr>
            <w:tcW w:type="dxa" w:w="53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Higher recurring base. Advisory depth. Reduced founder concentration.</w:t>
            </w:r>
          </w:p>
        </w:tc>
      </w:tr>
    </w:tbl>
    <w:p>
      <w:r>
        <w:br w:type="page"/>
      </w:r>
    </w:p>
    <w:p>
      <w:pPr>
        <w:pStyle w:val="Heading1"/>
        <w:pBdr>
          <w:bottom w:val="single" w:color="C4922A" w:sz="6" w:space="6"/>
        </w:pBdr>
        <w:spacing w:before="440" w:after="180"/>
      </w:pPr>
      <w:r>
        <w:rPr>
          <w:rFonts w:ascii="Arial" w:cs="Arial" w:eastAsia="Arial" w:hAnsi="Arial"/>
          <w:b/>
          <w:bCs/>
          <w:color w:val="0C1D3B"/>
          <w:sz w:val="30"/>
          <w:szCs w:val="30"/>
        </w:rPr>
        <w:t xml:space="preserve">11. The Operating Constraint — People, Structure and Capacity</w:t>
      </w:r>
    </w:p>
    <w:p>
      <w:pPr>
        <w:spacing w:before="60" w:after="100"/>
      </w:pPr>
      <w:r>
        <w:rPr>
          <w:rFonts w:ascii="Arial" w:cs="Arial" w:eastAsia="Arial" w:hAnsi="Arial"/>
          <w:b w:val="false"/>
          <w:bCs w:val="false"/>
          <w:i w:val="false"/>
          <w:iCs w:val="false"/>
          <w:color w:val="1A202C"/>
          <w:sz w:val="20"/>
          <w:szCs w:val="20"/>
        </w:rPr>
        <w:t xml:space="preserve">The most important non-financial truth in this review is this: the route to £750,000 or £1,000,000 in revenue is not primarily limited by demand. It is limited by capacity and structure. The current team configuration has delivered excellent results at £314,000 of revenue. But at £500,000, and again at £750,000, the practice will face structural inflection points that cannot be resolved by working harder. They require deliberate changes to who does what, and how accountability flows.</w:t>
      </w:r>
    </w:p>
    <w:p>
      <w:pPr>
        <w:spacing w:before="0" w:after="80"/>
      </w:pPr>
      <w:r>
        <w:t xml:space="preserve"/>
      </w:r>
    </w:p>
    <w:p>
      <w:pPr>
        <w:pStyle w:val="Heading2"/>
        <w:spacing w:before="280" w:after="100"/>
      </w:pPr>
      <w:r>
        <w:rPr>
          <w:rFonts w:ascii="Arial" w:cs="Arial" w:eastAsia="Arial" w:hAnsi="Arial"/>
          <w:b/>
          <w:bCs/>
          <w:color w:val="1A3A6E"/>
          <w:sz w:val="24"/>
          <w:szCs w:val="24"/>
        </w:rPr>
        <w:t xml:space="preserve">Current Operating Constraint</w:t>
      </w:r>
    </w:p>
    <w:p>
      <w:pPr>
        <w:spacing w:before="60" w:after="100"/>
      </w:pPr>
      <w:r>
        <w:rPr>
          <w:rFonts w:ascii="Arial" w:cs="Arial" w:eastAsia="Arial" w:hAnsi="Arial"/>
          <w:b w:val="false"/>
          <w:bCs w:val="false"/>
          <w:i w:val="false"/>
          <w:iCs w:val="false"/>
          <w:color w:val="1A202C"/>
          <w:sz w:val="20"/>
          <w:szCs w:val="20"/>
        </w:rPr>
        <w:t xml:space="preserve">At present, the Managing Director is the primary point of contact for the majority of Tier A and Tier B clients, as well as the decision-maker for pricing, onboarding, complex work, and business development. This means the practice has effectively one point of failure at its highest-value node. It also means growth is constrained not by client demand but by founder time.</w:t>
      </w:r>
    </w:p>
    <w:p>
      <w:pPr>
        <w:spacing w:before="0" w:after="80"/>
      </w:pPr>
      <w:r>
        <w:t xml:space="preserve"/>
      </w:r>
    </w:p>
    <w:p>
      <w:pPr>
        <w:spacing w:before="60" w:after="100"/>
      </w:pPr>
      <w:r>
        <w:rPr>
          <w:rFonts w:ascii="Arial" w:cs="Arial" w:eastAsia="Arial" w:hAnsi="Arial"/>
          <w:b w:val="false"/>
          <w:bCs w:val="false"/>
          <w:i w:val="false"/>
          <w:iCs w:val="false"/>
          <w:color w:val="1A202C"/>
          <w:sz w:val="20"/>
          <w:szCs w:val="20"/>
        </w:rPr>
        <w:t xml:space="preserve">The evidence: 163 of 208 recurring clients are on GoCardless — a strong systems achievement. But if the MD was unavailable for 4 weeks, the operational impact would be disproportionate to what a firm of this size should tolerate. That is the operating constraint.</w:t>
      </w:r>
    </w:p>
    <w:p>
      <w:pPr>
        <w:spacing w:before="0" w:after="80"/>
      </w:pPr>
      <w:r>
        <w:t xml:space="preserve"/>
      </w:r>
    </w:p>
    <w:p>
      <w:pPr>
        <w:pStyle w:val="Heading2"/>
        <w:spacing w:before="280" w:after="100"/>
      </w:pPr>
      <w:r>
        <w:rPr>
          <w:rFonts w:ascii="Arial" w:cs="Arial" w:eastAsia="Arial" w:hAnsi="Arial"/>
          <w:b/>
          <w:bCs/>
          <w:color w:val="1A3A6E"/>
          <w:sz w:val="24"/>
          <w:szCs w:val="24"/>
        </w:rPr>
        <w:t xml:space="preserve">Target Organisational Structure — 2026 to 2028</w:t>
      </w:r>
    </w:p>
    <w:p>
      <w:pPr>
        <w:spacing w:before="60" w:after="100"/>
      </w:pPr>
      <w:r>
        <w:rPr>
          <w:rFonts w:ascii="Arial" w:cs="Arial" w:eastAsia="Arial" w:hAnsi="Arial"/>
          <w:b w:val="false"/>
          <w:bCs w:val="false"/>
          <w:i w:val="false"/>
          <w:iCs w:val="false"/>
          <w:color w:val="1A202C"/>
          <w:sz w:val="20"/>
          <w:szCs w:val="20"/>
        </w:rPr>
        <w:t xml:space="preserve">The following structure represents the recommended progression from the current model toward one that can support £600,000–£750,000 of revenue without creating unsustainable pressure on the Managing Director.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C1D3B" w:val="clear"/>
            <w:tcMar>
              <w:top w:type="dxa" w:w="160"/>
              <w:left w:type="dxa" w:w="240"/>
              <w:bottom w:type="dxa" w:w="160"/>
              <w:right w:type="dxa" w:w="240"/>
            </w:tcMar>
          </w:tcPr>
          <w:p>
            <w:pPr>
              <w:jc w:val="center"/>
            </w:pPr>
            <w:r>
              <w:rPr>
                <w:rFonts w:ascii="Arial" w:cs="Arial" w:eastAsia="Arial" w:hAnsi="Arial"/>
                <w:b/>
                <w:bCs/>
                <w:color w:val="FFFFFF"/>
                <w:sz w:val="22"/>
                <w:szCs w:val="22"/>
              </w:rPr>
              <w:t xml:space="preserve">MANAGING DIRECTOR — Md Asadul Chowdury</w:t>
            </w:r>
          </w:p>
          <w:p>
            <w:pPr>
              <w:spacing w:before="40" w:after="0"/>
              <w:jc w:val="center"/>
            </w:pPr>
            <w:r>
              <w:rPr>
                <w:rFonts w:ascii="Arial" w:cs="Arial" w:eastAsia="Arial" w:hAnsi="Arial"/>
                <w:color w:val="A0B0C8"/>
                <w:sz w:val="18"/>
                <w:szCs w:val="18"/>
              </w:rPr>
              <w:t xml:space="preserve">Strategy  ·  Client Relationships (Tier A)  ·  Business Development  ·  Pricing  ·  Complex Advisory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4922A" w:sz="4"/>
              <w:left w:val="single" w:color="C4922A" w:sz="4"/>
              <w:bottom w:val="single" w:color="C4922A" w:sz="4"/>
              <w:right w:val="single" w:color="C4922A" w:sz="4"/>
            </w:tcBorders>
            <w:shd w:fill="FDF8EE" w:val="clear"/>
            <w:tcMar>
              <w:top w:type="dxa" w:w="140"/>
              <w:left w:type="dxa" w:w="180"/>
              <w:bottom w:type="dxa" w:w="140"/>
              <w:right w:type="dxa" w:w="180"/>
            </w:tcMar>
          </w:tcPr>
          <w:p>
            <w:pPr>
              <w:spacing w:before="0" w:after="60"/>
              <w:jc w:val="center"/>
            </w:pPr>
            <w:r>
              <w:rPr>
                <w:rFonts w:ascii="Arial" w:cs="Arial" w:eastAsia="Arial" w:hAnsi="Arial"/>
                <w:b/>
                <w:bCs/>
                <w:color w:val="0C1D3B"/>
                <w:sz w:val="20"/>
                <w:szCs w:val="20"/>
              </w:rPr>
              <w:t xml:space="preserve">CLIENT PORTFOLIO MANAGER</w:t>
            </w:r>
          </w:p>
          <w:p>
            <w:pPr>
              <w:spacing w:before="0" w:after="80"/>
              <w:jc w:val="center"/>
            </w:pPr>
            <w:r>
              <w:rPr>
                <w:rFonts w:ascii="Arial" w:cs="Arial" w:eastAsia="Arial" w:hAnsi="Arial"/>
                <w:b/>
                <w:bCs/>
                <w:color w:val="C4922A"/>
                <w:sz w:val="22"/>
                <w:szCs w:val="22"/>
              </w:rPr>
              <w:t xml:space="preserve">Hassan Ali</w:t>
            </w:r>
          </w:p>
          <w:p>
            <w:pPr>
              <w:pStyle w:val="ListParagraph"/>
              <w:numPr>
                <w:ilvl w:val="0"/>
                <w:numId w:val="2"/>
              </w:numPr>
              <w:spacing w:before="30" w:after="30"/>
            </w:pPr>
            <w:r>
              <w:rPr>
                <w:rFonts w:ascii="Arial" w:cs="Arial" w:eastAsia="Arial" w:hAnsi="Arial"/>
                <w:color w:val="1A202C"/>
                <w:sz w:val="17"/>
                <w:szCs w:val="17"/>
              </w:rPr>
              <w:t xml:space="preserve">Ltd company accounts (60–80 portfolios independently managed)</w:t>
            </w:r>
          </w:p>
          <w:p>
            <w:pPr>
              <w:pStyle w:val="ListParagraph"/>
              <w:numPr>
                <w:ilvl w:val="0"/>
                <w:numId w:val="2"/>
              </w:numPr>
              <w:spacing w:before="30" w:after="30"/>
            </w:pPr>
            <w:r>
              <w:rPr>
                <w:rFonts w:ascii="Arial" w:cs="Arial" w:eastAsia="Arial" w:hAnsi="Arial"/>
                <w:color w:val="1A202C"/>
                <w:sz w:val="17"/>
                <w:szCs w:val="17"/>
              </w:rPr>
              <w:t xml:space="preserve">VAT returns and compliance</w:t>
            </w:r>
          </w:p>
          <w:p>
            <w:pPr>
              <w:pStyle w:val="ListParagraph"/>
              <w:numPr>
                <w:ilvl w:val="0"/>
                <w:numId w:val="2"/>
              </w:numPr>
              <w:spacing w:before="30" w:after="30"/>
            </w:pPr>
            <w:r>
              <w:rPr>
                <w:rFonts w:ascii="Arial" w:cs="Arial" w:eastAsia="Arial" w:hAnsi="Arial"/>
                <w:color w:val="1A202C"/>
                <w:sz w:val="17"/>
                <w:szCs w:val="17"/>
              </w:rPr>
              <w:t xml:space="preserve">Client relationship management for Tier B portfolio</w:t>
            </w:r>
          </w:p>
          <w:p>
            <w:pPr>
              <w:pStyle w:val="ListParagraph"/>
              <w:numPr>
                <w:ilvl w:val="0"/>
                <w:numId w:val="2"/>
              </w:numPr>
              <w:spacing w:before="30" w:after="30"/>
            </w:pPr>
            <w:r>
              <w:rPr>
                <w:rFonts w:ascii="Arial" w:cs="Arial" w:eastAsia="Arial" w:hAnsi="Arial"/>
                <w:color w:val="1A202C"/>
                <w:sz w:val="17"/>
                <w:szCs w:val="17"/>
              </w:rPr>
              <w:t xml:space="preserve">Coordination with MD on complex matters</w:t>
            </w:r>
          </w:p>
        </w:tc>
        <w:tc>
          <w:tcPr>
            <w:tcW w:type="dxa" w:w="4680"/>
            <w:tcBorders>
              <w:top w:val="single" w:color="1A3A6E" w:sz="4"/>
              <w:left w:val="single" w:color="1A3A6E" w:sz="4"/>
              <w:bottom w:val="single" w:color="1A3A6E" w:sz="4"/>
              <w:right w:val="single" w:color="1A3A6E" w:sz="4"/>
            </w:tcBorders>
            <w:shd w:fill="F7F9FC" w:val="clear"/>
            <w:tcMar>
              <w:top w:type="dxa" w:w="140"/>
              <w:left w:type="dxa" w:w="180"/>
              <w:bottom w:type="dxa" w:w="140"/>
              <w:right w:type="dxa" w:w="180"/>
            </w:tcMar>
          </w:tcPr>
          <w:p>
            <w:pPr>
              <w:spacing w:before="0" w:after="60"/>
              <w:jc w:val="center"/>
            </w:pPr>
            <w:r>
              <w:rPr>
                <w:rFonts w:ascii="Arial" w:cs="Arial" w:eastAsia="Arial" w:hAnsi="Arial"/>
                <w:b/>
                <w:bCs/>
                <w:color w:val="0C1D3B"/>
                <w:sz w:val="20"/>
                <w:szCs w:val="20"/>
              </w:rPr>
              <w:t xml:space="preserve">COMPLIANCE &amp; PAYROLL MANAGER</w:t>
            </w:r>
          </w:p>
          <w:p>
            <w:pPr>
              <w:spacing w:before="0" w:after="80"/>
              <w:jc w:val="center"/>
            </w:pPr>
            <w:r>
              <w:rPr>
                <w:rFonts w:ascii="Arial" w:cs="Arial" w:eastAsia="Arial" w:hAnsi="Arial"/>
                <w:b/>
                <w:bCs/>
                <w:color w:val="1A3A6E"/>
                <w:sz w:val="22"/>
                <w:szCs w:val="22"/>
              </w:rPr>
              <w:t xml:space="preserve">Aminul Choudhury</w:t>
            </w:r>
          </w:p>
          <w:p>
            <w:pPr>
              <w:pStyle w:val="ListParagraph"/>
              <w:numPr>
                <w:ilvl w:val="0"/>
                <w:numId w:val="2"/>
              </w:numPr>
              <w:spacing w:before="30" w:after="30"/>
            </w:pPr>
            <w:r>
              <w:rPr>
                <w:rFonts w:ascii="Arial" w:cs="Arial" w:eastAsia="Arial" w:hAnsi="Arial"/>
                <w:color w:val="1A202C"/>
                <w:sz w:val="17"/>
                <w:szCs w:val="17"/>
              </w:rPr>
              <w:t xml:space="preserve">All PAYE / payroll processing and employer management</w:t>
            </w:r>
          </w:p>
          <w:p>
            <w:pPr>
              <w:pStyle w:val="ListParagraph"/>
              <w:numPr>
                <w:ilvl w:val="0"/>
                <w:numId w:val="2"/>
              </w:numPr>
              <w:spacing w:before="30" w:after="30"/>
            </w:pPr>
            <w:r>
              <w:rPr>
                <w:rFonts w:ascii="Arial" w:cs="Arial" w:eastAsia="Arial" w:hAnsi="Arial"/>
                <w:color w:val="1A202C"/>
                <w:sz w:val="17"/>
                <w:szCs w:val="17"/>
              </w:rPr>
              <w:t xml:space="preserve">Self-assessment returns workflow and submissions</w:t>
            </w:r>
          </w:p>
          <w:p>
            <w:pPr>
              <w:pStyle w:val="ListParagraph"/>
              <w:numPr>
                <w:ilvl w:val="0"/>
                <w:numId w:val="2"/>
              </w:numPr>
              <w:spacing w:before="30" w:after="30"/>
            </w:pPr>
            <w:r>
              <w:rPr>
                <w:rFonts w:ascii="Arial" w:cs="Arial" w:eastAsia="Arial" w:hAnsi="Arial"/>
                <w:color w:val="1A202C"/>
                <w:sz w:val="17"/>
                <w:szCs w:val="17"/>
              </w:rPr>
              <w:t xml:space="preserve">Annual director income questionnaires</w:t>
            </w:r>
          </w:p>
          <w:p>
            <w:pPr>
              <w:pStyle w:val="ListParagraph"/>
              <w:numPr>
                <w:ilvl w:val="0"/>
                <w:numId w:val="2"/>
              </w:numPr>
              <w:spacing w:before="30" w:after="30"/>
            </w:pPr>
            <w:r>
              <w:rPr>
                <w:rFonts w:ascii="Arial" w:cs="Arial" w:eastAsia="Arial" w:hAnsi="Arial"/>
                <w:color w:val="1A202C"/>
                <w:sz w:val="17"/>
                <w:szCs w:val="17"/>
              </w:rPr>
              <w:t xml:space="preserve">Onboarding support and data quality maintenance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EF" w:sz="4"/>
              <w:left w:val="single" w:color="E2E8EF" w:sz="4"/>
              <w:bottom w:val="single" w:color="E2E8EF" w:sz="4"/>
              <w:right w:val="single" w:color="E2E8EF" w:sz="4"/>
            </w:tcBorders>
            <w:shd w:fill="FFFFFF" w:val="clear"/>
            <w:tcMar>
              <w:top w:type="dxa" w:w="120"/>
              <w:left w:type="dxa" w:w="180"/>
              <w:bottom w:type="dxa" w:w="120"/>
              <w:right w:type="dxa" w:w="180"/>
            </w:tcMar>
          </w:tcPr>
          <w:p>
            <w:pPr>
              <w:spacing w:before="0" w:after="60"/>
              <w:jc w:val="center"/>
            </w:pPr>
            <w:r>
              <w:rPr>
                <w:rFonts w:ascii="Arial" w:cs="Arial" w:eastAsia="Arial" w:hAnsi="Arial"/>
                <w:b/>
                <w:bCs/>
                <w:color w:val="0C1D3B"/>
                <w:sz w:val="20"/>
                <w:szCs w:val="20"/>
              </w:rPr>
              <w:t xml:space="preserve">ACCOUNTS SUPPORT</w:t>
            </w:r>
          </w:p>
          <w:p>
            <w:pPr>
              <w:spacing w:before="0" w:after="80"/>
              <w:jc w:val="center"/>
            </w:pPr>
            <w:r>
              <w:rPr>
                <w:rFonts w:ascii="Arial" w:cs="Arial" w:eastAsia="Arial" w:hAnsi="Arial"/>
                <w:color w:val="4A5568"/>
                <w:sz w:val="20"/>
                <w:szCs w:val="20"/>
              </w:rPr>
              <w:t xml:space="preserve">Sadat Bhuiyan (Remote) + Syed Nawaz</w:t>
            </w:r>
          </w:p>
          <w:p>
            <w:pPr>
              <w:pStyle w:val="ListParagraph"/>
              <w:numPr>
                <w:ilvl w:val="0"/>
                <w:numId w:val="2"/>
              </w:numPr>
              <w:spacing w:before="30" w:after="30"/>
            </w:pPr>
            <w:r>
              <w:rPr>
                <w:rFonts w:ascii="Arial" w:cs="Arial" w:eastAsia="Arial" w:hAnsi="Arial"/>
                <w:color w:val="1A202C"/>
                <w:sz w:val="17"/>
                <w:szCs w:val="17"/>
              </w:rPr>
              <w:t xml:space="preserve">Accounts preparation and bookkeeping (remote capacity)</w:t>
            </w:r>
          </w:p>
          <w:p>
            <w:pPr>
              <w:pStyle w:val="ListParagraph"/>
              <w:numPr>
                <w:ilvl w:val="0"/>
                <w:numId w:val="2"/>
              </w:numPr>
              <w:spacing w:before="30" w:after="30"/>
            </w:pPr>
            <w:r>
              <w:rPr>
                <w:rFonts w:ascii="Arial" w:cs="Arial" w:eastAsia="Arial" w:hAnsi="Arial"/>
                <w:color w:val="1A202C"/>
                <w:sz w:val="17"/>
                <w:szCs w:val="17"/>
              </w:rPr>
              <w:t xml:space="preserve">Admin support, filing, data entry</w:t>
            </w:r>
          </w:p>
          <w:p>
            <w:pPr>
              <w:pStyle w:val="ListParagraph"/>
              <w:numPr>
                <w:ilvl w:val="0"/>
                <w:numId w:val="2"/>
              </w:numPr>
              <w:spacing w:before="30" w:after="30"/>
            </w:pPr>
            <w:r>
              <w:rPr>
                <w:rFonts w:ascii="Arial" w:cs="Arial" w:eastAsia="Arial" w:hAnsi="Arial"/>
                <w:color w:val="1A202C"/>
                <w:sz w:val="17"/>
                <w:szCs w:val="17"/>
              </w:rPr>
              <w:t xml:space="preserve">Supporting bookkeeping service delivery at scale</w:t>
            </w:r>
          </w:p>
        </w:tc>
        <w:tc>
          <w:tcPr>
            <w:tcW w:type="dxa" w:w="4680"/>
            <w:tcBorders>
              <w:top w:val="single" w:color="E2E8EF" w:sz="4"/>
              <w:left w:val="single" w:color="E2E8EF" w:sz="4"/>
              <w:bottom w:val="single" w:color="E2E8EF" w:sz="4"/>
              <w:right w:val="single" w:color="E2E8EF" w:sz="4"/>
            </w:tcBorders>
            <w:shd w:fill="F0F7FF" w:val="clear"/>
            <w:tcMar>
              <w:top w:type="dxa" w:w="120"/>
              <w:left w:type="dxa" w:w="180"/>
              <w:bottom w:type="dxa" w:w="120"/>
              <w:right w:type="dxa" w:w="180"/>
            </w:tcMar>
          </w:tcPr>
          <w:p>
            <w:pPr>
              <w:spacing w:before="0" w:after="60"/>
              <w:jc w:val="center"/>
            </w:pPr>
            <w:r>
              <w:rPr>
                <w:rFonts w:ascii="Arial" w:cs="Arial" w:eastAsia="Arial" w:hAnsi="Arial"/>
                <w:b/>
                <w:bCs/>
                <w:color w:val="1A3A6E"/>
                <w:sz w:val="20"/>
                <w:szCs w:val="20"/>
              </w:rPr>
              <w:t xml:space="preserve">SECOND SENIOR HIRE (FUTURE)</w:t>
            </w:r>
          </w:p>
          <w:p>
            <w:pPr>
              <w:spacing w:before="0" w:after="80"/>
              <w:jc w:val="center"/>
            </w:pPr>
            <w:r>
              <w:rPr>
                <w:rFonts w:ascii="Arial" w:cs="Arial" w:eastAsia="Arial" w:hAnsi="Arial"/>
                <w:color w:val="4A5568"/>
                <w:sz w:val="18"/>
                <w:szCs w:val="18"/>
              </w:rPr>
              <w:t xml:space="preserve">When MRR exceeds £22,000/month</w:t>
            </w:r>
          </w:p>
          <w:p>
            <w:pPr>
              <w:pStyle w:val="ListParagraph"/>
              <w:numPr>
                <w:ilvl w:val="0"/>
                <w:numId w:val="2"/>
              </w:numPr>
              <w:spacing w:before="30" w:after="30"/>
            </w:pPr>
            <w:r>
              <w:rPr>
                <w:rFonts w:ascii="Arial" w:cs="Arial" w:eastAsia="Arial" w:hAnsi="Arial"/>
                <w:color w:val="1A202C"/>
                <w:sz w:val="17"/>
                <w:szCs w:val="17"/>
              </w:rPr>
              <w:t xml:space="preserve">Additional capacity to support growth beyond £600,000 revenue</w:t>
            </w:r>
          </w:p>
          <w:p>
            <w:pPr>
              <w:pStyle w:val="ListParagraph"/>
              <w:numPr>
                <w:ilvl w:val="0"/>
                <w:numId w:val="2"/>
              </w:numPr>
              <w:spacing w:before="30" w:after="30"/>
            </w:pPr>
            <w:r>
              <w:rPr>
                <w:rFonts w:ascii="Arial" w:cs="Arial" w:eastAsia="Arial" w:hAnsi="Arial"/>
                <w:color w:val="1A202C"/>
                <w:sz w:val="17"/>
                <w:szCs w:val="17"/>
              </w:rPr>
              <w:t xml:space="preserve">Could be an additional qualified accountant or promoted apprentice</w:t>
            </w:r>
          </w:p>
          <w:p>
            <w:pPr>
              <w:pStyle w:val="ListParagraph"/>
              <w:numPr>
                <w:ilvl w:val="0"/>
                <w:numId w:val="2"/>
              </w:numPr>
              <w:spacing w:before="30" w:after="30"/>
            </w:pPr>
            <w:r>
              <w:rPr>
                <w:rFonts w:ascii="Arial" w:cs="Arial" w:eastAsia="Arial" w:hAnsi="Arial"/>
                <w:color w:val="1A202C"/>
                <w:sz w:val="17"/>
                <w:szCs w:val="17"/>
              </w:rPr>
              <w:t xml:space="preserve">Enables the MD to step further back from day-to-day compliance</w:t>
            </w:r>
          </w:p>
        </w:tc>
      </w:tr>
    </w:tbl>
    <w:p>
      <w:pPr>
        <w:spacing w:before="0" w:after="80"/>
      </w:pPr>
      <w:r>
        <w:t xml:space="preserve"/>
      </w:r>
    </w:p>
    <w:p>
      <w:pPr>
        <w:pStyle w:val="Heading2"/>
        <w:spacing w:before="280" w:after="100"/>
      </w:pPr>
      <w:r>
        <w:rPr>
          <w:rFonts w:ascii="Arial" w:cs="Arial" w:eastAsia="Arial" w:hAnsi="Arial"/>
          <w:b/>
          <w:bCs/>
          <w:color w:val="1A3A6E"/>
          <w:sz w:val="24"/>
          <w:szCs w:val="24"/>
        </w:rPr>
        <w:t xml:space="preserve">The Delegation Imperative</w:t>
      </w:r>
    </w:p>
    <w:p>
      <w:pPr>
        <w:spacing w:before="60" w:after="100"/>
      </w:pPr>
      <w:r>
        <w:rPr>
          <w:rFonts w:ascii="Arial" w:cs="Arial" w:eastAsia="Arial" w:hAnsi="Arial"/>
          <w:b w:val="false"/>
          <w:bCs w:val="false"/>
          <w:i w:val="false"/>
          <w:iCs w:val="false"/>
          <w:color w:val="1A202C"/>
          <w:sz w:val="20"/>
          <w:szCs w:val="20"/>
        </w:rPr>
        <w:t xml:space="preserve">The most commercially significant action in this section — and arguably in the entire report — is the development of Hassan Ali into a portfolio manager who can independently manage 60 to 80 Ltd client relationships without referring every decision upward. This is not a minor operational improvement. It is the difference between a practice that is capped by one person's capacity and one that can scale toward £750,000 and beyond.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Delegation milestone</w:t>
            </w:r>
          </w:p>
        </w:tc>
        <w:tc>
          <w:tcPr>
            <w:tcW w:type="dxa" w:w="16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Target timeline</w:t>
            </w:r>
          </w:p>
        </w:tc>
        <w:tc>
          <w:tcPr>
            <w:tcW w:type="dxa" w:w="53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Condition for the practice</w:t>
            </w:r>
          </w:p>
        </w:tc>
      </w:tr>
      <w:tr>
        <w:tc>
          <w:tcPr>
            <w:tcW w:type="dxa" w:w="2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Hassan independently manages 30 Ltd portfolios</w:t>
            </w:r>
          </w:p>
        </w:tc>
        <w:tc>
          <w:tcPr>
            <w:tcW w:type="dxa" w:w="16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June 2026</w:t>
            </w:r>
          </w:p>
        </w:tc>
        <w:tc>
          <w:tcPr>
            <w:tcW w:type="dxa" w:w="53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Frees MD for approximately 8–10 hours/week of business development and advisory time.</w:t>
            </w:r>
          </w:p>
        </w:tc>
      </w:tr>
      <w:tr>
        <w:tc>
          <w:tcPr>
            <w:tcW w:type="dxa" w:w="2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Hassan independently manages 60 Ltd portfolios</w:t>
            </w:r>
          </w:p>
        </w:tc>
        <w:tc>
          <w:tcPr>
            <w:tcW w:type="dxa" w:w="16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Dec 2026</w:t>
            </w:r>
          </w:p>
        </w:tc>
        <w:tc>
          <w:tcPr>
            <w:tcW w:type="dxa" w:w="53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Revenue per MD-hour improves materially; growth to £500k becomes structurally possible.</w:t>
            </w:r>
          </w:p>
        </w:tc>
      </w:tr>
      <w:tr>
        <w:tc>
          <w:tcPr>
            <w:tcW w:type="dxa" w:w="2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Hassan manages 80 portfolios + Tier B relationships</w:t>
            </w:r>
          </w:p>
        </w:tc>
        <w:tc>
          <w:tcPr>
            <w:tcW w:type="dxa" w:w="16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2027</w:t>
            </w:r>
          </w:p>
        </w:tc>
        <w:tc>
          <w:tcPr>
            <w:tcW w:type="dxa" w:w="53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MD can focus exclusively on Tier A, strategy, advisory, and new service development.</w:t>
            </w:r>
          </w:p>
        </w:tc>
      </w:tr>
      <w:tr>
        <w:tc>
          <w:tcPr>
            <w:tcW w:type="dxa" w:w="24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Second senior hire in place</w:t>
            </w:r>
          </w:p>
        </w:tc>
        <w:tc>
          <w:tcPr>
            <w:tcW w:type="dxa" w:w="16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2027–2028</w:t>
            </w:r>
          </w:p>
        </w:tc>
        <w:tc>
          <w:tcPr>
            <w:tcW w:type="dxa" w:w="536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Removes the final structural ceiling on growth. Practice can scale toward £750k–£1m.</w:t>
            </w:r>
          </w:p>
        </w:tc>
      </w:tr>
    </w:tbl>
    <w:p>
      <w:r>
        <w:br w:type="page"/>
      </w:r>
    </w:p>
    <w:p>
      <w:pPr>
        <w:pStyle w:val="Heading1"/>
        <w:pBdr>
          <w:bottom w:val="single" w:color="C4922A" w:sz="6" w:space="6"/>
        </w:pBdr>
        <w:spacing w:before="440" w:after="180"/>
      </w:pPr>
      <w:r>
        <w:rPr>
          <w:rFonts w:ascii="Arial" w:cs="Arial" w:eastAsia="Arial" w:hAnsi="Arial"/>
          <w:b/>
          <w:bCs/>
          <w:color w:val="0C1D3B"/>
          <w:sz w:val="30"/>
          <w:szCs w:val="30"/>
        </w:rPr>
        <w:t xml:space="preserve">12. Priority Action Plan — Next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960"/>
        <w:gridCol w:w="1200"/>
        <w:gridCol w:w="4200"/>
      </w:tblGrid>
      <w:tr>
        <w:tc>
          <w:tcPr>
            <w:tcW w:type="dxa" w:w="4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w:t>
            </w:r>
          </w:p>
        </w:tc>
        <w:tc>
          <w:tcPr>
            <w:tcW w:type="dxa" w:w="26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Action</w:t>
            </w:r>
          </w:p>
        </w:tc>
        <w:tc>
          <w:tcPr>
            <w:tcW w:type="dxa" w:w="9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Owner</w:t>
            </w:r>
          </w:p>
        </w:tc>
        <w:tc>
          <w:tcPr>
            <w:tcW w:type="dxa" w:w="12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Timing</w:t>
            </w:r>
          </w:p>
        </w:tc>
        <w:tc>
          <w:tcPr>
            <w:tcW w:type="dxa" w:w="42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Expected impact</w:t>
            </w:r>
          </w:p>
        </w:tc>
      </w:tr>
      <w:tr>
        <w:tc>
          <w:tcPr>
            <w:tcW w:type="dxa" w:w="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1</w:t>
            </w:r>
          </w:p>
        </w:tc>
        <w:tc>
          <w:tcPr>
            <w:tcW w:type="dxa" w:w="26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Apply corrected prices to all new clients: £800 Ltd, £450 PAYE, £180 SA.</w:t>
            </w:r>
          </w:p>
        </w:tc>
        <w:tc>
          <w:tcPr>
            <w:tcW w:type="dxa" w:w="9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4A5568"/>
                <w:sz w:val="18"/>
                <w:szCs w:val="18"/>
              </w:rPr>
              <w:t xml:space="preserve">Asad</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Now</w:t>
            </w:r>
          </w:p>
        </w:tc>
        <w:tc>
          <w:tcPr>
            <w:tcW w:type="dxa" w:w="4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Stops further underpricing at source.</w:t>
            </w:r>
          </w:p>
        </w:tc>
      </w:tr>
      <w:tr>
        <w:tc>
          <w:tcPr>
            <w:tcW w:type="dxa" w:w="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2</w:t>
            </w:r>
          </w:p>
        </w:tc>
        <w:tc>
          <w:tcPr>
            <w:tcW w:type="dxa" w:w="26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Issue fee review letters to existing client base — 90 days' notice, next renewal.</w:t>
            </w:r>
          </w:p>
        </w:tc>
        <w:tc>
          <w:tcPr>
            <w:tcW w:type="dxa" w:w="9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4A5568"/>
                <w:sz w:val="18"/>
                <w:szCs w:val="18"/>
              </w:rPr>
              <w:t xml:space="preserve">Asad</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Apr 2026</w:t>
            </w:r>
          </w:p>
        </w:tc>
        <w:tc>
          <w:tcPr>
            <w:tcW w:type="dxa" w:w="4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Largest single value unlock — £109,340/year.</w:t>
            </w:r>
          </w:p>
        </w:tc>
      </w:tr>
      <w:tr>
        <w:tc>
          <w:tcPr>
            <w:tcW w:type="dxa" w:w="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3</w:t>
            </w:r>
          </w:p>
        </w:tc>
        <w:tc>
          <w:tcPr>
            <w:tcW w:type="dxa" w:w="26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Move the 69-client £75 cohort to at least £100/month on renewal.</w:t>
            </w:r>
          </w:p>
        </w:tc>
        <w:tc>
          <w:tcPr>
            <w:tcW w:type="dxa" w:w="9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4A5568"/>
                <w:sz w:val="18"/>
                <w:szCs w:val="18"/>
              </w:rPr>
              <w:t xml:space="preserve">Asad / Hassan</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2026</w:t>
            </w:r>
          </w:p>
        </w:tc>
        <w:tc>
          <w:tcPr>
            <w:tcW w:type="dxa" w:w="4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Adds £20,700 annual recurring revenue cleanly.</w:t>
            </w:r>
          </w:p>
        </w:tc>
      </w:tr>
      <w:tr>
        <w:tc>
          <w:tcPr>
            <w:tcW w:type="dxa" w:w="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4</w:t>
            </w:r>
          </w:p>
        </w:tc>
        <w:tc>
          <w:tcPr>
            <w:tcW w:type="dxa" w:w="26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Mandatory mobile and email fields on all new-client onboarding and annual renewals.</w:t>
            </w:r>
          </w:p>
        </w:tc>
        <w:tc>
          <w:tcPr>
            <w:tcW w:type="dxa" w:w="9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4A5568"/>
                <w:sz w:val="18"/>
                <w:szCs w:val="18"/>
              </w:rPr>
              <w:t xml:space="preserve">Hassan / Aminul</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Immediate</w:t>
            </w:r>
          </w:p>
        </w:tc>
        <w:tc>
          <w:tcPr>
            <w:tcW w:type="dxa" w:w="4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Closes the complete absence of phone contact data.</w:t>
            </w:r>
          </w:p>
        </w:tc>
      </w:tr>
      <w:tr>
        <w:tc>
          <w:tcPr>
            <w:tcW w:type="dxa" w:w="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5</w:t>
            </w:r>
          </w:p>
        </w:tc>
        <w:tc>
          <w:tcPr>
            <w:tcW w:type="dxa" w:w="26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Convert 17+ further clients to GoCardless — MRR above £21,500.</w:t>
            </w:r>
          </w:p>
        </w:tc>
        <w:tc>
          <w:tcPr>
            <w:tcW w:type="dxa" w:w="9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4A5568"/>
                <w:sz w:val="18"/>
                <w:szCs w:val="18"/>
              </w:rPr>
              <w:t xml:space="preserve">Asad</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Jun 2026</w:t>
            </w:r>
          </w:p>
        </w:tc>
        <w:tc>
          <w:tcPr>
            <w:tcW w:type="dxa" w:w="4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Improves collection resilience; advances £25k target.</w:t>
            </w:r>
          </w:p>
        </w:tc>
      </w:tr>
      <w:tr>
        <w:tc>
          <w:tcPr>
            <w:tcW w:type="dxa" w:w="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6</w:t>
            </w:r>
          </w:p>
        </w:tc>
        <w:tc>
          <w:tcPr>
            <w:tcW w:type="dxa" w:w="26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Run annual income-source questionnaire for all company directors.</w:t>
            </w:r>
          </w:p>
        </w:tc>
        <w:tc>
          <w:tcPr>
            <w:tcW w:type="dxa" w:w="9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4A5568"/>
                <w:sz w:val="18"/>
                <w:szCs w:val="18"/>
              </w:rPr>
              <w:t xml:space="preserve">Aminul</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2026 cycle</w:t>
            </w:r>
          </w:p>
        </w:tc>
        <w:tc>
          <w:tcPr>
            <w:tcW w:type="dxa" w:w="4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Identifies SA obligations and cross-sell opportunities.</w:t>
            </w:r>
          </w:p>
        </w:tc>
      </w:tr>
      <w:tr>
        <w:tc>
          <w:tcPr>
            <w:tcW w:type="dxa" w:w="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7</w:t>
            </w:r>
          </w:p>
        </w:tc>
        <w:tc>
          <w:tcPr>
            <w:tcW w:type="dxa" w:w="26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Pilot management accounts with 10 Tier A/B clients at £900/year.</w:t>
            </w:r>
          </w:p>
        </w:tc>
        <w:tc>
          <w:tcPr>
            <w:tcW w:type="dxa" w:w="9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4A5568"/>
                <w:sz w:val="18"/>
                <w:szCs w:val="18"/>
              </w:rPr>
              <w:t xml:space="preserve">Asad</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H2 2026</w:t>
            </w:r>
          </w:p>
        </w:tc>
        <w:tc>
          <w:tcPr>
            <w:tcW w:type="dxa" w:w="4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Builds new margin stream; tests advisory appetite.</w:t>
            </w:r>
          </w:p>
        </w:tc>
      </w:tr>
      <w:tr>
        <w:tc>
          <w:tcPr>
            <w:tcW w:type="dxa" w:w="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8</w:t>
            </w:r>
          </w:p>
        </w:tc>
        <w:tc>
          <w:tcPr>
            <w:tcW w:type="dxa" w:w="26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Clean Bright Manager — align live records to approximately 600 active.</w:t>
            </w:r>
          </w:p>
        </w:tc>
        <w:tc>
          <w:tcPr>
            <w:tcW w:type="dxa" w:w="9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4A5568"/>
                <w:sz w:val="18"/>
                <w:szCs w:val="18"/>
              </w:rPr>
              <w:t xml:space="preserve">Aminul</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May 2026</w:t>
            </w:r>
          </w:p>
        </w:tc>
        <w:tc>
          <w:tcPr>
            <w:tcW w:type="dxa" w:w="4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Improves reporting quality and planning accuracy.</w:t>
            </w:r>
          </w:p>
        </w:tc>
      </w:tr>
      <w:tr>
        <w:tc>
          <w:tcPr>
            <w:tcW w:type="dxa" w:w="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9</w:t>
            </w:r>
          </w:p>
        </w:tc>
        <w:tc>
          <w:tcPr>
            <w:tcW w:type="dxa" w:w="26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Document core workflows: accounts, payroll, SA, onboarding, billing.</w:t>
            </w:r>
          </w:p>
        </w:tc>
        <w:tc>
          <w:tcPr>
            <w:tcW w:type="dxa" w:w="9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4A5568"/>
                <w:sz w:val="18"/>
                <w:szCs w:val="18"/>
              </w:rPr>
              <w:t xml:space="preserve">Asad / team</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2026</w:t>
            </w:r>
          </w:p>
        </w:tc>
        <w:tc>
          <w:tcPr>
            <w:tcW w:type="dxa" w:w="4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Essential for scale, delegation, and buyer readiness.</w:t>
            </w:r>
          </w:p>
        </w:tc>
      </w:tr>
      <w:tr>
        <w:tc>
          <w:tcPr>
            <w:tcW w:type="dxa" w:w="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10</w:t>
            </w:r>
          </w:p>
        </w:tc>
        <w:tc>
          <w:tcPr>
            <w:tcW w:type="dxa" w:w="26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Develop Hassan into portfolio manager for 60–80 Ltd clients.</w:t>
            </w:r>
          </w:p>
        </w:tc>
        <w:tc>
          <w:tcPr>
            <w:tcW w:type="dxa" w:w="9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4A5568"/>
                <w:sz w:val="18"/>
                <w:szCs w:val="18"/>
              </w:rPr>
              <w:t xml:space="preserve">Asad</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Ongoing</w:t>
            </w:r>
          </w:p>
        </w:tc>
        <w:tc>
          <w:tcPr>
            <w:tcW w:type="dxa" w:w="4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Most important action for reducing founder dependency.</w:t>
            </w:r>
          </w:p>
        </w:tc>
      </w:tr>
    </w:tbl>
    <w:p>
      <w:r>
        <w:br w:type="page"/>
      </w:r>
    </w:p>
    <w:p>
      <w:pPr>
        <w:pStyle w:val="Heading1"/>
        <w:pBdr>
          <w:bottom w:val="single" w:color="C4922A" w:sz="6" w:space="6"/>
        </w:pBdr>
        <w:spacing w:before="440" w:after="180"/>
      </w:pPr>
      <w:r>
        <w:rPr>
          <w:rFonts w:ascii="Arial" w:cs="Arial" w:eastAsia="Arial" w:hAnsi="Arial"/>
          <w:b/>
          <w:bCs/>
          <w:color w:val="0C1D3B"/>
          <w:sz w:val="30"/>
          <w:szCs w:val="30"/>
        </w:rPr>
        <w:t xml:space="preserve">13. Final Assessment</w:t>
      </w:r>
    </w:p>
    <w:p>
      <w:pPr>
        <w:spacing w:before="60" w:after="100"/>
      </w:pPr>
      <w:r>
        <w:rPr>
          <w:rFonts w:ascii="Arial" w:cs="Arial" w:eastAsia="Arial" w:hAnsi="Arial"/>
          <w:b w:val="false"/>
          <w:bCs w:val="false"/>
          <w:i w:val="false"/>
          <w:iCs w:val="false"/>
          <w:color w:val="1A202C"/>
          <w:sz w:val="20"/>
          <w:szCs w:val="20"/>
        </w:rPr>
        <w:t xml:space="preserve">The Chowdury Accountants Ltd is already a meaningful practice with durable client relationships, strong recurring cashflow, and a defendable niche. It does not need a radical transformation. It needs commercial discipline and operational transfer.</w:t>
      </w:r>
    </w:p>
    <w:p>
      <w:pPr>
        <w:spacing w:before="0" w:after="80"/>
      </w:pPr>
      <w:r>
        <w:t xml:space="preserve"/>
      </w:r>
    </w:p>
    <w:p>
      <w:pPr>
        <w:spacing w:before="60" w:after="100"/>
      </w:pPr>
      <w:r>
        <w:rPr>
          <w:rFonts w:ascii="Arial" w:cs="Arial" w:eastAsia="Arial" w:hAnsi="Arial"/>
          <w:b w:val="false"/>
          <w:bCs w:val="false"/>
          <w:i w:val="false"/>
          <w:iCs w:val="false"/>
          <w:color w:val="1A202C"/>
          <w:sz w:val="20"/>
          <w:szCs w:val="20"/>
        </w:rPr>
        <w:t xml:space="preserve">The business's three most fixable problems are underpricing, incomplete client data, and founder dependency. Of those, underpricing is the easiest to solve and has the fastest financial payoff. Founder dependency is the slowest to solve but has the greatest impact on long-term value.</w:t>
      </w:r>
    </w:p>
    <w:p>
      <w:pPr>
        <w:spacing w:before="0" w:after="80"/>
      </w:pPr>
      <w:r>
        <w:t xml:space="preserve"/>
      </w:r>
    </w:p>
    <w:p>
      <w:pPr>
        <w:pBdr>
          <w:left w:val="single" w:color="C4922A" w:sz="20" w:space="14"/>
        </w:pBdr>
        <w:spacing w:before="120" w:after="120"/>
        <w:jc w:val="left"/>
      </w:pPr>
      <w:r>
        <w:rPr>
          <w:rFonts w:ascii="Arial" w:cs="Arial" w:eastAsia="Arial" w:hAnsi="Arial"/>
          <w:b/>
          <w:bCs/>
          <w:i/>
          <w:iCs/>
          <w:color w:val="0C1D3B"/>
          <w:sz w:val="22"/>
          <w:szCs w:val="22"/>
        </w:rPr>
        <w:t xml:space="preserve">"The practice is not underbuilt — it is under-monetised. Pricing discipline, recurring revenue growth, controlled service expansion, and structured delegation can move it from a strong local firm to a significantly more valuable regional practice by 2030."</w:t>
      </w:r>
    </w:p>
    <w:p>
      <w:pPr>
        <w:spacing w:before="0" w:after="160"/>
      </w:pPr>
      <w:r>
        <w:t xml:space="preserve"/>
      </w:r>
    </w:p>
    <w:p>
      <w:pPr>
        <w:pBdr>
          <w:bottom w:val="single" w:color="C4922A" w:sz="4" w:space="2"/>
        </w:pBdr>
        <w:spacing w:before="100" w:after="100"/>
      </w:pPr>
      <w:r>
        <w:t xml:space="preserve"/>
      </w:r>
    </w:p>
    <w:p>
      <w:pPr>
        <w:spacing w:before="0" w:after="80"/>
      </w:pPr>
      <w:r>
        <w:t xml:space="preserve"/>
      </w:r>
    </w:p>
    <w:p>
      <w:pPr>
        <w:spacing w:before="0" w:after="40"/>
        <w:jc w:val="left"/>
      </w:pPr>
      <w:r>
        <w:rPr>
          <w:rFonts w:ascii="Arial" w:cs="Arial" w:eastAsia="Arial" w:hAnsi="Arial"/>
          <w:color w:val="4A5568"/>
          <w:sz w:val="18"/>
          <w:szCs w:val="18"/>
        </w:rPr>
        <w:t xml:space="preserve">Prepared for internal strategic use only  ·  The Chowdury Accountants Ltd  ·  March 2026</w:t>
      </w:r>
    </w:p>
    <w:p>
      <w:pPr>
        <w:spacing w:before="0" w:after="0"/>
        <w:jc w:val="left"/>
      </w:pPr>
      <w:r>
        <w:rPr>
          <w:rFonts w:ascii="Arial" w:cs="Arial" w:eastAsia="Arial" w:hAnsi="Arial"/>
          <w:color w:val="94A3B8"/>
          <w:sz w:val="17"/>
          <w:szCs w:val="17"/>
        </w:rPr>
        <w:t xml:space="preserve">283 Featherstall Road North, Oldham, OL1 2NH  ·  info@chowduryaccountants.co.uk  ·  0161 222 4647</w:t>
      </w:r>
    </w:p>
    <w:p>
      <w:r>
        <w:br w:type="page"/>
      </w:r>
    </w:p>
    <w:p>
      <w:pPr>
        <w:spacing w:before="0" w:after="80"/>
        <w:jc w:val="center"/>
      </w:pPr>
      <w:r>
        <w:rPr>
          <w:rFonts w:ascii="Arial" w:cs="Arial" w:eastAsia="Arial" w:hAnsi="Arial"/>
          <w:b/>
          <w:bCs/>
          <w:color w:val="4A5568"/>
          <w:sz w:val="16"/>
          <w:szCs w:val="16"/>
        </w:rPr>
        <w:t xml:space="preserve">VISION ADDENDUM</w:t>
      </w:r>
    </w:p>
    <w:p>
      <w:pPr>
        <w:pBdr>
          <w:bottom w:val="single" w:color="C4922A" w:sz="4" w:space="2"/>
        </w:pBdr>
        <w:spacing w:before="100" w:after="100"/>
      </w:pPr>
      <w:r>
        <w:t xml:space="preserve"/>
      </w:r>
    </w:p>
    <w:p>
      <w:pPr>
        <w:spacing w:before="0" w:after="160"/>
      </w:pPr>
      <w:r>
        <w:t xml:space="preserve"/>
      </w:r>
    </w:p>
    <w:p>
      <w:pPr>
        <w:spacing w:before="0" w:after="80"/>
        <w:jc w:val="left"/>
      </w:pPr>
      <w:r>
        <w:rPr>
          <w:rFonts w:ascii="Arial" w:cs="Arial" w:eastAsia="Arial" w:hAnsi="Arial"/>
          <w:b/>
          <w:bCs/>
          <w:color w:val="0C1D3B"/>
          <w:sz w:val="38"/>
          <w:szCs w:val="38"/>
        </w:rPr>
        <w:t xml:space="preserve">The Hidden Upside to £1M Revenue</w:t>
      </w:r>
    </w:p>
    <w:p>
      <w:pPr>
        <w:spacing w:before="0" w:after="0"/>
        <w:jc w:val="left"/>
      </w:pPr>
      <w:r>
        <w:rPr>
          <w:rFonts w:ascii="Arial" w:cs="Arial" w:eastAsia="Arial" w:hAnsi="Arial"/>
          <w:i/>
          <w:iCs/>
          <w:color w:val="4A5568"/>
          <w:sz w:val="20"/>
          <w:szCs w:val="20"/>
        </w:rPr>
        <w:t xml:space="preserve">Why the practice's true long-term potential exceeds the £750,000 Vision 2030 base case</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0C1D3B" w:val="clear"/>
            <w:tcMar>
              <w:top w:type="dxa" w:w="160"/>
              <w:left w:type="dxa" w:w="120"/>
              <w:bottom w:type="dxa" w:w="160"/>
              <w:right w:type="dxa" w:w="120"/>
            </w:tcMar>
            <w:vAlign w:val="center"/>
          </w:tcPr>
          <w:p>
            <w:pPr>
              <w:spacing w:before="0" w:after="60"/>
              <w:jc w:val="center"/>
            </w:pPr>
            <w:r>
              <w:rPr>
                <w:rFonts w:ascii="Arial" w:cs="Arial" w:eastAsia="Arial" w:hAnsi="Arial"/>
                <w:b/>
                <w:bCs/>
                <w:color w:val="C4922A"/>
                <w:sz w:val="32"/>
                <w:szCs w:val="32"/>
              </w:rPr>
              <w:t xml:space="preserve">£750k</w:t>
            </w:r>
          </w:p>
          <w:p>
            <w:pPr>
              <w:spacing w:before="0" w:after="0"/>
              <w:jc w:val="center"/>
            </w:pPr>
            <w:r>
              <w:rPr>
                <w:rFonts w:ascii="Arial" w:cs="Arial" w:eastAsia="Arial" w:hAnsi="Arial"/>
                <w:color w:val="A0B0C8"/>
                <w:sz w:val="16"/>
                <w:szCs w:val="16"/>
              </w:rPr>
              <w:t xml:space="preserve">Base case (2030)</w:t>
            </w:r>
          </w:p>
        </w:tc>
        <w:tc>
          <w:tcPr>
            <w:tcW w:type="dxa" w:w="1872"/>
            <w:tcBorders>
              <w:top w:val="none" w:color="FFFFFF" w:sz="0"/>
              <w:left w:val="none" w:color="FFFFFF" w:sz="0"/>
              <w:bottom w:val="none" w:color="FFFFFF" w:sz="0"/>
              <w:right w:val="none" w:color="FFFFFF" w:sz="0"/>
            </w:tcBorders>
            <w:shd w:fill="0C1D3B" w:val="clear"/>
            <w:tcMar>
              <w:top w:type="dxa" w:w="160"/>
              <w:left w:type="dxa" w:w="120"/>
              <w:bottom w:type="dxa" w:w="160"/>
              <w:right w:type="dxa" w:w="120"/>
            </w:tcMar>
            <w:vAlign w:val="center"/>
          </w:tcPr>
          <w:p>
            <w:pPr>
              <w:spacing w:before="0" w:after="60"/>
              <w:jc w:val="center"/>
            </w:pPr>
            <w:r>
              <w:rPr>
                <w:rFonts w:ascii="Arial" w:cs="Arial" w:eastAsia="Arial" w:hAnsi="Arial"/>
                <w:b/>
                <w:bCs/>
                <w:color w:val="C4922A"/>
                <w:sz w:val="32"/>
                <w:szCs w:val="32"/>
              </w:rPr>
              <w:t xml:space="preserve">£900k–£1m</w:t>
            </w:r>
          </w:p>
          <w:p>
            <w:pPr>
              <w:spacing w:before="0" w:after="0"/>
              <w:jc w:val="center"/>
            </w:pPr>
            <w:r>
              <w:rPr>
                <w:rFonts w:ascii="Arial" w:cs="Arial" w:eastAsia="Arial" w:hAnsi="Arial"/>
                <w:color w:val="A0B0C8"/>
                <w:sz w:val="16"/>
                <w:szCs w:val="16"/>
              </w:rPr>
              <w:t xml:space="preserve">Upside scenario</w:t>
            </w:r>
          </w:p>
        </w:tc>
        <w:tc>
          <w:tcPr>
            <w:tcW w:type="dxa" w:w="1872"/>
            <w:tcBorders>
              <w:top w:val="none" w:color="FFFFFF" w:sz="0"/>
              <w:left w:val="none" w:color="FFFFFF" w:sz="0"/>
              <w:bottom w:val="none" w:color="FFFFFF" w:sz="0"/>
              <w:right w:val="none" w:color="FFFFFF" w:sz="0"/>
            </w:tcBorders>
            <w:shd w:fill="0C1D3B" w:val="clear"/>
            <w:tcMar>
              <w:top w:type="dxa" w:w="160"/>
              <w:left w:type="dxa" w:w="120"/>
              <w:bottom w:type="dxa" w:w="160"/>
              <w:right w:type="dxa" w:w="120"/>
            </w:tcMar>
            <w:vAlign w:val="center"/>
          </w:tcPr>
          <w:p>
            <w:pPr>
              <w:spacing w:before="0" w:after="60"/>
              <w:jc w:val="center"/>
            </w:pPr>
            <w:r>
              <w:rPr>
                <w:rFonts w:ascii="Arial" w:cs="Arial" w:eastAsia="Arial" w:hAnsi="Arial"/>
                <w:b/>
                <w:bCs/>
                <w:color w:val="C4922A"/>
                <w:sz w:val="32"/>
                <w:szCs w:val="32"/>
              </w:rPr>
              <w:t xml:space="preserve">4</w:t>
            </w:r>
          </w:p>
          <w:p>
            <w:pPr>
              <w:spacing w:before="0" w:after="0"/>
              <w:jc w:val="center"/>
            </w:pPr>
            <w:r>
              <w:rPr>
                <w:rFonts w:ascii="Arial" w:cs="Arial" w:eastAsia="Arial" w:hAnsi="Arial"/>
                <w:color w:val="A0B0C8"/>
                <w:sz w:val="16"/>
                <w:szCs w:val="16"/>
              </w:rPr>
              <w:t xml:space="preserve">Structural advantages</w:t>
            </w:r>
          </w:p>
        </w:tc>
        <w:tc>
          <w:tcPr>
            <w:tcW w:type="dxa" w:w="1872"/>
            <w:tcBorders>
              <w:top w:val="none" w:color="FFFFFF" w:sz="0"/>
              <w:left w:val="none" w:color="FFFFFF" w:sz="0"/>
              <w:bottom w:val="none" w:color="FFFFFF" w:sz="0"/>
              <w:right w:val="none" w:color="FFFFFF" w:sz="0"/>
            </w:tcBorders>
            <w:shd w:fill="0C1D3B" w:val="clear"/>
            <w:tcMar>
              <w:top w:type="dxa" w:w="160"/>
              <w:left w:type="dxa" w:w="120"/>
              <w:bottom w:type="dxa" w:w="160"/>
              <w:right w:type="dxa" w:w="120"/>
            </w:tcMar>
            <w:vAlign w:val="center"/>
          </w:tcPr>
          <w:p>
            <w:pPr>
              <w:spacing w:before="0" w:after="60"/>
              <w:jc w:val="center"/>
            </w:pPr>
            <w:r>
              <w:rPr>
                <w:rFonts w:ascii="Arial" w:cs="Arial" w:eastAsia="Arial" w:hAnsi="Arial"/>
                <w:b/>
                <w:bCs/>
                <w:color w:val="C4922A"/>
                <w:sz w:val="32"/>
                <w:szCs w:val="32"/>
              </w:rPr>
              <w:t xml:space="preserve">2028–2032</w:t>
            </w:r>
          </w:p>
          <w:p>
            <w:pPr>
              <w:spacing w:before="0" w:after="0"/>
              <w:jc w:val="center"/>
            </w:pPr>
            <w:r>
              <w:rPr>
                <w:rFonts w:ascii="Arial" w:cs="Arial" w:eastAsia="Arial" w:hAnsi="Arial"/>
                <w:color w:val="A0B0C8"/>
                <w:sz w:val="16"/>
                <w:szCs w:val="16"/>
              </w:rPr>
              <w:t xml:space="preserve">Timeline (upside)</w:t>
            </w:r>
          </w:p>
        </w:tc>
        <w:tc>
          <w:tcPr>
            <w:tcW w:type="dxa" w:w="1872"/>
            <w:tcBorders>
              <w:top w:val="none" w:color="FFFFFF" w:sz="0"/>
              <w:left w:val="none" w:color="FFFFFF" w:sz="0"/>
              <w:bottom w:val="none" w:color="FFFFFF" w:sz="0"/>
              <w:right w:val="none" w:color="FFFFFF" w:sz="0"/>
            </w:tcBorders>
            <w:shd w:fill="0C1D3B" w:val="clear"/>
            <w:tcMar>
              <w:top w:type="dxa" w:w="160"/>
              <w:left w:type="dxa" w:w="120"/>
              <w:bottom w:type="dxa" w:w="160"/>
              <w:right w:type="dxa" w:w="120"/>
            </w:tcMar>
            <w:vAlign w:val="center"/>
          </w:tcPr>
          <w:p>
            <w:pPr>
              <w:spacing w:before="0" w:after="60"/>
              <w:jc w:val="center"/>
            </w:pPr>
            <w:r>
              <w:rPr>
                <w:rFonts w:ascii="Arial" w:cs="Arial" w:eastAsia="Arial" w:hAnsi="Arial"/>
                <w:b/>
                <w:bCs/>
                <w:color w:val="C4922A"/>
                <w:sz w:val="32"/>
                <w:szCs w:val="32"/>
              </w:rPr>
              <w:t xml:space="preserve">Fewer than you think</w:t>
            </w:r>
          </w:p>
          <w:p>
            <w:pPr>
              <w:spacing w:before="0" w:after="0"/>
              <w:jc w:val="center"/>
            </w:pPr>
            <w:r>
              <w:rPr>
                <w:rFonts w:ascii="Arial" w:cs="Arial" w:eastAsia="Arial" w:hAnsi="Arial"/>
                <w:color w:val="A0B0C8"/>
                <w:sz w:val="16"/>
                <w:szCs w:val="16"/>
              </w:rPr>
              <w:t xml:space="preserve">New clients needed</w:t>
            </w:r>
          </w:p>
        </w:tc>
      </w:tr>
    </w:tbl>
    <w:p>
      <w:pPr>
        <w:spacing w:before="0" w:after="80"/>
      </w:pPr>
      <w:r>
        <w:t xml:space="preserve"/>
      </w:r>
    </w:p>
    <w:p>
      <w:pPr>
        <w:spacing w:before="60" w:after="100"/>
      </w:pPr>
      <w:r>
        <w:rPr>
          <w:rFonts w:ascii="Arial" w:cs="Arial" w:eastAsia="Arial" w:hAnsi="Arial"/>
          <w:b w:val="false"/>
          <w:bCs w:val="false"/>
          <w:i w:val="false"/>
          <w:iCs w:val="false"/>
          <w:color w:val="1A202C"/>
          <w:sz w:val="20"/>
          <w:szCs w:val="20"/>
        </w:rPr>
        <w:t xml:space="preserve">The main strategic review sets a credible £750,000 revenue target for 2030. That figure is grounded and defensible. But it is also deliberately conservative — built from what is already confirmed. There are four structural advantages embedded in the practice that the base-case model does not fully capture. Together, they represent a realistic path to £1,000,000 of annual revenue, without needing to fundamentally change what the practice is or how it operates.</w:t>
      </w:r>
    </w:p>
    <w:p>
      <w:pPr>
        <w:spacing w:before="0" w:after="80"/>
      </w:pPr>
      <w:r>
        <w:t xml:space="preserve"/>
      </w:r>
    </w:p>
    <w:p>
      <w:pPr>
        <w:pStyle w:val="Heading2"/>
        <w:spacing w:before="280" w:after="100"/>
      </w:pPr>
      <w:r>
        <w:rPr>
          <w:rFonts w:ascii="Arial" w:cs="Arial" w:eastAsia="Arial" w:hAnsi="Arial"/>
          <w:b/>
          <w:bCs/>
          <w:color w:val="1A3A6E"/>
          <w:sz w:val="24"/>
          <w:szCs w:val="24"/>
        </w:rPr>
        <w:t xml:space="preserve">Advantage 1 — Your existing clients are under-expanded, not just underpriced</w:t>
      </w:r>
    </w:p>
    <w:p>
      <w:pPr>
        <w:spacing w:before="60" w:after="100"/>
      </w:pPr>
      <w:r>
        <w:rPr>
          <w:rFonts w:ascii="Arial" w:cs="Arial" w:eastAsia="Arial" w:hAnsi="Arial"/>
          <w:b w:val="false"/>
          <w:bCs w:val="false"/>
          <w:i w:val="false"/>
          <w:iCs w:val="false"/>
          <w:color w:val="1A202C"/>
          <w:sz w:val="20"/>
          <w:szCs w:val="20"/>
        </w:rPr>
        <w:t xml:space="preserve">The report focuses heavily on fee correction. But the deeper opportunity is broader: most of the current 600-client base still buys too few services. Most are mono-service relationships — Ltd accounts only, or payroll only, or SA only. Meaningful revenue growth can come entirely from within the existing base, with no cold acquisition required.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c>
          <w:tcPr>
            <w:tcW w:type="dxa" w:w="26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Current relationship</w:t>
            </w:r>
          </w:p>
        </w:tc>
        <w:tc>
          <w:tcPr>
            <w:tcW w:type="dxa" w:w="22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Natural next service</w:t>
            </w:r>
          </w:p>
        </w:tc>
        <w:tc>
          <w:tcPr>
            <w:tcW w:type="dxa" w:w="20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Additional annual fee</w:t>
            </w:r>
          </w:p>
        </w:tc>
        <w:tc>
          <w:tcPr>
            <w:tcW w:type="dxa" w:w="25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Realistic scope</w:t>
            </w:r>
          </w:p>
        </w:tc>
      </w:tr>
      <w:tr>
        <w:tc>
          <w:tcPr>
            <w:tcW w:type="dxa" w:w="26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Ltd accounts only</w:t>
            </w:r>
          </w:p>
        </w:tc>
        <w:tc>
          <w:tcPr>
            <w:tcW w:type="dxa" w:w="2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3A6E"/>
                <w:sz w:val="18"/>
                <w:szCs w:val="18"/>
              </w:rPr>
              <w:t xml:space="preserve">Ltd + payroll (employer)</w:t>
            </w:r>
          </w:p>
        </w:tc>
        <w:tc>
          <w:tcPr>
            <w:tcW w:type="dxa" w:w="2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£450/yr</w:t>
            </w:r>
          </w:p>
        </w:tc>
        <w:tc>
          <w:tcPr>
            <w:tcW w:type="dxa" w:w="25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~80 of 307 Ltd clients have staff</w:t>
            </w:r>
          </w:p>
        </w:tc>
      </w:tr>
      <w:tr>
        <w:tc>
          <w:tcPr>
            <w:tcW w:type="dxa" w:w="26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Ltd + payroll only</w:t>
            </w:r>
          </w:p>
        </w:tc>
        <w:tc>
          <w:tcPr>
            <w:tcW w:type="dxa" w:w="2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3A6E"/>
                <w:sz w:val="18"/>
                <w:szCs w:val="18"/>
              </w:rPr>
              <w:t xml:space="preserve">Add bookkeeping</w:t>
            </w:r>
          </w:p>
        </w:tc>
        <w:tc>
          <w:tcPr>
            <w:tcW w:type="dxa" w:w="2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£400/yr</w:t>
            </w:r>
          </w:p>
        </w:tc>
        <w:tc>
          <w:tcPr>
            <w:tcW w:type="dxa" w:w="25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~120 eligible — no current bookkeeper</w:t>
            </w:r>
          </w:p>
        </w:tc>
      </w:tr>
      <w:tr>
        <w:tc>
          <w:tcPr>
            <w:tcW w:type="dxa" w:w="26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Ltd accounts only</w:t>
            </w:r>
          </w:p>
        </w:tc>
        <w:tc>
          <w:tcPr>
            <w:tcW w:type="dxa" w:w="2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3A6E"/>
                <w:sz w:val="18"/>
                <w:szCs w:val="18"/>
              </w:rPr>
              <w:t xml:space="preserve">Add VAT registration</w:t>
            </w:r>
          </w:p>
        </w:tc>
        <w:tc>
          <w:tcPr>
            <w:tcW w:type="dxa" w:w="2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£600/yr</w:t>
            </w:r>
          </w:p>
        </w:tc>
        <w:tc>
          <w:tcPr>
            <w:tcW w:type="dxa" w:w="25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~50 approaching the VAT threshold</w:t>
            </w:r>
          </w:p>
        </w:tc>
      </w:tr>
      <w:tr>
        <w:tc>
          <w:tcPr>
            <w:tcW w:type="dxa" w:w="26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Director salary only (no SA)</w:t>
            </w:r>
          </w:p>
        </w:tc>
        <w:tc>
          <w:tcPr>
            <w:tcW w:type="dxa" w:w="2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3A6E"/>
                <w:sz w:val="18"/>
                <w:szCs w:val="18"/>
              </w:rPr>
              <w:t xml:space="preserve">SA return as income grows</w:t>
            </w:r>
          </w:p>
        </w:tc>
        <w:tc>
          <w:tcPr>
            <w:tcW w:type="dxa" w:w="2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£180/yr</w:t>
            </w:r>
          </w:p>
        </w:tc>
        <w:tc>
          <w:tcPr>
            <w:tcW w:type="dxa" w:w="25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~60 likely to qualify within 3 years</w:t>
            </w:r>
          </w:p>
        </w:tc>
      </w:tr>
      <w:tr>
        <w:tc>
          <w:tcPr>
            <w:tcW w:type="dxa" w:w="26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Compliance only</w:t>
            </w:r>
          </w:p>
        </w:tc>
        <w:tc>
          <w:tcPr>
            <w:tcW w:type="dxa" w:w="2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3A6E"/>
                <w:sz w:val="18"/>
                <w:szCs w:val="18"/>
              </w:rPr>
              <w:t xml:space="preserve">Management accounts + review</w:t>
            </w:r>
          </w:p>
        </w:tc>
        <w:tc>
          <w:tcPr>
            <w:tcW w:type="dxa" w:w="2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£900/yr</w:t>
            </w:r>
          </w:p>
        </w:tc>
        <w:tc>
          <w:tcPr>
            <w:tcW w:type="dxa" w:w="25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~30–50 strongest clients</w:t>
            </w:r>
          </w:p>
        </w:tc>
      </w:tr>
      <w:tr>
        <w:tc>
          <w:tcPr>
            <w:tcW w:type="dxa" w:w="26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Single-company director</w:t>
            </w:r>
          </w:p>
        </w:tc>
        <w:tc>
          <w:tcPr>
            <w:tcW w:type="dxa" w:w="2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3A6E"/>
                <w:sz w:val="18"/>
                <w:szCs w:val="18"/>
              </w:rPr>
              <w:t xml:space="preserve">Second or group company work</w:t>
            </w:r>
          </w:p>
        </w:tc>
        <w:tc>
          <w:tcPr>
            <w:tcW w:type="dxa" w:w="2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£800+/yr</w:t>
            </w:r>
          </w:p>
        </w:tc>
        <w:tc>
          <w:tcPr>
            <w:tcW w:type="dxa" w:w="25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Natural growth within existing families</w:t>
            </w:r>
          </w:p>
        </w:tc>
      </w:tr>
    </w:tbl>
    <w:p>
      <w:pPr>
        <w:spacing w:before="0" w:after="80"/>
      </w:pPr>
      <w:r>
        <w:t xml:space="preserve"/>
      </w:r>
    </w:p>
    <w:p>
      <w:pPr>
        <w:spacing w:before="60" w:after="100"/>
      </w:pPr>
      <w:r>
        <w:rPr>
          <w:rFonts w:ascii="Arial" w:cs="Arial" w:eastAsia="Arial" w:hAnsi="Arial"/>
          <w:b w:val="false"/>
          <w:bCs w:val="false"/>
          <w:i w:val="false"/>
          <w:iCs w:val="false"/>
          <w:color w:val="1A202C"/>
          <w:sz w:val="20"/>
          <w:szCs w:val="20"/>
        </w:rPr>
        <w:t xml:space="preserve">Conservatively, if 30% of the current base deepens their service relationship by even one additional service line over the next four years, the revenue impact from the existing client base alone exceeds £100,000 per year — without a single new client being acquired.</w:t>
      </w:r>
    </w:p>
    <w:p>
      <w:pPr>
        <w:spacing w:before="0" w:after="80"/>
      </w:pPr>
      <w:r>
        <w:t xml:space="preserve"/>
      </w:r>
    </w:p>
    <w:p>
      <w:pPr>
        <w:pStyle w:val="Heading2"/>
        <w:spacing w:before="280" w:after="100"/>
      </w:pPr>
      <w:r>
        <w:rPr>
          <w:rFonts w:ascii="Arial" w:cs="Arial" w:eastAsia="Arial" w:hAnsi="Arial"/>
          <w:b/>
          <w:bCs/>
          <w:color w:val="1A3A6E"/>
          <w:sz w:val="24"/>
          <w:szCs w:val="24"/>
        </w:rPr>
        <w:t xml:space="preserve">Advantage 2 — The hospitality niche has compounding referral geometry</w:t>
      </w:r>
    </w:p>
    <w:p>
      <w:pPr>
        <w:spacing w:before="60" w:after="100"/>
      </w:pPr>
      <w:r>
        <w:rPr>
          <w:rFonts w:ascii="Arial" w:cs="Arial" w:eastAsia="Arial" w:hAnsi="Arial"/>
          <w:b w:val="false"/>
          <w:bCs w:val="false"/>
          <w:i w:val="false"/>
          <w:iCs w:val="false"/>
          <w:color w:val="1A202C"/>
          <w:sz w:val="20"/>
          <w:szCs w:val="20"/>
        </w:rPr>
        <w:t xml:space="preserve">This practice does not operate in a standard competitive market. In most markets, one satisfied client equals one potential referral. In a dense, trust-driven community network — South Asian owner-managed businesses, predominantly in hospitality — referral dynamics behave differently. One strong client relationship can generate a cluster of new clients over years, not a single referral. Restaurant owners refer cousins who open takeaways, who refer their landlords, who refer their suppliers. The network compounds rather than decays.</w:t>
      </w:r>
    </w:p>
    <w:p>
      <w:pPr>
        <w:spacing w:before="0" w:after="80"/>
      </w:pPr>
      <w:r>
        <w:t xml:space="preserve"/>
      </w:r>
    </w:p>
    <w:p>
      <w:pPr>
        <w:spacing w:before="60" w:after="100"/>
      </w:pPr>
      <w:r>
        <w:rPr>
          <w:rFonts w:ascii="Arial" w:cs="Arial" w:eastAsia="Arial" w:hAnsi="Arial"/>
          <w:b w:val="false"/>
          <w:bCs w:val="false"/>
          <w:i w:val="false"/>
          <w:iCs w:val="false"/>
          <w:color w:val="4A5568"/>
          <w:sz w:val="20"/>
          <w:szCs w:val="20"/>
        </w:rPr>
        <w:t xml:space="preserve">This means the practice's client acquisition cost is structurally lower than a general-market competitor, and the trust barrier for a competitor to displace existing clients is structurally higher. A formalised referral programme could realistically accelerate annual new-client acquisition from 40 new Ltd clients to 50–60 per year — accounting for approximately £50,000–£70,000 of additional annual revenue by 2030.</w:t>
      </w:r>
    </w:p>
    <w:p>
      <w:pPr>
        <w:spacing w:before="0" w:after="80"/>
      </w:pPr>
      <w:r>
        <w:t xml:space="preserve"/>
      </w:r>
    </w:p>
    <w:p>
      <w:pPr>
        <w:pStyle w:val="Heading2"/>
        <w:spacing w:before="280" w:after="100"/>
      </w:pPr>
      <w:r>
        <w:rPr>
          <w:rFonts w:ascii="Arial" w:cs="Arial" w:eastAsia="Arial" w:hAnsi="Arial"/>
          <w:b/>
          <w:bCs/>
          <w:color w:val="1A3A6E"/>
          <w:sz w:val="24"/>
          <w:szCs w:val="24"/>
        </w:rPr>
        <w:t xml:space="preserve">Advantage 3 — The client base has a built-in maturation curve</w:t>
      </w:r>
    </w:p>
    <w:p>
      <w:pPr>
        <w:spacing w:before="60" w:after="100"/>
      </w:pPr>
      <w:r>
        <w:rPr>
          <w:rFonts w:ascii="Arial" w:cs="Arial" w:eastAsia="Arial" w:hAnsi="Arial"/>
          <w:b w:val="false"/>
          <w:bCs w:val="false"/>
          <w:i w:val="false"/>
          <w:iCs w:val="false"/>
          <w:color w:val="1A202C"/>
          <w:sz w:val="20"/>
          <w:szCs w:val="20"/>
        </w:rPr>
        <w:t xml:space="preserve">The 600 current clients are not a static population. They are businesses at various stages of growth. Many of them — particularly younger or earlier-stage clients — will naturally become more complex, and therefore more valuable, over the next five years. The practice is already positioned as their trusted adviser at the start of that journey.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Client stage</w:t>
            </w:r>
          </w:p>
        </w:tc>
        <w:tc>
          <w:tcPr>
            <w:tcW w:type="dxa" w:w="32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Emerging service needs</w:t>
            </w:r>
          </w:p>
        </w:tc>
        <w:tc>
          <w:tcPr>
            <w:tcW w:type="dxa" w:w="41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Commercial implication</w:t>
            </w:r>
          </w:p>
        </w:tc>
      </w:tr>
      <w:tr>
        <w:tc>
          <w:tcPr>
            <w:tcW w:type="dxa" w:w="2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Early-stage (year 1–3)</w:t>
            </w:r>
          </w:p>
        </w:tc>
        <w:tc>
          <w:tcPr>
            <w:tcW w:type="dxa" w:w="3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Compliance, payroll setup, annual accounts</w:t>
            </w:r>
          </w:p>
        </w:tc>
        <w:tc>
          <w:tcPr>
            <w:tcW w:type="dxa" w:w="41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Low fee now; long retention ahead; foundation relationship.</w:t>
            </w:r>
          </w:p>
        </w:tc>
      </w:tr>
      <w:tr>
        <w:tc>
          <w:tcPr>
            <w:tcW w:type="dxa" w:w="2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Growing SME (year 3–7)</w:t>
            </w:r>
          </w:p>
        </w:tc>
        <w:tc>
          <w:tcPr>
            <w:tcW w:type="dxa" w:w="3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VAT, bookkeeping, more complex payroll, cash flow</w:t>
            </w:r>
          </w:p>
        </w:tc>
        <w:tc>
          <w:tcPr>
            <w:tcW w:type="dxa" w:w="41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Multi-service engagement becomes natural.</w:t>
            </w:r>
          </w:p>
        </w:tc>
      </w:tr>
      <w:tr>
        <w:tc>
          <w:tcPr>
            <w:tcW w:type="dxa" w:w="2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Established (year 7+)</w:t>
            </w:r>
          </w:p>
        </w:tc>
        <w:tc>
          <w:tcPr>
            <w:tcW w:type="dxa" w:w="3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Management accounts, structuring, property, second companies</w:t>
            </w:r>
          </w:p>
        </w:tc>
        <w:tc>
          <w:tcPr>
            <w:tcW w:type="dxa" w:w="41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High-value advisory; strong fee base; family complexity.</w:t>
            </w:r>
          </w:p>
        </w:tc>
      </w:tr>
      <w:tr>
        <w:tc>
          <w:tcPr>
            <w:tcW w:type="dxa" w:w="2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Director approaching maturity</w:t>
            </w:r>
          </w:p>
        </w:tc>
        <w:tc>
          <w:tcPr>
            <w:tcW w:type="dxa" w:w="3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Dividends, personal tax, pension, exit planning</w:t>
            </w:r>
          </w:p>
        </w:tc>
        <w:tc>
          <w:tcPr>
            <w:tcW w:type="dxa" w:w="41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SA, personal advisory, succession — premium work.</w:t>
            </w:r>
          </w:p>
        </w:tc>
      </w:tr>
      <w:tr>
        <w:tc>
          <w:tcPr>
            <w:tcW w:type="dxa" w:w="2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Multi-entity groups</w:t>
            </w:r>
          </w:p>
        </w:tc>
        <w:tc>
          <w:tcPr>
            <w:tcW w:type="dxa" w:w="3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Group accounts, intercompany, consolidated reporting</w:t>
            </w:r>
          </w:p>
        </w:tc>
        <w:tc>
          <w:tcPr>
            <w:tcW w:type="dxa" w:w="41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Premium compliance plus advisory; £1,500–£3,000+/yr.</w:t>
            </w:r>
          </w:p>
        </w:tc>
      </w:tr>
    </w:tbl>
    <w:p>
      <w:pPr>
        <w:spacing w:before="0" w:after="80"/>
      </w:pPr>
      <w:r>
        <w:t xml:space="preserve"/>
      </w:r>
    </w:p>
    <w:p>
      <w:pPr>
        <w:spacing w:before="60" w:after="100"/>
      </w:pPr>
      <w:r>
        <w:rPr>
          <w:rFonts w:ascii="Arial" w:cs="Arial" w:eastAsia="Arial" w:hAnsi="Arial"/>
          <w:b w:val="false"/>
          <w:bCs w:val="false"/>
          <w:i w:val="false"/>
          <w:iCs w:val="false"/>
          <w:color w:val="1A202C"/>
          <w:sz w:val="20"/>
          <w:szCs w:val="20"/>
        </w:rPr>
        <w:t xml:space="preserve">The practice does not need to win this work against competitors. It simply needs to be ready to serve it when clients are ready. The risk is the reverse: if advisory capability is not in place when clients mature, they will find a firm that has it.</w:t>
      </w:r>
    </w:p>
    <w:p>
      <w:pPr>
        <w:spacing w:before="0" w:after="80"/>
      </w:pPr>
      <w:r>
        <w:t xml:space="preserve"/>
      </w:r>
    </w:p>
    <w:p>
      <w:pPr>
        <w:pStyle w:val="Heading2"/>
        <w:spacing w:before="280" w:after="100"/>
      </w:pPr>
      <w:r>
        <w:rPr>
          <w:rFonts w:ascii="Arial" w:cs="Arial" w:eastAsia="Arial" w:hAnsi="Arial"/>
          <w:b/>
          <w:bCs/>
          <w:color w:val="1A3A6E"/>
          <w:sz w:val="24"/>
          <w:szCs w:val="24"/>
        </w:rPr>
        <w:t xml:space="preserve">Advantage 4 — Unusually strong trust-to-fee conversion potential</w:t>
      </w:r>
    </w:p>
    <w:p>
      <w:pPr>
        <w:spacing w:before="60" w:after="100"/>
      </w:pPr>
      <w:r>
        <w:rPr>
          <w:rFonts w:ascii="Arial" w:cs="Arial" w:eastAsia="Arial" w:hAnsi="Arial"/>
          <w:b w:val="false"/>
          <w:bCs w:val="false"/>
          <w:i w:val="false"/>
          <w:iCs w:val="false"/>
          <w:color w:val="1A202C"/>
          <w:sz w:val="20"/>
          <w:szCs w:val="20"/>
        </w:rPr>
        <w:t xml:space="preserve">Many firms cannot raise prices, cross-sell services, or migrate clients to direct debit because their client relationships are transactional rather than trusted. The evidence here suggests this practice is significantly above that baseline. 163 of approximately 600 clients (27%) have already agreed to direct debit collection — a behaviour that requires genuine trust. Growth has been almost entirely referral-driven, and retention is strong despite cheaper alternatives being available online.</w:t>
      </w:r>
    </w:p>
    <w:p>
      <w:pPr>
        <w:spacing w:before="0" w:after="80"/>
      </w:pPr>
      <w:r>
        <w:t xml:space="preserve"/>
      </w:r>
    </w:p>
    <w:p>
      <w:pPr>
        <w:spacing w:before="60" w:after="100"/>
      </w:pPr>
      <w:r>
        <w:rPr>
          <w:rFonts w:ascii="Arial" w:cs="Arial" w:eastAsia="Arial" w:hAnsi="Arial"/>
          <w:b w:val="false"/>
          <w:bCs w:val="false"/>
          <w:i w:val="false"/>
          <w:iCs w:val="false"/>
          <w:color w:val="4A5568"/>
          <w:sz w:val="20"/>
          <w:szCs w:val="20"/>
        </w:rPr>
        <w:t xml:space="preserve">This trust premium is not reflected anywhere in the current fee schedule — but it is real, it is durable, and it is one of the most defensible competitive advantages the practice holds. When fees are raised and communicated properly, acceptance rates will be materially higher than a general-market firm would expect.</w:t>
      </w:r>
    </w:p>
    <w:p>
      <w:pPr>
        <w:spacing w:before="0" w:after="80"/>
      </w:pPr>
      <w:r>
        <w:t xml:space="preserve"/>
      </w:r>
    </w:p>
    <w:p>
      <w:pPr>
        <w:pStyle w:val="Heading2"/>
        <w:spacing w:before="280" w:after="100"/>
      </w:pPr>
      <w:r>
        <w:rPr>
          <w:rFonts w:ascii="Arial" w:cs="Arial" w:eastAsia="Arial" w:hAnsi="Arial"/>
          <w:b/>
          <w:bCs/>
          <w:color w:val="1A3A6E"/>
          <w:sz w:val="24"/>
          <w:szCs w:val="24"/>
        </w:rPr>
        <w:t xml:space="preserve">Upside Revenue Bridge — £314,000 to £1,000,000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800"/>
        <w:gridCol w:w="2960"/>
      </w:tblGrid>
      <w:tr>
        <w:tc>
          <w:tcPr>
            <w:tcW w:type="dxa" w:w="32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Growth lever</w:t>
            </w:r>
          </w:p>
        </w:tc>
        <w:tc>
          <w:tcPr>
            <w:tcW w:type="dxa" w:w="14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Addition</w:t>
            </w:r>
          </w:p>
        </w:tc>
        <w:tc>
          <w:tcPr>
            <w:tcW w:type="dxa" w:w="18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Cumulative</w:t>
            </w:r>
          </w:p>
        </w:tc>
        <w:tc>
          <w:tcPr>
            <w:tcW w:type="dxa" w:w="29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Basis</w:t>
            </w:r>
          </w:p>
        </w:tc>
      </w:tr>
      <w:tr>
        <w:tc>
          <w:tcPr>
            <w:tcW w:type="dxa" w:w="3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Starting position</w:t>
            </w:r>
          </w:p>
        </w:tc>
        <w:tc>
          <w:tcPr>
            <w:tcW w:type="dxa" w:w="1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w:t>
            </w:r>
          </w:p>
        </w:tc>
        <w:tc>
          <w:tcPr>
            <w:tcW w:type="dxa" w:w="1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£314,000</w:t>
            </w:r>
          </w:p>
        </w:tc>
        <w:tc>
          <w:tcPr>
            <w:tcW w:type="dxa" w:w="29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Confirmed restated revenue.</w:t>
            </w:r>
          </w:p>
        </w:tc>
      </w:tr>
      <w:tr>
        <w:tc>
          <w:tcPr>
            <w:tcW w:type="dxa" w:w="3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Fee correction</w:t>
            </w:r>
          </w:p>
        </w:tc>
        <w:tc>
          <w:tcPr>
            <w:tcW w:type="dxa" w:w="1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+£109,340</w:t>
            </w:r>
          </w:p>
        </w:tc>
        <w:tc>
          <w:tcPr>
            <w:tcW w:type="dxa" w:w="1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£423,340</w:t>
            </w:r>
          </w:p>
        </w:tc>
        <w:tc>
          <w:tcPr>
            <w:tcW w:type="dxa" w:w="29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Current base at corrected rates.</w:t>
            </w:r>
          </w:p>
        </w:tc>
      </w:tr>
      <w:tr>
        <w:tc>
          <w:tcPr>
            <w:tcW w:type="dxa" w:w="3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Organic growth (50+ new Ltd/yr × 4yrs)</w:t>
            </w:r>
          </w:p>
        </w:tc>
        <w:tc>
          <w:tcPr>
            <w:tcW w:type="dxa" w:w="1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+£176,000</w:t>
            </w:r>
          </w:p>
        </w:tc>
        <w:tc>
          <w:tcPr>
            <w:tcW w:type="dxa" w:w="1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£599,340</w:t>
            </w:r>
          </w:p>
        </w:tc>
        <w:tc>
          <w:tcPr>
            <w:tcW w:type="dxa" w:w="29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50 new Ltd/yr at £800 + avg PAYE.</w:t>
            </w:r>
          </w:p>
        </w:tc>
      </w:tr>
      <w:tr>
        <w:tc>
          <w:tcPr>
            <w:tcW w:type="dxa" w:w="3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Service penetration — existing base</w:t>
            </w:r>
          </w:p>
        </w:tc>
        <w:tc>
          <w:tcPr>
            <w:tcW w:type="dxa" w:w="1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+£120,000</w:t>
            </w:r>
          </w:p>
        </w:tc>
        <w:tc>
          <w:tcPr>
            <w:tcW w:type="dxa" w:w="1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£719,340</w:t>
            </w:r>
          </w:p>
        </w:tc>
        <w:tc>
          <w:tcPr>
            <w:tcW w:type="dxa" w:w="29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30% of base deepens by one service line.</w:t>
            </w:r>
          </w:p>
        </w:tc>
      </w:tr>
      <w:tr>
        <w:tc>
          <w:tcPr>
            <w:tcW w:type="dxa" w:w="3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Management accounts (50 clients)</w:t>
            </w:r>
          </w:p>
        </w:tc>
        <w:tc>
          <w:tcPr>
            <w:tcW w:type="dxa" w:w="1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+£45,000</w:t>
            </w:r>
          </w:p>
        </w:tc>
        <w:tc>
          <w:tcPr>
            <w:tcW w:type="dxa" w:w="1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£764,340</w:t>
            </w:r>
          </w:p>
        </w:tc>
        <w:tc>
          <w:tcPr>
            <w:tcW w:type="dxa" w:w="29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After pilot; scaled over 3 years.</w:t>
            </w:r>
          </w:p>
        </w:tc>
      </w:tr>
      <w:tr>
        <w:tc>
          <w:tcPr>
            <w:tcW w:type="dxa" w:w="3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Advisory (structuring, planning, review)</w:t>
            </w:r>
          </w:p>
        </w:tc>
        <w:tc>
          <w:tcPr>
            <w:tcW w:type="dxa" w:w="1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+£60,000</w:t>
            </w:r>
          </w:p>
        </w:tc>
        <w:tc>
          <w:tcPr>
            <w:tcW w:type="dxa" w:w="1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£824,340</w:t>
            </w:r>
          </w:p>
        </w:tc>
        <w:tc>
          <w:tcPr>
            <w:tcW w:type="dxa" w:w="29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10–15 high-value clients at £4–6k/year.</w:t>
            </w:r>
          </w:p>
        </w:tc>
      </w:tr>
      <w:tr>
        <w:tc>
          <w:tcPr>
            <w:tcW w:type="dxa" w:w="3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SA maturation + director complexity</w:t>
            </w:r>
          </w:p>
        </w:tc>
        <w:tc>
          <w:tcPr>
            <w:tcW w:type="dxa" w:w="1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+£25,000</w:t>
            </w:r>
          </w:p>
        </w:tc>
        <w:tc>
          <w:tcPr>
            <w:tcW w:type="dxa" w:w="1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£849,340</w:t>
            </w:r>
          </w:p>
        </w:tc>
        <w:tc>
          <w:tcPr>
            <w:tcW w:type="dxa" w:w="29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60 new SA + growing director complexity.</w:t>
            </w:r>
          </w:p>
        </w:tc>
      </w:tr>
      <w:tr>
        <w:tc>
          <w:tcPr>
            <w:tcW w:type="dxa" w:w="3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Referral premium + second companies</w:t>
            </w:r>
          </w:p>
        </w:tc>
        <w:tc>
          <w:tcPr>
            <w:tcW w:type="dxa" w:w="1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+£80,000</w:t>
            </w:r>
          </w:p>
        </w:tc>
        <w:tc>
          <w:tcPr>
            <w:tcW w:type="dxa" w:w="1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£929,340</w:t>
            </w:r>
          </w:p>
        </w:tc>
        <w:tc>
          <w:tcPr>
            <w:tcW w:type="dxa" w:w="29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Compounding community referrals.</w:t>
            </w:r>
          </w:p>
        </w:tc>
      </w:tr>
      <w:tr>
        <w:tc>
          <w:tcPr>
            <w:tcW w:type="dxa" w:w="32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Bookkeeping expansion + payroll depth</w:t>
            </w:r>
          </w:p>
        </w:tc>
        <w:tc>
          <w:tcPr>
            <w:tcW w:type="dxa" w:w="14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+£70,000</w:t>
            </w:r>
          </w:p>
        </w:tc>
        <w:tc>
          <w:tcPr>
            <w:tcW w:type="dxa" w:w="18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£999,340</w:t>
            </w:r>
          </w:p>
        </w:tc>
        <w:tc>
          <w:tcPr>
            <w:tcW w:type="dxa" w:w="296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150 bookkeeping clients; deeper payroll.</w:t>
            </w:r>
          </w:p>
        </w:tc>
      </w:tr>
      <w:tr>
        <w:tc>
          <w:tcPr>
            <w:tcW w:type="dxa" w:w="32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UPSIDE SCENARIO — c.2030–2032</w:t>
            </w:r>
          </w:p>
        </w:tc>
        <w:tc>
          <w:tcPr>
            <w:tcW w:type="dxa" w:w="14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
            </w:r>
          </w:p>
        </w:tc>
        <w:tc>
          <w:tcPr>
            <w:tcW w:type="dxa" w:w="18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~£1,000,000</w:t>
            </w:r>
          </w:p>
        </w:tc>
        <w:tc>
          <w:tcPr>
            <w:tcW w:type="dxa" w:w="296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Requires all conditions met and correct sequencing.</w:t>
            </w:r>
          </w:p>
        </w:tc>
      </w:tr>
    </w:tbl>
    <w:p>
      <w:pPr>
        <w:spacing w:before="0" w:after="80"/>
      </w:pPr>
      <w:r>
        <w:t xml:space="preserve"/>
      </w:r>
    </w:p>
    <w:p>
      <w:pPr>
        <w:pBdr>
          <w:left w:val="single" w:color="C4922A" w:sz="20" w:space="14"/>
        </w:pBdr>
        <w:spacing w:before="120" w:after="120"/>
        <w:jc w:val="left"/>
      </w:pPr>
      <w:r>
        <w:rPr>
          <w:rFonts w:ascii="Arial" w:cs="Arial" w:eastAsia="Arial" w:hAnsi="Arial"/>
          <w:b/>
          <w:bCs/>
          <w:i/>
          <w:iCs/>
          <w:color w:val="0C1D3B"/>
          <w:sz w:val="22"/>
          <w:szCs w:val="22"/>
        </w:rPr>
        <w:t xml:space="preserve">"The route to £1,000,000 does not require a different business. It requires the same business — priced correctly, serviced more deeply, referred more systematically, and run with less dependence on one person."</w:t>
      </w:r>
    </w:p>
    <w:p>
      <w:pPr>
        <w:spacing w:before="0" w:after="160"/>
      </w:pPr>
      <w:r>
        <w:t xml:space="preserve"/>
      </w:r>
    </w:p>
    <w:p>
      <w:pPr>
        <w:pBdr>
          <w:bottom w:val="single" w:color="C4922A" w:sz="4" w:space="2"/>
        </w:pBdr>
        <w:spacing w:before="100" w:after="100"/>
      </w:pPr>
      <w:r>
        <w:t xml:space="preserve"/>
      </w:r>
    </w:p>
    <w:p>
      <w:pPr>
        <w:spacing w:before="0" w:after="80"/>
      </w:pPr>
      <w:r>
        <w:t xml:space="preserve"/>
      </w:r>
    </w:p>
    <w:p>
      <w:pPr>
        <w:spacing w:before="0" w:after="40"/>
        <w:jc w:val="left"/>
      </w:pPr>
      <w:r>
        <w:rPr>
          <w:rFonts w:ascii="Arial" w:cs="Arial" w:eastAsia="Arial" w:hAnsi="Arial"/>
          <w:color w:val="4A5568"/>
          <w:sz w:val="18"/>
          <w:szCs w:val="18"/>
        </w:rPr>
        <w:t xml:space="preserve">Vision Addendum  ·  The Chowdury Accountants Ltd  ·  March 2026  ·  Strictly Confidential</w:t>
      </w:r>
    </w:p>
    <w:p>
      <w:r>
        <w:br w:type="page"/>
      </w:r>
    </w:p>
    <w:p>
      <w:pPr>
        <w:pStyle w:val="Heading1"/>
        <w:pBdr>
          <w:bottom w:val="single" w:color="C4922A" w:sz="6" w:space="6"/>
        </w:pBdr>
        <w:spacing w:before="440" w:after="180"/>
      </w:pPr>
      <w:r>
        <w:rPr>
          <w:rFonts w:ascii="Arial" w:cs="Arial" w:eastAsia="Arial" w:hAnsi="Arial"/>
          <w:b/>
          <w:bCs/>
          <w:color w:val="0C1D3B"/>
          <w:sz w:val="30"/>
          <w:szCs w:val="30"/>
        </w:rPr>
        <w:t xml:space="preserve">Appendix — Assumptions and Definitions</w:t>
      </w:r>
    </w:p>
    <w:p>
      <w:pPr>
        <w:spacing w:before="60" w:after="100"/>
      </w:pPr>
      <w:r>
        <w:rPr>
          <w:rFonts w:ascii="Arial" w:cs="Arial" w:eastAsia="Arial" w:hAnsi="Arial"/>
          <w:b w:val="false"/>
          <w:bCs w:val="false"/>
          <w:i w:val="false"/>
          <w:iCs w:val="false"/>
          <w:color w:val="1A202C"/>
          <w:sz w:val="20"/>
          <w:szCs w:val="20"/>
        </w:rPr>
        <w:t xml:space="preserve">This appendix sets out the key assumptions, definitions, and caveats underlying the figures in this report. It is intended to support any lender, broker, or adviser reviewing the report.</w:t>
      </w:r>
    </w:p>
    <w:p>
      <w:pPr>
        <w:spacing w:before="0" w:after="80"/>
      </w:pPr>
      <w:r>
        <w:t xml:space="preserve"/>
      </w:r>
    </w:p>
    <w:p>
      <w:pPr>
        <w:pStyle w:val="Heading2"/>
        <w:spacing w:before="280" w:after="100"/>
      </w:pPr>
      <w:r>
        <w:rPr>
          <w:rFonts w:ascii="Arial" w:cs="Arial" w:eastAsia="Arial" w:hAnsi="Arial"/>
          <w:b/>
          <w:bCs/>
          <w:color w:val="1A3A6E"/>
          <w:sz w:val="24"/>
          <w:szCs w:val="24"/>
        </w:rPr>
        <w:t xml:space="preserve">A1. The £109,340 Fee Correction — Calculation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1200"/>
        <w:gridCol w:w="1400"/>
        <w:gridCol w:w="2760"/>
      </w:tblGrid>
      <w:tr>
        <w:tc>
          <w:tcPr>
            <w:tcW w:type="dxa" w:w="24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Service</w:t>
            </w:r>
          </w:p>
        </w:tc>
        <w:tc>
          <w:tcPr>
            <w:tcW w:type="dxa" w:w="12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Clients</w:t>
            </w:r>
          </w:p>
        </w:tc>
        <w:tc>
          <w:tcPr>
            <w:tcW w:type="dxa" w:w="14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Current fee</w:t>
            </w:r>
          </w:p>
        </w:tc>
        <w:tc>
          <w:tcPr>
            <w:tcW w:type="dxa" w:w="12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New fee</w:t>
            </w:r>
          </w:p>
        </w:tc>
        <w:tc>
          <w:tcPr>
            <w:tcW w:type="dxa" w:w="14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Uplift each</w:t>
            </w:r>
          </w:p>
        </w:tc>
        <w:tc>
          <w:tcPr>
            <w:tcW w:type="dxa" w:w="27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Annual uplift</w:t>
            </w:r>
          </w:p>
        </w:tc>
      </w:tr>
      <w:tr>
        <w:tc>
          <w:tcPr>
            <w:tcW w:type="dxa" w:w="2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Ltd company accounts</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307</w:t>
            </w:r>
          </w:p>
        </w:tc>
        <w:tc>
          <w:tcPr>
            <w:tcW w:type="dxa" w:w="1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£600</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5C35"/>
                <w:sz w:val="18"/>
                <w:szCs w:val="18"/>
              </w:rPr>
              <w:t xml:space="preserve">£800</w:t>
            </w:r>
          </w:p>
        </w:tc>
        <w:tc>
          <w:tcPr>
            <w:tcW w:type="dxa" w:w="1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C4922A"/>
                <w:sz w:val="18"/>
                <w:szCs w:val="18"/>
              </w:rPr>
              <w:t xml:space="preserve">£200</w:t>
            </w:r>
          </w:p>
        </w:tc>
        <w:tc>
          <w:tcPr>
            <w:tcW w:type="dxa" w:w="27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307 × £200 = £61,400</w:t>
            </w:r>
          </w:p>
        </w:tc>
      </w:tr>
      <w:tr>
        <w:tc>
          <w:tcPr>
            <w:tcW w:type="dxa" w:w="2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PAYE / payroll</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243</w:t>
            </w:r>
          </w:p>
        </w:tc>
        <w:tc>
          <w:tcPr>
            <w:tcW w:type="dxa" w:w="1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£300</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5C35"/>
                <w:sz w:val="18"/>
                <w:szCs w:val="18"/>
              </w:rPr>
              <w:t xml:space="preserve">£450</w:t>
            </w:r>
          </w:p>
        </w:tc>
        <w:tc>
          <w:tcPr>
            <w:tcW w:type="dxa" w:w="1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C4922A"/>
                <w:sz w:val="18"/>
                <w:szCs w:val="18"/>
              </w:rPr>
              <w:t xml:space="preserve">£150</w:t>
            </w:r>
          </w:p>
        </w:tc>
        <w:tc>
          <w:tcPr>
            <w:tcW w:type="dxa" w:w="27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243 × £150 = £36,450</w:t>
            </w:r>
          </w:p>
        </w:tc>
      </w:tr>
      <w:tr>
        <w:tc>
          <w:tcPr>
            <w:tcW w:type="dxa" w:w="2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Self-assessment</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383</w:t>
            </w:r>
          </w:p>
        </w:tc>
        <w:tc>
          <w:tcPr>
            <w:tcW w:type="dxa" w:w="1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£150</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5C35"/>
                <w:sz w:val="18"/>
                <w:szCs w:val="18"/>
              </w:rPr>
              <w:t xml:space="preserve">£180</w:t>
            </w:r>
          </w:p>
        </w:tc>
        <w:tc>
          <w:tcPr>
            <w:tcW w:type="dxa" w:w="1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C4922A"/>
                <w:sz w:val="18"/>
                <w:szCs w:val="18"/>
              </w:rPr>
              <w:t xml:space="preserve">£30</w:t>
            </w:r>
          </w:p>
        </w:tc>
        <w:tc>
          <w:tcPr>
            <w:tcW w:type="dxa" w:w="27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383 × £30 = £11,490</w:t>
            </w:r>
          </w:p>
        </w:tc>
      </w:tr>
      <w:tr>
        <w:tc>
          <w:tcPr>
            <w:tcW w:type="dxa" w:w="2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VAT returns</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42</w:t>
            </w:r>
          </w:p>
        </w:tc>
        <w:tc>
          <w:tcPr>
            <w:tcW w:type="dxa" w:w="1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£600</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5C35"/>
                <w:sz w:val="18"/>
                <w:szCs w:val="18"/>
              </w:rPr>
              <w:t xml:space="preserve">£600</w:t>
            </w:r>
          </w:p>
        </w:tc>
        <w:tc>
          <w:tcPr>
            <w:tcW w:type="dxa" w:w="1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w:t>
            </w:r>
          </w:p>
        </w:tc>
        <w:tc>
          <w:tcPr>
            <w:tcW w:type="dxa" w:w="27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No change</w:t>
            </w:r>
          </w:p>
        </w:tc>
      </w:tr>
      <w:tr>
        <w:tc>
          <w:tcPr>
            <w:tcW w:type="dxa" w:w="24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Total</w:t>
            </w:r>
          </w:p>
        </w:tc>
        <w:tc>
          <w:tcPr>
            <w:tcW w:type="dxa" w:w="12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
            </w:r>
          </w:p>
        </w:tc>
        <w:tc>
          <w:tcPr>
            <w:tcW w:type="dxa" w:w="14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
            </w:r>
          </w:p>
        </w:tc>
        <w:tc>
          <w:tcPr>
            <w:tcW w:type="dxa" w:w="12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
            </w:r>
          </w:p>
        </w:tc>
        <w:tc>
          <w:tcPr>
            <w:tcW w:type="dxa" w:w="14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
            </w:r>
          </w:p>
        </w:tc>
        <w:tc>
          <w:tcPr>
            <w:tcW w:type="dxa" w:w="276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+£109,340</w:t>
            </w:r>
          </w:p>
        </w:tc>
      </w:tr>
    </w:tbl>
    <w:p>
      <w:pPr>
        <w:spacing w:before="0" w:after="80"/>
      </w:pPr>
      <w:r>
        <w:t xml:space="preserve"/>
      </w:r>
    </w:p>
    <w:p>
      <w:pPr>
        <w:spacing w:before="60" w:after="100"/>
      </w:pPr>
      <w:r>
        <w:rPr>
          <w:rFonts w:ascii="Arial" w:cs="Arial" w:eastAsia="Arial" w:hAnsi="Arial"/>
          <w:b w:val="false"/>
          <w:bCs w:val="false"/>
          <w:i w:val="false"/>
          <w:iCs w:val="false"/>
          <w:color w:val="1A202C"/>
          <w:sz w:val="20"/>
          <w:szCs w:val="20"/>
        </w:rPr>
        <w:t xml:space="preserve">Qualifications: The uplift is calculated on the full client base at March 2026. In practice, implementation will involve a 90-day notice period, meaning the full uplift phases in over 12–18 months. A modest level of client attrition should be anticipated. All fees are quoted exclusive of VAT.</w:t>
      </w:r>
    </w:p>
    <w:p>
      <w:pPr>
        <w:spacing w:before="0" w:after="80"/>
      </w:pPr>
      <w:r>
        <w:t xml:space="preserve"/>
      </w:r>
    </w:p>
    <w:p>
      <w:pPr>
        <w:pStyle w:val="Heading2"/>
        <w:spacing w:before="280" w:after="100"/>
      </w:pPr>
      <w:r>
        <w:rPr>
          <w:rFonts w:ascii="Arial" w:cs="Arial" w:eastAsia="Arial" w:hAnsi="Arial"/>
          <w:b/>
          <w:bCs/>
          <w:color w:val="1A3A6E"/>
          <w:sz w:val="24"/>
          <w:szCs w:val="24"/>
        </w:rPr>
        <w:t xml:space="preserve">A2. What "Restated Revenue" Excludes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Item excluded</w:t>
            </w:r>
          </w:p>
        </w:tc>
        <w:tc>
          <w:tcPr>
            <w:tcW w:type="dxa" w:w="63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Reason for exclusion</w:t>
            </w:r>
          </w:p>
        </w:tc>
      </w:tr>
      <w:tr>
        <w:tc>
          <w:tcPr>
            <w:tcW w:type="dxa" w:w="3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Intercompany transfers (CPL to TCA)</w:t>
            </w:r>
          </w:p>
        </w:tc>
        <w:tc>
          <w:tcPr>
            <w:tcW w:type="dxa" w:w="63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Transfers between related entities are not trading income.</w:t>
            </w:r>
          </w:p>
        </w:tc>
      </w:tr>
      <w:tr>
        <w:tc>
          <w:tcPr>
            <w:tcW w:type="dxa" w:w="3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VAT receipts collected on behalf of HMRC</w:t>
            </w:r>
          </w:p>
        </w:tc>
        <w:tc>
          <w:tcPr>
            <w:tcW w:type="dxa" w:w="63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VAT collected from clients is a liability, not revenue.</w:t>
            </w:r>
          </w:p>
        </w:tc>
      </w:tr>
      <w:tr>
        <w:tc>
          <w:tcPr>
            <w:tcW w:type="dxa" w:w="3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Loan proceeds (Lloyds consolidation)</w:t>
            </w:r>
          </w:p>
        </w:tc>
        <w:tc>
          <w:tcPr>
            <w:tcW w:type="dxa" w:w="63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The £45,000 loan draw-down is a financing receipt, not trading income.</w:t>
            </w:r>
          </w:p>
        </w:tc>
      </w:tr>
      <w:tr>
        <w:tc>
          <w:tcPr>
            <w:tcW w:type="dxa" w:w="3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Client disbursements and pass-throughs</w:t>
            </w:r>
          </w:p>
        </w:tc>
        <w:tc>
          <w:tcPr>
            <w:tcW w:type="dxa" w:w="63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Costs collected from clients and paid to third parties (e.g. CH fees) are excluded.</w:t>
            </w:r>
          </w:p>
        </w:tc>
      </w:tr>
      <w:tr>
        <w:tc>
          <w:tcPr>
            <w:tcW w:type="dxa" w:w="3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Non-recurring or exceptional receipts</w:t>
            </w:r>
          </w:p>
        </w:tc>
        <w:tc>
          <w:tcPr>
            <w:tcW w:type="dxa" w:w="63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Any one-off items identified during the bank analysis have been removed.</w:t>
            </w:r>
          </w:p>
        </w:tc>
      </w:tr>
    </w:tbl>
    <w:p>
      <w:pPr>
        <w:spacing w:before="0" w:after="80"/>
      </w:pPr>
      <w:r>
        <w:t xml:space="preserve"/>
      </w:r>
    </w:p>
    <w:p>
      <w:pPr>
        <w:pStyle w:val="Heading2"/>
        <w:spacing w:before="280" w:after="100"/>
      </w:pPr>
      <w:r>
        <w:rPr>
          <w:rFonts w:ascii="Arial" w:cs="Arial" w:eastAsia="Arial" w:hAnsi="Arial"/>
          <w:b/>
          <w:bCs/>
          <w:color w:val="1A3A6E"/>
          <w:sz w:val="24"/>
          <w:szCs w:val="24"/>
        </w:rPr>
        <w:t xml:space="preserve">A3. Valuation Methodology Note</w:t>
      </w:r>
    </w:p>
    <w:p>
      <w:pPr>
        <w:spacing w:before="60" w:after="100"/>
      </w:pPr>
      <w:r>
        <w:rPr>
          <w:rFonts w:ascii="Arial" w:cs="Arial" w:eastAsia="Arial" w:hAnsi="Arial"/>
          <w:b w:val="false"/>
          <w:bCs w:val="false"/>
          <w:i w:val="false"/>
          <w:iCs w:val="false"/>
          <w:color w:val="1A202C"/>
          <w:sz w:val="20"/>
          <w:szCs w:val="20"/>
        </w:rPr>
        <w:t xml:space="preserve">The valuation ranges are indicative estimates only and are not a formal valuation. They should not be relied upon for legal, taxation, or transaction purposes without a formal appraisal by a qualified practice valuation specialist. Estimates are based on the recurring gross fee income (GFI) multiple methodology. Market range estimates are based on management observation and general sector commentary; not derived from a formal third-party survey.</w:t>
      </w:r>
    </w:p>
    <w:p>
      <w:pPr>
        <w:spacing w:before="0" w:after="80"/>
      </w:pPr>
      <w:r>
        <w:t xml:space="preserve"/>
      </w:r>
    </w:p>
    <w:p>
      <w:pPr>
        <w:pStyle w:val="Heading2"/>
        <w:spacing w:before="280" w:after="100"/>
      </w:pPr>
      <w:r>
        <w:rPr>
          <w:rFonts w:ascii="Arial" w:cs="Arial" w:eastAsia="Arial" w:hAnsi="Arial"/>
          <w:b/>
          <w:bCs/>
          <w:color w:val="1A3A6E"/>
          <w:sz w:val="24"/>
          <w:szCs w:val="24"/>
        </w:rPr>
        <w:t xml:space="preserve">A4. Definition of Recurring Revenue (MRR)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Term</w:t>
            </w:r>
          </w:p>
        </w:tc>
        <w:tc>
          <w:tcPr>
            <w:tcW w:type="dxa" w:w="63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Definition</w:t>
            </w:r>
          </w:p>
        </w:tc>
      </w:tr>
      <w:tr>
        <w:tc>
          <w:tcPr>
            <w:tcW w:type="dxa" w:w="3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Included — GoCardless direct debit</w:t>
            </w:r>
          </w:p>
        </w:tc>
        <w:tc>
          <w:tcPr>
            <w:tcW w:type="dxa" w:w="63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163 clients. Monthly fees collected via GoCardless. Confirmed from live portal data.</w:t>
            </w:r>
          </w:p>
        </w:tc>
      </w:tr>
      <w:tr>
        <w:tc>
          <w:tcPr>
            <w:tcW w:type="dxa" w:w="3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Included — standing orders</w:t>
            </w:r>
          </w:p>
        </w:tc>
        <w:tc>
          <w:tcPr>
            <w:tcW w:type="dxa" w:w="63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45 clients. Monthly fees via standing order. Confirmed from February 2026 schedule.</w:t>
            </w:r>
          </w:p>
        </w:tc>
      </w:tr>
      <w:tr>
        <w:tc>
          <w:tcPr>
            <w:tcW w:type="dxa" w:w="3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Excluded — ad-hoc fees</w:t>
            </w:r>
          </w:p>
        </w:tc>
        <w:tc>
          <w:tcPr>
            <w:tcW w:type="dxa" w:w="63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One-off fees, irregular invoices, and non-recurring charges are excluded from MRR.</w:t>
            </w:r>
          </w:p>
        </w:tc>
      </w:tr>
      <w:tr>
        <w:tc>
          <w:tcPr>
            <w:tcW w:type="dxa" w:w="3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Excluded — annual invoices</w:t>
            </w:r>
          </w:p>
        </w:tc>
        <w:tc>
          <w:tcPr>
            <w:tcW w:type="dxa" w:w="63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Clients billed annually by invoice (not DD/SO) are not counted within MRR.</w:t>
            </w:r>
          </w:p>
        </w:tc>
      </w:tr>
      <w:tr>
        <w:tc>
          <w:tcPr>
            <w:tcW w:type="dxa" w:w="30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Combined MRR (March 2026)</w:t>
            </w:r>
          </w:p>
        </w:tc>
        <w:tc>
          <w:tcPr>
            <w:tcW w:type="dxa" w:w="63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£19,579/month — equivalent to £234,945 annualised run-rate.</w:t>
            </w:r>
          </w:p>
        </w:tc>
      </w:tr>
      <w:tr>
        <w:tc>
          <w:tcPr>
            <w:tcW w:type="dxa" w:w="30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Target MRR (Vision 2030)</w:t>
            </w:r>
          </w:p>
        </w:tc>
        <w:tc>
          <w:tcPr>
            <w:tcW w:type="dxa" w:w="63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£25,000/month — gap of £5,421 from the March 2026 confirmed position.</w:t>
            </w:r>
          </w:p>
        </w:tc>
      </w:tr>
    </w:tbl>
    <w:p>
      <w:pPr>
        <w:spacing w:before="0" w:after="160"/>
      </w:pPr>
      <w:r>
        <w:t xml:space="preserve"/>
      </w:r>
    </w:p>
    <w:p>
      <w:pPr>
        <w:pBdr>
          <w:bottom w:val="single" w:color="C4922A" w:sz="4" w:space="2"/>
        </w:pBdr>
        <w:spacing w:before="100" w:after="100"/>
      </w:pPr>
      <w:r>
        <w:t xml:space="preserve"/>
      </w:r>
    </w:p>
    <w:p>
      <w:pPr>
        <w:spacing w:before="0" w:after="80"/>
      </w:pPr>
      <w:r>
        <w:t xml:space="preserve"/>
      </w:r>
    </w:p>
    <w:p>
      <w:pPr>
        <w:spacing w:before="0" w:after="40"/>
        <w:jc w:val="left"/>
      </w:pPr>
      <w:r>
        <w:rPr>
          <w:rFonts w:ascii="Arial" w:cs="Arial" w:eastAsia="Arial" w:hAnsi="Arial"/>
          <w:color w:val="4A5568"/>
          <w:sz w:val="18"/>
          <w:szCs w:val="18"/>
        </w:rPr>
        <w:t xml:space="preserve">End of Report  ·  The Chowdury Accountants Ltd  ·  Strategic and Financial Review  ·  March 2026</w:t>
      </w:r>
    </w:p>
    <w:p>
      <w:pPr>
        <w:spacing w:before="0" w:after="0"/>
        <w:jc w:val="left"/>
      </w:pPr>
      <w:r>
        <w:rPr>
          <w:rFonts w:ascii="Arial" w:cs="Arial" w:eastAsia="Arial" w:hAnsi="Arial"/>
          <w:color w:val="94A3B8"/>
          <w:sz w:val="17"/>
          <w:szCs w:val="17"/>
        </w:rPr>
        <w:t xml:space="preserve">283 Featherstall Road North, Oldham, OL1 2NH  ·  info@chowduryaccountants.co.uk  ·  0161 222 4647</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EF" w:sz="4" w:space="4"/>
      </w:pBdr>
      <w:jc w:val="center"/>
    </w:pPr>
    <w:r>
      <w:rPr>
        <w:rFonts w:ascii="Arial" w:cs="Arial" w:eastAsia="Arial" w:hAnsi="Arial"/>
        <w:color w:val="94A3B8"/>
        <w:sz w:val="16"/>
        <w:szCs w:val="16"/>
      </w:rPr>
      <w:t xml:space="preserve">The Chowdury Accountants Ltd  ·  AAT Licensed  ·  Oldham  ·  Confidential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22A" w:sz="4" w:space="4"/>
      </w:pBdr>
      <w:jc w:val="right"/>
    </w:pPr>
    <w:r>
      <w:rPr>
        <w:rFonts w:ascii="Arial" w:cs="Arial" w:eastAsia="Arial" w:hAnsi="Arial"/>
        <w:color w:val="94A3B8"/>
        <w:sz w:val="16"/>
        <w:szCs w:val="16"/>
      </w:rPr>
      <w:t xml:space="preserve">The Chowdury Accountants Ltd  ·  Strategic and Financial Review  ·  March 2026  ·  Strictly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Arial" w:cs="Arial" w:eastAsia="Arial" w:hAnsi="Arial"/>
      <w:b/>
      <w:bCs/>
      <w:color w:val="0C1D3B"/>
      <w:sz w:val="30"/>
      <w:szCs w:val="30"/>
    </w:rPr>
  </w:style>
  <w:style w:type="paragraph" w:styleId="Heading2">
    <w:name w:val="Heading 2"/>
    <w:basedOn w:val="Normal"/>
    <w:next w:val="Normal"/>
    <w:qFormat/>
    <w:pPr>
      <w:spacing w:before="280" w:after="100"/>
      <w:outlineLvl w:val="1"/>
    </w:pPr>
    <w:rPr>
      <w:rFonts w:ascii="Arial" w:cs="Arial" w:eastAsia="Arial" w:hAnsi="Arial"/>
      <w:b/>
      <w:bCs/>
      <w:color w:val="1A3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2026-03-10T00:53:47.439Z</dcterms:created>
  <dcterms:modified xsi:type="dcterms:W3CDTF">2026-03-10T00:53:47.441Z</dcterms:modified>
</cp:coreProperties>
</file>

<file path=docProps/custom.xml><?xml version="1.0" encoding="utf-8"?>
<Properties xmlns="http://schemas.openxmlformats.org/officeDocument/2006/custom-properties" xmlns:vt="http://schemas.openxmlformats.org/officeDocument/2006/docPropsVTypes"/>
</file>