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C1D3B" w:val="clear"/>
        <w:spacing w:before="0" w:after="80"/>
        <w:jc w:val="center"/>
      </w:pPr>
      <w:r>
        <w:rPr>
          <w:rFonts w:ascii="Arial" w:cs="Arial" w:eastAsia="Arial" w:hAnsi="Arial"/>
          <w:b/>
          <w:bCs/>
          <w:color w:val="A0B0C8"/>
          <w:sz w:val="16"/>
          <w:szCs w:val="16"/>
        </w:rPr>
        <w:t xml:space="preserve">  STRICTLY CONFIDENTIAL — FOR INTERNAL STRATEGIC USE ONLY  </w:t>
      </w:r>
    </w:p>
    <w:p>
      <w:pPr>
        <w:pBdr>
          <w:bottom w:val="single" w:color="C4922A" w:sz="6" w:space="4"/>
        </w:pBdr>
        <w:spacing w:before="0" w:after="4"/>
      </w:pPr>
      <w:r>
        <w:t xml:space="preserve"/>
      </w:r>
    </w:p>
    <w:p>
      <w:pPr>
        <w:spacing w:before="200" w:after="40"/>
      </w:pPr>
      <w:r>
        <w:rPr>
          <w:rFonts w:ascii="Arial" w:cs="Arial" w:eastAsia="Arial" w:hAnsi="Arial"/>
          <w:b/>
          <w:bCs/>
          <w:color w:val="0C1D3B"/>
          <w:sz w:val="40"/>
          <w:szCs w:val="40"/>
        </w:rPr>
        <w:t xml:space="preserve">THE CHOWDURY ACCOUNTANTS LTD</w:t>
      </w:r>
    </w:p>
    <w:p>
      <w:pPr>
        <w:spacing w:before="0" w:after="80"/>
      </w:pPr>
      <w:r>
        <w:rPr>
          <w:rFonts w:ascii="Arial" w:cs="Arial" w:eastAsia="Arial" w:hAnsi="Arial"/>
          <w:color w:val="4A5568"/>
          <w:sz w:val="20"/>
          <w:szCs w:val="20"/>
        </w:rPr>
        <w:t xml:space="preserve">AAT Licensed Accountants  ·  Oldham, Greater Manchester</w:t>
      </w:r>
    </w:p>
    <w:p>
      <w:pPr>
        <w:spacing w:before="80" w:after="80"/>
      </w:pPr>
      <w:r>
        <w:rPr>
          <w:rFonts w:ascii="Arial" w:cs="Arial" w:eastAsia="Arial" w:hAnsi="Arial"/>
          <w:b/>
          <w:bCs/>
          <w:color w:val="0C1D3B"/>
          <w:sz w:val="52"/>
          <w:szCs w:val="52"/>
        </w:rPr>
        <w:t xml:space="preserve">STRATEGIC AND FINANCIAL REVIEW</w:t>
      </w:r>
    </w:p>
    <w:p>
      <w:pPr>
        <w:spacing w:before="0" w:after="40"/>
      </w:pPr>
      <w:r>
        <w:rPr>
          <w:rFonts w:ascii="Arial" w:cs="Arial" w:eastAsia="Arial" w:hAnsi="Arial"/>
          <w:color w:val="4A5568"/>
          <w:sz w:val="22"/>
          <w:szCs w:val="22"/>
        </w:rPr>
        <w:t xml:space="preserve">Addendum: 12-Month Acceleration Plan  ·  Managing Partner Routine  ·  Full Integration — v11 FINAL</w:t>
      </w:r>
    </w:p>
    <w:p>
      <w:pPr>
        <w:spacing w:before="200" w:after="40"/>
      </w:pPr>
      <w:r>
        <w:rPr>
          <w:rFonts w:ascii="Arial" w:cs="Arial" w:eastAsia="Arial" w:hAnsi="Arial"/>
          <w:color w:val="4A5568"/>
          <w:sz w:val="19"/>
          <w:szCs w:val="19"/>
        </w:rPr>
        <w:t xml:space="preserve">Prepared by:  Md Asadul Chowdury, Managing Director</w:t>
      </w:r>
    </w:p>
    <w:p>
      <w:pPr>
        <w:spacing w:before="0" w:after="0"/>
      </w:pPr>
      <w:r>
        <w:rPr>
          <w:rFonts w:ascii="Arial" w:cs="Arial" w:eastAsia="Arial" w:hAnsi="Arial"/>
          <w:color w:val="4A5568"/>
          <w:sz w:val="19"/>
          <w:szCs w:val="19"/>
        </w:rPr>
        <w:t xml:space="preserve">Date:  March 2026  ·  v11 FINAL — Full Strategic Operating Blueprint</w:t>
      </w:r>
    </w:p>
    <w:p>
      <w:pPr>
        <w:pBdr>
          <w:bottom w:val="single" w:color="C4922A" w:sz="4" w:space="4"/>
        </w:pBdr>
        <w:spacing w:before="160" w:after="160"/>
      </w:pPr>
      <w:r>
        <w:t xml:space="preserve"/>
      </w:r>
    </w:p>
    <w:p>
      <w:pPr>
        <w:spacing w:before="80" w:after="40"/>
      </w:pPr>
      <w:r>
        <w:rPr>
          <w:rFonts w:ascii="Arial" w:cs="Arial" w:eastAsia="Arial" w:hAnsi="Arial"/>
          <w:i/>
          <w:iCs/>
          <w:color w:val="4A5568"/>
          <w:sz w:val="18"/>
          <w:szCs w:val="18"/>
        </w:rPr>
        <w:t xml:space="preserve">This addendum document contains Sections 14 and 15 of the full strategic report.</w:t>
      </w:r>
    </w:p>
    <w:p>
      <w:pPr>
        <w:spacing w:before="0" w:after="40"/>
      </w:pPr>
      <w:r>
        <w:rPr>
          <w:rFonts w:ascii="Arial" w:cs="Arial" w:eastAsia="Arial" w:hAnsi="Arial"/>
          <w:color w:val="4A5568"/>
          <w:sz w:val="18"/>
          <w:szCs w:val="18"/>
        </w:rPr>
        <w:t xml:space="preserve">Section 14:  The 12-Month Flywheel Acceleration Plan — four phased actions from monetisation to reputation growth.</w:t>
      </w:r>
    </w:p>
    <w:p>
      <w:pPr>
        <w:spacing w:before="0" w:after="40"/>
      </w:pPr>
      <w:r>
        <w:rPr>
          <w:rFonts w:ascii="Arial" w:cs="Arial" w:eastAsia="Arial" w:hAnsi="Arial"/>
          <w:color w:val="4A5568"/>
          <w:sz w:val="18"/>
          <w:szCs w:val="18"/>
        </w:rPr>
        <w:t xml:space="preserve">Section 15:  The Managing Partner Weekly Routine — daily structure for transitioning from £300k practice owner to £1M managing partner.</w:t>
      </w:r>
    </w:p>
    <w:p>
      <w:pPr>
        <w:spacing w:before="40" w:after="40"/>
      </w:pPr>
      <w:r>
        <w:rPr>
          <w:rFonts w:ascii="Arial" w:cs="Arial" w:eastAsia="Arial" w:hAnsi="Arial"/>
          <w:i/>
          <w:iCs/>
          <w:color w:val="94A3B8"/>
          <w:sz w:val="17"/>
          <w:szCs w:val="17"/>
        </w:rPr>
        <w:t xml:space="preserve">For the full report (Sections 1–13, Executive Summary, Vision Addendum, Appendix), refer to: Chowdury_Accountants_Strategic_Review_v10_FINAL.docx</w:t>
      </w:r>
    </w:p>
    <w:p>
      <w:r>
        <w:br w:type="page"/>
      </w:r>
    </w:p>
    <w:p>
      <w:pPr>
        <w:pStyle w:val="Heading1"/>
        <w:pBdr>
          <w:bottom w:val="single" w:color="C4922A" w:sz="6" w:space="6"/>
        </w:pBdr>
        <w:spacing w:before="440" w:after="180"/>
      </w:pPr>
      <w:r>
        <w:rPr>
          <w:rFonts w:ascii="Arial" w:cs="Arial" w:eastAsia="Arial" w:hAnsi="Arial"/>
          <w:b/>
          <w:bCs/>
          <w:color w:val="0C1D3B"/>
          <w:sz w:val="30"/>
          <w:szCs w:val="30"/>
        </w:rPr>
        <w:t xml:space="preserve">14. The 12-Month Flywheel Acceleration Plan — 2026 to 2027</w:t>
      </w:r>
    </w:p>
    <w:p>
      <w:pPr>
        <w:spacing w:before="60" w:after="100"/>
      </w:pPr>
      <w:r>
        <w:rPr>
          <w:rFonts w:ascii="Arial" w:cs="Arial" w:eastAsia="Arial" w:hAnsi="Arial"/>
          <w:b w:val="false"/>
          <w:bCs w:val="false"/>
          <w:i w:val="false"/>
          <w:iCs w:val="false"/>
          <w:color w:val="1A202C"/>
          <w:sz w:val="20"/>
          <w:szCs w:val="20"/>
        </w:rPr>
        <w:t xml:space="preserve">The intention and discipline matter most here. If you truly want the flywheel to spin as fast as possible while staying stable, the key is focused execution, not doing everything at once. These four phases are sequenced deliberately: monetise first, then expand services, then build structure, then compound reputation.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22A" w:sz="4"/>
              <w:left w:val="single" w:color="C4922A" w:sz="4"/>
              <w:bottom w:val="single" w:color="C4922A" w:sz="4"/>
              <w:right w:val="single" w:color="C4922A" w:sz="4"/>
            </w:tcBorders>
            <w:shd w:fill="C4922A" w:val="clear"/>
            <w:tcMar>
              <w:top w:type="dxa" w:w="120"/>
              <w:left w:type="dxa" w:w="200"/>
              <w:bottom w:type="dxa" w:w="120"/>
              <w:right w:type="dxa" w:w="200"/>
            </w:tcMar>
          </w:tcPr>
          <w:p>
            <w:r>
              <w:rPr>
                <w:rFonts w:ascii="Arial" w:cs="Arial" w:eastAsia="Arial" w:hAnsi="Arial"/>
                <w:b/>
                <w:bCs/>
                <w:color w:val="FFFFFF"/>
                <w:sz w:val="18"/>
                <w:szCs w:val="18"/>
              </w:rPr>
              <w:t xml:space="preserve">PHASE 1</w:t>
            </w:r>
          </w:p>
          <w:p>
            <w:r>
              <w:rPr>
                <w:rFonts w:ascii="Arial" w:cs="Arial" w:eastAsia="Arial" w:hAnsi="Arial"/>
                <w:b/>
                <w:bCs/>
                <w:color w:val="FFFFFF"/>
                <w:sz w:val="26"/>
                <w:szCs w:val="26"/>
              </w:rPr>
              <w:t xml:space="preserve">Monetisation — Months 1 to 3</w:t>
            </w:r>
          </w:p>
          <w:p>
            <w:pPr>
              <w:spacing w:before="40" w:after="0"/>
            </w:pPr>
            <w:r>
              <w:rPr>
                <w:rFonts w:ascii="Arial" w:cs="Arial" w:eastAsia="Arial" w:hAnsi="Arial"/>
                <w:i/>
                <w:iCs/>
                <w:color w:val="D0D8E8"/>
                <w:sz w:val="18"/>
                <w:szCs w:val="18"/>
              </w:rPr>
              <w:t xml:space="preserve">Highest ROI stage. Unlock revenue from clients you already have.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1800"/>
        <w:gridCol w:w="1200"/>
        <w:gridCol w:w="800"/>
      </w:tblGrid>
      <w:tr>
        <w:tc>
          <w:tcPr>
            <w:tcW w:type="dxa" w:w="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w:t>
            </w:r>
          </w:p>
        </w:tc>
        <w:tc>
          <w:tcPr>
            <w:tcW w:type="dxa" w:w="51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Action</w:t>
            </w:r>
          </w:p>
        </w:tc>
        <w:tc>
          <w:tcPr>
            <w:tcW w:type="dxa" w:w="1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right"/>
            </w:pPr>
            <w:r>
              <w:rPr>
                <w:rFonts w:ascii="Arial" w:cs="Arial" w:eastAsia="Arial" w:hAnsi="Arial"/>
                <w:b/>
                <w:bCs/>
                <w:color w:val="FFFFFF"/>
                <w:sz w:val="18"/>
                <w:szCs w:val="18"/>
              </w:rPr>
              <w:t xml:space="preserve">Revenue impact</w:t>
            </w:r>
          </w:p>
        </w:tc>
        <w:tc>
          <w:tcPr>
            <w:tcW w:type="dxa" w:w="1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Timeline</w:t>
            </w:r>
          </w:p>
        </w:tc>
        <w:tc>
          <w:tcPr>
            <w:tcW w:type="dxa" w:w="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Owner</w:t>
            </w:r>
          </w:p>
        </w:tc>
      </w:tr>
      <w:tr>
        <w:tc>
          <w:tcPr>
            <w:tcW w:type="dxa" w:w="4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1</w:t>
            </w:r>
          </w:p>
        </w:tc>
        <w:tc>
          <w:tcPr>
            <w:tcW w:type="dxa" w:w="516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Apply new pricing to all new clients — no exceptions.
Ltd £800, payroll £450, SA £180. 40 new Ltd clients at £800 vs £600 = +£8,000 immediately.</w:t>
            </w:r>
          </w:p>
        </w:tc>
        <w:tc>
          <w:tcPr>
            <w:tcW w:type="dxa" w:w="18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right"/>
            </w:pPr>
            <w:r>
              <w:rPr>
                <w:rFonts w:ascii="Arial" w:cs="Arial" w:eastAsia="Arial" w:hAnsi="Arial"/>
                <w:b/>
                <w:bCs/>
                <w:i w:val="false"/>
                <w:iCs w:val="false"/>
                <w:color w:val="1A5C35"/>
                <w:sz w:val="18"/>
                <w:szCs w:val="18"/>
              </w:rPr>
              <w:t xml:space="preserve">£8,000/yr minimum</w:t>
            </w:r>
          </w:p>
        </w:tc>
        <w:tc>
          <w:tcPr>
            <w:tcW w:type="dxa" w:w="12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Now</w:t>
            </w:r>
          </w:p>
        </w:tc>
        <w:tc>
          <w:tcPr>
            <w:tcW w:type="dxa" w:w="8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Asad</w:t>
            </w:r>
          </w:p>
        </w:tc>
      </w:tr>
      <w:tr>
        <w:tc>
          <w:tcPr>
            <w:tcW w:type="dxa" w:w="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2</w:t>
            </w:r>
          </w:p>
        </w:tc>
        <w:tc>
          <w:tcPr>
            <w:tcW w:type="dxa" w:w="5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Move the 69-client £75/month cohort to £100/month on renewal.
£25 × 69 × 12 = £20,700 additional recurring revenue per year.</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bCs/>
                <w:i w:val="false"/>
                <w:iCs w:val="false"/>
                <w:color w:val="1A5C35"/>
                <w:sz w:val="18"/>
                <w:szCs w:val="18"/>
              </w:rPr>
              <w:t xml:space="preserve">£20,700/yr</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Apr–Jun 2026</w:t>
            </w:r>
          </w:p>
        </w:tc>
        <w:tc>
          <w:tcPr>
            <w:tcW w:type="dxa" w:w="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Asad/Hassan</w:t>
            </w:r>
          </w:p>
        </w:tc>
      </w:tr>
      <w:tr>
        <w:tc>
          <w:tcPr>
            <w:tcW w:type="dxa" w:w="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3</w:t>
            </w:r>
          </w:p>
        </w:tc>
        <w:tc>
          <w:tcPr>
            <w:tcW w:type="dxa" w:w="51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Convert 55+ clients to GoCardless — cross £25,000 MRR target.
Gap is £5,421/month. ~55 clients at £100/month fills it.</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bCs/>
                <w:i w:val="false"/>
                <w:iCs w:val="false"/>
                <w:color w:val="1A5C35"/>
                <w:sz w:val="18"/>
                <w:szCs w:val="18"/>
              </w:rPr>
              <w:t xml:space="preserve">£5,421/mo gap closed</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Dec 2026</w:t>
            </w:r>
          </w:p>
        </w:tc>
        <w:tc>
          <w:tcPr>
            <w:tcW w:type="dxa" w:w="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Asad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5" w:sz="4"/>
              <w:left w:val="single" w:color="1A5C35" w:sz="4"/>
              <w:bottom w:val="single" w:color="1A5C35" w:sz="4"/>
              <w:right w:val="single" w:color="1A5C35" w:sz="4"/>
            </w:tcBorders>
            <w:shd w:fill="1A5C35" w:val="clear"/>
            <w:tcMar>
              <w:top w:type="dxa" w:w="120"/>
              <w:left w:type="dxa" w:w="200"/>
              <w:bottom w:type="dxa" w:w="120"/>
              <w:right w:type="dxa" w:w="200"/>
            </w:tcMar>
          </w:tcPr>
          <w:p>
            <w:r>
              <w:rPr>
                <w:rFonts w:ascii="Arial" w:cs="Arial" w:eastAsia="Arial" w:hAnsi="Arial"/>
                <w:b/>
                <w:bCs/>
                <w:color w:val="FFFFFF"/>
                <w:sz w:val="18"/>
                <w:szCs w:val="18"/>
              </w:rPr>
              <w:t xml:space="preserve">PHASE 2</w:t>
            </w:r>
          </w:p>
          <w:p>
            <w:r>
              <w:rPr>
                <w:rFonts w:ascii="Arial" w:cs="Arial" w:eastAsia="Arial" w:hAnsi="Arial"/>
                <w:b/>
                <w:bCs/>
                <w:color w:val="FFFFFF"/>
                <w:sz w:val="26"/>
                <w:szCs w:val="26"/>
              </w:rPr>
              <w:t xml:space="preserve">Service Expansion — Months 3 to 9</w:t>
            </w:r>
          </w:p>
          <w:p>
            <w:pPr>
              <w:spacing w:before="40" w:after="0"/>
            </w:pPr>
            <w:r>
              <w:rPr>
                <w:rFonts w:ascii="Arial" w:cs="Arial" w:eastAsia="Arial" w:hAnsi="Arial"/>
                <w:i/>
                <w:iCs/>
                <w:color w:val="D0D8E8"/>
                <w:sz w:val="18"/>
                <w:szCs w:val="18"/>
              </w:rPr>
              <w:t xml:space="preserve">Increase revenue per client. Same clients, more value delivered.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1800"/>
        <w:gridCol w:w="1200"/>
        <w:gridCol w:w="800"/>
      </w:tblGrid>
      <w:tr>
        <w:tc>
          <w:tcPr>
            <w:tcW w:type="dxa" w:w="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w:t>
            </w:r>
          </w:p>
        </w:tc>
        <w:tc>
          <w:tcPr>
            <w:tcW w:type="dxa" w:w="51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Action</w:t>
            </w:r>
          </w:p>
        </w:tc>
        <w:tc>
          <w:tcPr>
            <w:tcW w:type="dxa" w:w="1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right"/>
            </w:pPr>
            <w:r>
              <w:rPr>
                <w:rFonts w:ascii="Arial" w:cs="Arial" w:eastAsia="Arial" w:hAnsi="Arial"/>
                <w:b/>
                <w:bCs/>
                <w:color w:val="FFFFFF"/>
                <w:sz w:val="18"/>
                <w:szCs w:val="18"/>
              </w:rPr>
              <w:t xml:space="preserve">Revenue impact</w:t>
            </w:r>
          </w:p>
        </w:tc>
        <w:tc>
          <w:tcPr>
            <w:tcW w:type="dxa" w:w="1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Timeline</w:t>
            </w:r>
          </w:p>
        </w:tc>
        <w:tc>
          <w:tcPr>
            <w:tcW w:type="dxa" w:w="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Owner</w:t>
            </w:r>
          </w:p>
        </w:tc>
      </w:tr>
      <w:tr>
        <w:tc>
          <w:tcPr>
            <w:tcW w:type="dxa" w:w="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4</w:t>
            </w:r>
          </w:p>
        </w:tc>
        <w:tc>
          <w:tcPr>
            <w:tcW w:type="dxa" w:w="5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Launch management accounts — start with 10 clients at £75–£100/month.
Once proven, scale to 30 clients. 30 × £1,200/yr = £36,000–£45,000 per year.</w:t>
            </w:r>
          </w:p>
        </w:tc>
        <w:tc>
          <w:tcPr>
            <w:tcW w:type="dxa" w:w="1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bCs/>
                <w:i w:val="false"/>
                <w:iCs w:val="false"/>
                <w:color w:val="1A5C35"/>
                <w:sz w:val="18"/>
                <w:szCs w:val="18"/>
              </w:rPr>
              <w:t xml:space="preserve">£12k → £45k/yr</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H2 2026</w:t>
            </w:r>
          </w:p>
        </w:tc>
        <w:tc>
          <w:tcPr>
            <w:tcW w:type="dxa" w:w="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Asad</w:t>
            </w:r>
          </w:p>
        </w:tc>
      </w:tr>
      <w:tr>
        <w:tc>
          <w:tcPr>
            <w:tcW w:type="dxa" w:w="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5</w:t>
            </w:r>
          </w:p>
        </w:tc>
        <w:tc>
          <w:tcPr>
            <w:tcW w:type="dxa" w:w="51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Introduce bookkeeping packages at £150–£250/month.
20 hospitality clients at average £200/month = £48,000 per year. Delivered via Sadat at low marginal cost.</w:t>
            </w:r>
          </w:p>
        </w:tc>
        <w:tc>
          <w:tcPr>
            <w:tcW w:type="dxa" w:w="1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bCs/>
                <w:i w:val="false"/>
                <w:iCs w:val="false"/>
                <w:color w:val="1A5C35"/>
                <w:sz w:val="18"/>
                <w:szCs w:val="18"/>
              </w:rPr>
              <w:t xml:space="preserve">£48,000/yr</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H2 2026</w:t>
            </w:r>
          </w:p>
        </w:tc>
        <w:tc>
          <w:tcPr>
            <w:tcW w:type="dxa" w:w="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Asad/Sadat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E" w:sz="4"/>
              <w:left w:val="single" w:color="1A3A6E" w:sz="4"/>
              <w:bottom w:val="single" w:color="1A3A6E" w:sz="4"/>
              <w:right w:val="single" w:color="1A3A6E" w:sz="4"/>
            </w:tcBorders>
            <w:shd w:fill="1A3A6E" w:val="clear"/>
            <w:tcMar>
              <w:top w:type="dxa" w:w="120"/>
              <w:left w:type="dxa" w:w="200"/>
              <w:bottom w:type="dxa" w:w="120"/>
              <w:right w:type="dxa" w:w="200"/>
            </w:tcMar>
          </w:tcPr>
          <w:p>
            <w:r>
              <w:rPr>
                <w:rFonts w:ascii="Arial" w:cs="Arial" w:eastAsia="Arial" w:hAnsi="Arial"/>
                <w:b/>
                <w:bCs/>
                <w:color w:val="FFFFFF"/>
                <w:sz w:val="18"/>
                <w:szCs w:val="18"/>
              </w:rPr>
              <w:t xml:space="preserve">PHASE 3</w:t>
            </w:r>
          </w:p>
          <w:p>
            <w:r>
              <w:rPr>
                <w:rFonts w:ascii="Arial" w:cs="Arial" w:eastAsia="Arial" w:hAnsi="Arial"/>
                <w:b/>
                <w:bCs/>
                <w:color w:val="FFFFFF"/>
                <w:sz w:val="26"/>
                <w:szCs w:val="26"/>
              </w:rPr>
              <w:t xml:space="preserve">Structure — Months 6 to 12</w:t>
            </w:r>
          </w:p>
          <w:p>
            <w:pPr>
              <w:spacing w:before="40" w:after="0"/>
            </w:pPr>
            <w:r>
              <w:rPr>
                <w:rFonts w:ascii="Arial" w:cs="Arial" w:eastAsia="Arial" w:hAnsi="Arial"/>
                <w:i/>
                <w:iCs/>
                <w:color w:val="D0D8E8"/>
                <w:sz w:val="18"/>
                <w:szCs w:val="18"/>
              </w:rPr>
              <w:t xml:space="preserve">Growth must be supported by structure. Remove the founder bottleneck.</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2400"/>
        <w:gridCol w:w="1200"/>
        <w:gridCol w:w="200"/>
      </w:tblGrid>
      <w:tr>
        <w:tc>
          <w:tcPr>
            <w:tcW w:type="dxa" w:w="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w:t>
            </w:r>
          </w:p>
        </w:tc>
        <w:tc>
          <w:tcPr>
            <w:tcW w:type="dxa" w:w="51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Action</w:t>
            </w:r>
          </w:p>
        </w:tc>
        <w:tc>
          <w:tcPr>
            <w:tcW w:type="dxa" w:w="2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Expected outcome</w:t>
            </w:r>
          </w:p>
        </w:tc>
        <w:tc>
          <w:tcPr>
            <w:tcW w:type="dxa" w:w="1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Timeline</w:t>
            </w:r>
          </w:p>
        </w:tc>
        <w:tc>
          <w:tcPr>
            <w:tcW w:type="dxa" w:w="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
            </w:r>
          </w:p>
        </w:tc>
      </w:tr>
      <w:tr>
        <w:tc>
          <w:tcPr>
            <w:tcW w:type="dxa" w:w="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3A6E"/>
                <w:sz w:val="18"/>
                <w:szCs w:val="18"/>
              </w:rPr>
              <w:t xml:space="preserve">6</w:t>
            </w:r>
          </w:p>
        </w:tc>
        <w:tc>
          <w:tcPr>
            <w:tcW w:type="dxa" w:w="5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Elevate Hassan to Portfolio Manager — 60–80 Ltd clients.
Client queries, accounts review, workflow supervision. Frees MD for strategy and high-value work.</w:t>
            </w:r>
          </w:p>
        </w:tc>
        <w:tc>
          <w:tcPr>
            <w:tcW w:type="dxa" w:w="2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Founder time freed; capacity ceiling removed</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Dec 2026</w:t>
            </w:r>
          </w:p>
        </w:tc>
        <w:tc>
          <w:tcPr>
            <w:tcW w:type="dxa" w:w="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r>
        <w:tc>
          <w:tcPr>
            <w:tcW w:type="dxa" w:w="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3A6E"/>
                <w:sz w:val="18"/>
                <w:szCs w:val="18"/>
              </w:rPr>
              <w:t xml:space="preserve">7</w:t>
            </w:r>
          </w:p>
        </w:tc>
        <w:tc>
          <w:tcPr>
            <w:tcW w:type="dxa" w:w="51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Systemise onboarding — mandatory checklist for every new client.
Email · mobile · director details · service agreement · DD mandate.</w:t>
            </w:r>
          </w:p>
        </w:tc>
        <w:tc>
          <w:tcPr>
            <w:tcW w:type="dxa" w:w="2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100% data capture; better billing control</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C4922A"/>
                <w:sz w:val="18"/>
                <w:szCs w:val="18"/>
              </w:rPr>
              <w:t xml:space="preserve">May 2026</w:t>
            </w:r>
          </w:p>
        </w:tc>
        <w:tc>
          <w:tcPr>
            <w:tcW w:type="dxa" w:w="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568" w:sz="4"/>
              <w:left w:val="single" w:color="4A5568" w:sz="4"/>
              <w:bottom w:val="single" w:color="4A5568" w:sz="4"/>
              <w:right w:val="single" w:color="4A5568" w:sz="4"/>
            </w:tcBorders>
            <w:shd w:fill="4A5568" w:val="clear"/>
            <w:tcMar>
              <w:top w:type="dxa" w:w="120"/>
              <w:left w:type="dxa" w:w="200"/>
              <w:bottom w:type="dxa" w:w="120"/>
              <w:right w:type="dxa" w:w="200"/>
            </w:tcMar>
          </w:tcPr>
          <w:p>
            <w:r>
              <w:rPr>
                <w:rFonts w:ascii="Arial" w:cs="Arial" w:eastAsia="Arial" w:hAnsi="Arial"/>
                <w:b/>
                <w:bCs/>
                <w:color w:val="FFFFFF"/>
                <w:sz w:val="18"/>
                <w:szCs w:val="18"/>
              </w:rPr>
              <w:t xml:space="preserve">PHASE 4</w:t>
            </w:r>
          </w:p>
          <w:p>
            <w:r>
              <w:rPr>
                <w:rFonts w:ascii="Arial" w:cs="Arial" w:eastAsia="Arial" w:hAnsi="Arial"/>
                <w:b/>
                <w:bCs/>
                <w:color w:val="FFFFFF"/>
                <w:sz w:val="26"/>
                <w:szCs w:val="26"/>
              </w:rPr>
              <w:t xml:space="preserve">Reputation Growth — Months 6 to 12</w:t>
            </w:r>
          </w:p>
          <w:p>
            <w:pPr>
              <w:spacing w:before="40" w:after="0"/>
            </w:pPr>
            <w:r>
              <w:rPr>
                <w:rFonts w:ascii="Arial" w:cs="Arial" w:eastAsia="Arial" w:hAnsi="Arial"/>
                <w:i/>
                <w:iCs/>
                <w:color w:val="D0D8E8"/>
                <w:sz w:val="18"/>
                <w:szCs w:val="18"/>
              </w:rPr>
              <w:t xml:space="preserve">Strengthen the referral flywheel. Build the brand around the niche.</w:t>
            </w:r>
          </w:p>
        </w:tc>
      </w:tr>
    </w:tbl>
    <w:p>
      <w:pPr>
        <w:spacing w:before="0" w:after="80"/>
      </w:pPr>
      <w:r>
        <w:t xml:space="preserve"/>
      </w:r>
    </w:p>
    <w:p>
      <w:pPr>
        <w:spacing w:before="60" w:after="100"/>
      </w:pPr>
      <w:r>
        <w:rPr>
          <w:rFonts w:ascii="Arial" w:cs="Arial" w:eastAsia="Arial" w:hAnsi="Arial"/>
          <w:b w:val="false"/>
          <w:bCs w:val="false"/>
          <w:i w:val="false"/>
          <w:iCs w:val="false"/>
          <w:color w:val="4A5568"/>
          <w:sz w:val="20"/>
          <w:szCs w:val="20"/>
        </w:rPr>
        <w:t xml:space="preserve">Lean into what is already true. The most powerful positioning for the practice is: "Specialist accountants for restaurants, takeaways and growing owner-managed businesses." Hospitality clients trust accountants who understand staff costs, VAT complexities, cash flow pressure, and thin margins. You already do. Now it becomes part of the brand identity.</w:t>
      </w:r>
    </w:p>
    <w:p>
      <w:pPr>
        <w:spacing w:before="0" w:after="80"/>
      </w:pPr>
      <w:r>
        <w:t xml:space="preserve"/>
      </w:r>
    </w:p>
    <w:p>
      <w:pPr>
        <w:pStyle w:val="Heading2"/>
        <w:spacing w:before="280" w:after="100"/>
      </w:pPr>
      <w:r>
        <w:rPr>
          <w:rFonts w:ascii="Arial" w:cs="Arial" w:eastAsia="Arial" w:hAnsi="Arial"/>
          <w:b/>
          <w:bCs/>
          <w:color w:val="1A3A6E"/>
          <w:sz w:val="24"/>
          <w:szCs w:val="24"/>
        </w:rPr>
        <w:t xml:space="preserve">Conservative Revenue Projection — 18 to 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2400"/>
        <w:gridCol w:w="1560"/>
      </w:tblGrid>
      <w:tr>
        <w:tc>
          <w:tcPr>
            <w:tcW w:type="dxa" w:w="3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Growth lever</w:t>
            </w:r>
          </w:p>
        </w:tc>
        <w:tc>
          <w:tcPr>
            <w:tcW w:type="dxa" w:w="16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right"/>
            </w:pPr>
            <w:r>
              <w:rPr>
                <w:rFonts w:ascii="Arial" w:cs="Arial" w:eastAsia="Arial" w:hAnsi="Arial"/>
                <w:b/>
                <w:bCs/>
                <w:color w:val="FFFFFF"/>
                <w:sz w:val="18"/>
                <w:szCs w:val="18"/>
              </w:rPr>
              <w:t xml:space="preserve">Addition</w:t>
            </w:r>
          </w:p>
        </w:tc>
        <w:tc>
          <w:tcPr>
            <w:tcW w:type="dxa" w:w="2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Cumulative</w:t>
            </w:r>
          </w:p>
        </w:tc>
        <w:tc>
          <w:tcPr>
            <w:tcW w:type="dxa" w:w="15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Source</w:t>
            </w:r>
          </w:p>
        </w:tc>
      </w:tr>
      <w:tr>
        <w:tc>
          <w:tcPr>
            <w:tcW w:type="dxa" w:w="3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Current revenue</w:t>
            </w:r>
          </w:p>
        </w:tc>
        <w:tc>
          <w:tcPr>
            <w:tcW w:type="dxa" w:w="1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val="false"/>
                <w:bCs w:val="false"/>
                <w:i w:val="false"/>
                <w:iCs w:val="false"/>
                <w:color w:val="1A202C"/>
                <w:sz w:val="18"/>
                <w:szCs w:val="18"/>
              </w:rPr>
              <w:t xml:space="preserve">—</w:t>
            </w:r>
          </w:p>
        </w:tc>
        <w:tc>
          <w:tcPr>
            <w:tcW w:type="dxa" w:w="2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£314,000</w:t>
            </w:r>
          </w:p>
        </w:tc>
        <w:tc>
          <w:tcPr>
            <w:tcW w:type="dxa" w:w="1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Confirmed restated base</w:t>
            </w:r>
          </w:p>
        </w:tc>
      </w:tr>
      <w:tr>
        <w:tc>
          <w:tcPr>
            <w:tcW w:type="dxa" w:w="3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Fee correction (Ltd, PAYE, SA)</w:t>
            </w:r>
          </w:p>
        </w:tc>
        <w:tc>
          <w:tcPr>
            <w:tcW w:type="dxa" w:w="1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bCs/>
                <w:i w:val="false"/>
                <w:iCs w:val="false"/>
                <w:color w:val="1A5C35"/>
                <w:sz w:val="18"/>
                <w:szCs w:val="18"/>
              </w:rPr>
              <w:t xml:space="preserve">+£109,000</w:t>
            </w:r>
          </w:p>
        </w:tc>
        <w:tc>
          <w:tcPr>
            <w:tcW w:type="dxa" w:w="2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£423,000</w:t>
            </w:r>
          </w:p>
        </w:tc>
        <w:tc>
          <w:tcPr>
            <w:tcW w:type="dxa" w:w="1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Same base; corrected rates</w:t>
            </w:r>
          </w:p>
        </w:tc>
      </w:tr>
      <w:tr>
        <w:tc>
          <w:tcPr>
            <w:tcW w:type="dxa" w:w="3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Bookkeeping — 20 clients at £200/month</w:t>
            </w:r>
          </w:p>
        </w:tc>
        <w:tc>
          <w:tcPr>
            <w:tcW w:type="dxa" w:w="1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right"/>
            </w:pPr>
            <w:r>
              <w:rPr>
                <w:rFonts w:ascii="Arial" w:cs="Arial" w:eastAsia="Arial" w:hAnsi="Arial"/>
                <w:b/>
                <w:bCs/>
                <w:i w:val="false"/>
                <w:iCs w:val="false"/>
                <w:color w:val="1A5C35"/>
                <w:sz w:val="18"/>
                <w:szCs w:val="18"/>
              </w:rPr>
              <w:t xml:space="preserve">+£48,000</w:t>
            </w:r>
          </w:p>
        </w:tc>
        <w:tc>
          <w:tcPr>
            <w:tcW w:type="dxa" w:w="2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£471,000</w:t>
            </w:r>
          </w:p>
        </w:tc>
        <w:tc>
          <w:tcPr>
            <w:tcW w:type="dxa" w:w="15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Phase 2 launch</w:t>
            </w:r>
          </w:p>
        </w:tc>
      </w:tr>
      <w:tr>
        <w:tc>
          <w:tcPr>
            <w:tcW w:type="dxa" w:w="3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Management accounts — 30 clients at £100/month</w:t>
            </w:r>
          </w:p>
        </w:tc>
        <w:tc>
          <w:tcPr>
            <w:tcW w:type="dxa" w:w="1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right"/>
            </w:pPr>
            <w:r>
              <w:rPr>
                <w:rFonts w:ascii="Arial" w:cs="Arial" w:eastAsia="Arial" w:hAnsi="Arial"/>
                <w:b/>
                <w:bCs/>
                <w:i w:val="false"/>
                <w:iCs w:val="false"/>
                <w:color w:val="1A5C35"/>
                <w:sz w:val="18"/>
                <w:szCs w:val="18"/>
              </w:rPr>
              <w:t xml:space="preserve">+£36,000</w:t>
            </w:r>
          </w:p>
        </w:tc>
        <w:tc>
          <w:tcPr>
            <w:tcW w:type="dxa" w:w="2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1A202C"/>
                <w:sz w:val="18"/>
                <w:szCs w:val="18"/>
              </w:rPr>
              <w:t xml:space="preserve">£507,000</w:t>
            </w:r>
          </w:p>
        </w:tc>
        <w:tc>
          <w:tcPr>
            <w:tcW w:type="dxa" w:w="15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Phase 2 scaling</w:t>
            </w:r>
          </w:p>
        </w:tc>
      </w:tr>
      <w:tr>
        <w:tc>
          <w:tcPr>
            <w:tcW w:type="dxa" w:w="38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Organic new client growth</w:t>
            </w:r>
          </w:p>
        </w:tc>
        <w:tc>
          <w:tcPr>
            <w:tcW w:type="dxa" w:w="16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right"/>
            </w:pPr>
            <w:r>
              <w:rPr>
                <w:rFonts w:ascii="Arial" w:cs="Arial" w:eastAsia="Arial" w:hAnsi="Arial"/>
                <w:b/>
                <w:bCs/>
                <w:i w:val="false"/>
                <w:iCs w:val="false"/>
                <w:color w:val="1A5C35"/>
                <w:sz w:val="18"/>
                <w:szCs w:val="18"/>
              </w:rPr>
              <w:t xml:space="preserve">+£50,000</w:t>
            </w:r>
          </w:p>
        </w:tc>
        <w:tc>
          <w:tcPr>
            <w:tcW w:type="dxa" w:w="24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£557,000</w:t>
            </w:r>
          </w:p>
        </w:tc>
        <w:tc>
          <w:tcPr>
            <w:tcW w:type="dxa" w:w="156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Ongoing referral engine</w:t>
            </w:r>
          </w:p>
        </w:tc>
      </w:tr>
    </w:tbl>
    <w:p>
      <w:pPr>
        <w:spacing w:before="0" w:after="80"/>
      </w:pPr>
      <w:r>
        <w:t xml:space="preserve"/>
      </w:r>
    </w:p>
    <w:p>
      <w:pPr>
        <w:pBdr>
          <w:left w:val="single" w:color="C4922A" w:sz="20" w:space="14"/>
        </w:pBdr>
        <w:spacing w:before="120" w:after="120"/>
      </w:pPr>
      <w:r>
        <w:rPr>
          <w:rFonts w:ascii="Arial" w:cs="Arial" w:eastAsia="Arial" w:hAnsi="Arial"/>
          <w:b/>
          <w:bCs/>
          <w:i/>
          <w:iCs/>
          <w:color w:val="0C1D3B"/>
          <w:sz w:val="22"/>
          <w:szCs w:val="22"/>
        </w:rPr>
        <w:t xml:space="preserve">"After reaching £507k within 18–24 months, scaling to £750k–£1M becomes structurally realistic. The four levers: pricing discipline · recurring revenue · deeper services · leadership delegation."</w:t>
      </w:r>
    </w:p>
    <w:p>
      <w:pPr>
        <w:spacing w:before="0" w:after="80"/>
      </w:pPr>
      <w:r>
        <w:t xml:space="preserve"/>
      </w:r>
    </w:p>
    <w:p>
      <w:pPr>
        <w:pStyle w:val="Heading2"/>
        <w:spacing w:before="280" w:after="100"/>
      </w:pPr>
      <w:r>
        <w:rPr>
          <w:rFonts w:ascii="Arial" w:cs="Arial" w:eastAsia="Arial" w:hAnsi="Arial"/>
          <w:b/>
          <w:bCs/>
          <w:color w:val="1A3A6E"/>
          <w:sz w:val="24"/>
          <w:szCs w:val="24"/>
        </w:rPr>
        <w:t xml:space="preserve">Realistic Firm Trajectory — If This Plan Is Executed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c>
          <w:tcPr>
            <w:tcW w:type="dxa" w:w="1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Year</w:t>
            </w:r>
          </w:p>
        </w:tc>
        <w:tc>
          <w:tcPr>
            <w:tcW w:type="dxa" w:w="16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Revenue</w:t>
            </w:r>
          </w:p>
        </w:tc>
        <w:tc>
          <w:tcPr>
            <w:tcW w:type="dxa" w:w="24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Primary focus</w:t>
            </w:r>
          </w:p>
        </w:tc>
        <w:tc>
          <w:tcPr>
            <w:tcW w:type="dxa" w:w="41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Key milestone</w:t>
            </w:r>
          </w:p>
        </w:tc>
      </w:tr>
      <w:tr>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C4922A"/>
                <w:sz w:val="18"/>
                <w:szCs w:val="18"/>
              </w:rPr>
              <w:t xml:space="preserve">2026</w:t>
            </w:r>
          </w:p>
        </w:tc>
        <w:tc>
          <w:tcPr>
            <w:tcW w:type="dxa" w:w="1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£420k–£450k</w:t>
            </w:r>
          </w:p>
        </w:tc>
        <w:tc>
          <w:tcPr>
            <w:tcW w:type="dxa" w:w="2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Monetisation phase</w:t>
            </w:r>
          </w:p>
        </w:tc>
        <w:tc>
          <w:tcPr>
            <w:tcW w:type="dxa" w:w="41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New pricing live · £75 cohort uplifted · GC at 180+</w:t>
            </w:r>
          </w:p>
        </w:tc>
      </w:tr>
      <w:tr>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C4922A"/>
                <w:sz w:val="18"/>
                <w:szCs w:val="18"/>
              </w:rPr>
              <w:t xml:space="preserve">2027</w:t>
            </w:r>
          </w:p>
        </w:tc>
        <w:tc>
          <w:tcPr>
            <w:tcW w:type="dxa" w:w="1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£550k</w:t>
            </w:r>
          </w:p>
        </w:tc>
        <w:tc>
          <w:tcPr>
            <w:tcW w:type="dxa" w:w="2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Service depth</w:t>
            </w:r>
          </w:p>
        </w:tc>
        <w:tc>
          <w:tcPr>
            <w:tcW w:type="dxa" w:w="4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Hassan managing 60+ portfolios · bookkeeping launched</w:t>
            </w:r>
          </w:p>
        </w:tc>
      </w:tr>
      <w:tr>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C4922A"/>
                <w:sz w:val="18"/>
                <w:szCs w:val="18"/>
              </w:rPr>
              <w:t xml:space="preserve">2028</w:t>
            </w:r>
          </w:p>
        </w:tc>
        <w:tc>
          <w:tcPr>
            <w:tcW w:type="dxa" w:w="1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£700k</w:t>
            </w:r>
          </w:p>
        </w:tc>
        <w:tc>
          <w:tcPr>
            <w:tcW w:type="dxa" w:w="24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Advisory + second hire</w:t>
            </w:r>
          </w:p>
        </w:tc>
        <w:tc>
          <w:tcPr>
            <w:tcW w:type="dxa" w:w="41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Management accounts for 30+ · second senior hired</w:t>
            </w:r>
          </w:p>
        </w:tc>
      </w:tr>
      <w:tr>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C4922A"/>
                <w:sz w:val="18"/>
                <w:szCs w:val="18"/>
              </w:rPr>
              <w:t xml:space="preserve">2029</w:t>
            </w:r>
          </w:p>
        </w:tc>
        <w:tc>
          <w:tcPr>
            <w:tcW w:type="dxa" w:w="1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£850k</w:t>
            </w:r>
          </w:p>
        </w:tc>
        <w:tc>
          <w:tcPr>
            <w:tcW w:type="dxa" w:w="24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Systemised scaling</w:t>
            </w:r>
          </w:p>
        </w:tc>
        <w:tc>
          <w:tcPr>
            <w:tcW w:type="dxa" w:w="41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Founder concentration materially reduced</w:t>
            </w:r>
          </w:p>
        </w:tc>
      </w:tr>
      <w:tr>
        <w:tc>
          <w:tcPr>
            <w:tcW w:type="dxa" w:w="12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bCs/>
                <w:i w:val="false"/>
                <w:iCs w:val="false"/>
                <w:color w:val="C4922A"/>
                <w:sz w:val="18"/>
                <w:szCs w:val="18"/>
              </w:rPr>
              <w:t xml:space="preserve">2030–2032</w:t>
            </w:r>
          </w:p>
        </w:tc>
        <w:tc>
          <w:tcPr>
            <w:tcW w:type="dxa" w:w="16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bCs/>
                <w:i w:val="false"/>
                <w:iCs w:val="false"/>
                <w:color w:val="1A5C35"/>
                <w:sz w:val="18"/>
                <w:szCs w:val="18"/>
              </w:rPr>
              <w:t xml:space="preserve">£1,000,000</w:t>
            </w:r>
          </w:p>
        </w:tc>
        <w:tc>
          <w:tcPr>
            <w:tcW w:type="dxa" w:w="24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A202C"/>
                <w:sz w:val="18"/>
                <w:szCs w:val="18"/>
              </w:rPr>
              <w:t xml:space="preserve">Regional platform</w:t>
            </w:r>
          </w:p>
        </w:tc>
        <w:tc>
          <w:tcPr>
            <w:tcW w:type="dxa" w:w="416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All four structural advantages fully operational</w:t>
            </w:r>
          </w:p>
        </w:tc>
      </w:tr>
    </w:tbl>
    <w:p>
      <w:r>
        <w:br w:type="page"/>
      </w:r>
    </w:p>
    <w:p>
      <w:pPr>
        <w:pStyle w:val="Heading1"/>
        <w:pBdr>
          <w:bottom w:val="single" w:color="C4922A" w:sz="6" w:space="6"/>
        </w:pBdr>
        <w:spacing w:before="440" w:after="180"/>
      </w:pPr>
      <w:r>
        <w:rPr>
          <w:rFonts w:ascii="Arial" w:cs="Arial" w:eastAsia="Arial" w:hAnsi="Arial"/>
          <w:b/>
          <w:bCs/>
          <w:color w:val="0C1D3B"/>
          <w:sz w:val="30"/>
          <w:szCs w:val="30"/>
        </w:rPr>
        <w:t xml:space="preserve">15. The Managing Partner Weekly Routine</w:t>
      </w:r>
    </w:p>
    <w:p>
      <w:pPr>
        <w:spacing w:before="60" w:after="100"/>
      </w:pPr>
      <w:r>
        <w:rPr>
          <w:rFonts w:ascii="Arial" w:cs="Arial" w:eastAsia="Arial" w:hAnsi="Arial"/>
          <w:b w:val="false"/>
          <w:bCs w:val="false"/>
          <w:i w:val="false"/>
          <w:iCs w:val="false"/>
          <w:color w:val="1A202C"/>
          <w:sz w:val="20"/>
          <w:szCs w:val="20"/>
        </w:rPr>
        <w:t xml:space="preserve">When partners run £1M–£5M accountancy firms, their biggest skill is not technical accounting — it is how they use their time. Most small-firm owners spend 80–90% of their time doing work. Scaling firm leaders spend 50–70% of their time managing the business itself. The goal is to move from Chief Technician to Managing Partner.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61C2E" w:sz="4"/>
              <w:left w:val="single" w:color="A61C2E" w:sz="4"/>
              <w:bottom w:val="single" w:color="A61C2E" w:sz="4"/>
              <w:right w:val="single" w:color="A61C2E" w:sz="4"/>
            </w:tcBorders>
            <w:shd w:fill="FFF5F5" w:val="clear"/>
            <w:tcMar>
              <w:top w:type="dxa" w:w="140"/>
              <w:left w:type="dxa" w:w="200"/>
              <w:bottom w:type="dxa" w:w="140"/>
              <w:right w:type="dxa" w:w="200"/>
            </w:tcMar>
          </w:tcPr>
          <w:p>
            <w:r>
              <w:rPr>
                <w:rFonts w:ascii="Arial" w:cs="Arial" w:eastAsia="Arial" w:hAnsi="Arial"/>
                <w:b/>
                <w:bCs/>
                <w:color w:val="A61C2E"/>
                <w:sz w:val="18"/>
                <w:szCs w:val="18"/>
              </w:rPr>
              <w:t xml:space="preserve">£300k Owner</w:t>
            </w:r>
          </w:p>
          <w:p>
            <w:pPr>
              <w:spacing w:before="60" w:after="0"/>
            </w:pPr>
            <w:r>
              <w:rPr>
                <w:rFonts w:ascii="Arial" w:cs="Arial" w:eastAsia="Arial" w:hAnsi="Arial"/>
                <w:color w:val="1A202C"/>
                <w:sz w:val="18"/>
                <w:szCs w:val="18"/>
              </w:rPr>
              <w:t xml:space="preserve">Works inside the firm. Spends 80–90% of time doing compliance work. Firm is capped by one person's capacity and hours.</w:t>
            </w:r>
          </w:p>
        </w:tc>
        <w:tc>
          <w:tcPr>
            <w:tcW w:type="dxa" w:w="4680"/>
            <w:tcBorders>
              <w:top w:val="single" w:color="1A5C35" w:sz="4"/>
              <w:left w:val="single" w:color="1A5C35" w:sz="4"/>
              <w:bottom w:val="single" w:color="1A5C35" w:sz="4"/>
              <w:right w:val="single" w:color="1A5C35" w:sz="4"/>
            </w:tcBorders>
            <w:shd w:fill="F0FDF4" w:val="clear"/>
            <w:tcMar>
              <w:top w:type="dxa" w:w="140"/>
              <w:left w:type="dxa" w:w="200"/>
              <w:bottom w:type="dxa" w:w="140"/>
              <w:right w:type="dxa" w:w="200"/>
            </w:tcMar>
          </w:tcPr>
          <w:p>
            <w:r>
              <w:rPr>
                <w:rFonts w:ascii="Arial" w:cs="Arial" w:eastAsia="Arial" w:hAnsi="Arial"/>
                <w:b/>
                <w:bCs/>
                <w:color w:val="1A5C35"/>
                <w:sz w:val="18"/>
                <w:szCs w:val="18"/>
              </w:rPr>
              <w:t xml:space="preserve">£1M Managing Partner</w:t>
            </w:r>
          </w:p>
          <w:p>
            <w:pPr>
              <w:spacing w:before="60" w:after="0"/>
            </w:pPr>
            <w:r>
              <w:rPr>
                <w:rFonts w:ascii="Arial" w:cs="Arial" w:eastAsia="Arial" w:hAnsi="Arial"/>
                <w:color w:val="1A202C"/>
                <w:sz w:val="18"/>
                <w:szCs w:val="18"/>
              </w:rPr>
              <w:t xml:space="preserve">Works on the firm. Spends 50–70% of time on leadership, strategy, and growth. Firm scales beyond individual capacity.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22A" w:sz="4"/>
              <w:left w:val="single" w:color="C4922A" w:sz="4"/>
              <w:bottom w:val="single" w:color="C4922A" w:sz="4"/>
              <w:right w:val="single" w:color="C4922A" w:sz="4"/>
            </w:tcBorders>
            <w:shd w:fill="C4922A" w:val="clear"/>
            <w:tcMar>
              <w:top w:type="dxa" w:w="120"/>
              <w:left w:type="dxa" w:w="200"/>
              <w:bottom w:type="dxa" w:w="120"/>
              <w:right w:type="dxa" w:w="200"/>
            </w:tcMar>
          </w:tcPr>
          <w:p>
            <w:r>
              <w:rPr>
                <w:rFonts w:ascii="Arial" w:cs="Arial" w:eastAsia="Arial" w:hAnsi="Arial"/>
                <w:b/>
                <w:bCs/>
                <w:color w:val="FFFFFF"/>
                <w:sz w:val="24"/>
                <w:szCs w:val="24"/>
              </w:rPr>
              <w:t xml:space="preserve">Monday — Leadership &amp; Planning</w:t>
            </w:r>
          </w:p>
          <w:p>
            <w:pPr>
              <w:spacing w:before="40" w:after="0"/>
            </w:pPr>
            <w:r>
              <w:rPr>
                <w:rFonts w:ascii="Arial" w:cs="Arial" w:eastAsia="Arial" w:hAnsi="Arial"/>
                <w:color w:val="D0D8E8"/>
                <w:sz w:val="17"/>
                <w:szCs w:val="17"/>
              </w:rPr>
              <w:t xml:space="preserve">Suggested time: 2–3 hours</w:t>
            </w:r>
          </w:p>
        </w:tc>
      </w:tr>
    </w:tbl>
    <w:p>
      <w:pPr>
        <w:pStyle w:val="ListParagraph"/>
        <w:numPr>
          <w:ilvl w:val="0"/>
          <w:numId w:val="2"/>
        </w:numPr>
        <w:spacing w:before="40" w:after="40"/>
      </w:pPr>
      <w:r>
        <w:rPr>
          <w:rFonts w:ascii="Arial" w:cs="Arial" w:eastAsia="Arial" w:hAnsi="Arial"/>
          <w:color w:val="1A202C"/>
          <w:sz w:val="19"/>
          <w:szCs w:val="19"/>
        </w:rPr>
        <w:t xml:space="preserve">Staff workflow overview — accounts ready for review, payroll deadlines, problem clients.</w:t>
      </w:r>
    </w:p>
    <w:p>
      <w:pPr>
        <w:pStyle w:val="ListParagraph"/>
        <w:numPr>
          <w:ilvl w:val="0"/>
          <w:numId w:val="2"/>
        </w:numPr>
        <w:spacing w:before="40" w:after="40"/>
      </w:pPr>
      <w:r>
        <w:rPr>
          <w:rFonts w:ascii="Arial" w:cs="Arial" w:eastAsia="Arial" w:hAnsi="Arial"/>
          <w:color w:val="1A202C"/>
          <w:sz w:val="19"/>
          <w:szCs w:val="19"/>
        </w:rPr>
        <w:t xml:space="preserve">Key deadlines for the week — CH filings, VAT submissions, important client meetings.</w:t>
      </w:r>
    </w:p>
    <w:p>
      <w:pPr>
        <w:pStyle w:val="ListParagraph"/>
        <w:numPr>
          <w:ilvl w:val="0"/>
          <w:numId w:val="2"/>
        </w:numPr>
        <w:spacing w:before="40" w:after="40"/>
      </w:pPr>
      <w:r>
        <w:rPr>
          <w:rFonts w:ascii="Arial" w:cs="Arial" w:eastAsia="Arial" w:hAnsi="Arial"/>
          <w:color w:val="1A202C"/>
          <w:sz w:val="19"/>
          <w:szCs w:val="19"/>
        </w:rPr>
        <w:t xml:space="preserve">Bottlenecks in accounts or payroll production — identify and address early.</w:t>
      </w:r>
    </w:p>
    <w:p>
      <w:pPr>
        <w:pStyle w:val="ListParagraph"/>
        <w:numPr>
          <w:ilvl w:val="0"/>
          <w:numId w:val="2"/>
        </w:numPr>
        <w:spacing w:before="40" w:after="40"/>
      </w:pPr>
      <w:r>
        <w:rPr>
          <w:rFonts w:ascii="Arial" w:cs="Arial" w:eastAsia="Arial" w:hAnsi="Arial"/>
          <w:color w:val="1A202C"/>
          <w:sz w:val="19"/>
          <w:szCs w:val="19"/>
        </w:rPr>
        <w:t xml:space="preserve">New client onboarding status — data capture complete, DD mandates signed?</w:t>
      </w:r>
    </w:p>
    <w:p>
      <w:pPr>
        <w:pStyle w:val="ListParagraph"/>
        <w:numPr>
          <w:ilvl w:val="0"/>
          <w:numId w:val="2"/>
        </w:numPr>
        <w:spacing w:before="40" w:after="40"/>
      </w:pPr>
      <w:r>
        <w:rPr>
          <w:rFonts w:ascii="Arial" w:cs="Arial" w:eastAsia="Arial" w:hAnsi="Arial"/>
          <w:color w:val="1A202C"/>
          <w:sz w:val="19"/>
          <w:szCs w:val="19"/>
        </w:rPr>
        <w:t xml:space="preserve">Short meeting with Hassan and Aminul — 20–30 minutes. Keep it structured.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E" w:sz="4"/>
              <w:left w:val="single" w:color="1A3A6E" w:sz="4"/>
              <w:bottom w:val="single" w:color="1A3A6E" w:sz="4"/>
              <w:right w:val="single" w:color="1A3A6E" w:sz="4"/>
            </w:tcBorders>
            <w:shd w:fill="1A3A6E" w:val="clear"/>
            <w:tcMar>
              <w:top w:type="dxa" w:w="120"/>
              <w:left w:type="dxa" w:w="200"/>
              <w:bottom w:type="dxa" w:w="120"/>
              <w:right w:type="dxa" w:w="200"/>
            </w:tcMar>
          </w:tcPr>
          <w:p>
            <w:r>
              <w:rPr>
                <w:rFonts w:ascii="Arial" w:cs="Arial" w:eastAsia="Arial" w:hAnsi="Arial"/>
                <w:b/>
                <w:bCs/>
                <w:color w:val="FFFFFF"/>
                <w:sz w:val="24"/>
                <w:szCs w:val="24"/>
              </w:rPr>
              <w:t xml:space="preserve">Tuesday — High-Value Client Work</w:t>
            </w:r>
          </w:p>
          <w:p>
            <w:pPr>
              <w:spacing w:before="40" w:after="0"/>
            </w:pPr>
            <w:r>
              <w:rPr>
                <w:rFonts w:ascii="Arial" w:cs="Arial" w:eastAsia="Arial" w:hAnsi="Arial"/>
                <w:color w:val="D0D8E8"/>
                <w:sz w:val="17"/>
                <w:szCs w:val="17"/>
              </w:rPr>
              <w:t xml:space="preserve">Suggested time: 4–5 hours</w:t>
            </w:r>
          </w:p>
        </w:tc>
      </w:tr>
    </w:tbl>
    <w:p>
      <w:pPr>
        <w:pStyle w:val="ListParagraph"/>
        <w:numPr>
          <w:ilvl w:val="0"/>
          <w:numId w:val="2"/>
        </w:numPr>
        <w:spacing w:before="40" w:after="40"/>
      </w:pPr>
      <w:r>
        <w:rPr>
          <w:rFonts w:ascii="Arial" w:cs="Arial" w:eastAsia="Arial" w:hAnsi="Arial"/>
          <w:color w:val="1A202C"/>
          <w:sz w:val="19"/>
          <w:szCs w:val="19"/>
        </w:rPr>
        <w:t xml:space="preserve">Multi-company clients and restaurant groups — accounts review and tax planning.</w:t>
      </w:r>
    </w:p>
    <w:p>
      <w:pPr>
        <w:pStyle w:val="ListParagraph"/>
        <w:numPr>
          <w:ilvl w:val="0"/>
          <w:numId w:val="2"/>
        </w:numPr>
        <w:spacing w:before="40" w:after="40"/>
      </w:pPr>
      <w:r>
        <w:rPr>
          <w:rFonts w:ascii="Arial" w:cs="Arial" w:eastAsia="Arial" w:hAnsi="Arial"/>
          <w:color w:val="1A202C"/>
          <w:sz w:val="19"/>
          <w:szCs w:val="19"/>
        </w:rPr>
        <w:t xml:space="preserve">Property investors — structuring, dividend planning, SA considerations.</w:t>
      </w:r>
    </w:p>
    <w:p>
      <w:pPr>
        <w:pStyle w:val="ListParagraph"/>
        <w:numPr>
          <w:ilvl w:val="0"/>
          <w:numId w:val="2"/>
        </w:numPr>
        <w:spacing w:before="40" w:after="40"/>
      </w:pPr>
      <w:r>
        <w:rPr>
          <w:rFonts w:ascii="Arial" w:cs="Arial" w:eastAsia="Arial" w:hAnsi="Arial"/>
          <w:color w:val="1A202C"/>
          <w:sz w:val="19"/>
          <w:szCs w:val="19"/>
        </w:rPr>
        <w:t xml:space="preserve">Long-term Tier A clients who refer others — relationship maintenance and deepening.</w:t>
      </w:r>
    </w:p>
    <w:p>
      <w:pPr>
        <w:pStyle w:val="ListParagraph"/>
        <w:numPr>
          <w:ilvl w:val="0"/>
          <w:numId w:val="2"/>
        </w:numPr>
        <w:spacing w:before="40" w:after="40"/>
      </w:pPr>
      <w:r>
        <w:rPr>
          <w:rFonts w:ascii="Arial" w:cs="Arial" w:eastAsia="Arial" w:hAnsi="Arial"/>
          <w:color w:val="1A202C"/>
          <w:sz w:val="19"/>
          <w:szCs w:val="19"/>
        </w:rPr>
        <w:t xml:space="preserve">Complex advisory: expansion, restructuring, second companies, group structures.</w:t>
      </w:r>
    </w:p>
    <w:p>
      <w:pPr>
        <w:pStyle w:val="ListParagraph"/>
        <w:numPr>
          <w:ilvl w:val="0"/>
          <w:numId w:val="2"/>
        </w:numPr>
        <w:spacing w:before="40" w:after="40"/>
      </w:pPr>
      <w:r>
        <w:rPr>
          <w:rFonts w:ascii="Arial" w:cs="Arial" w:eastAsia="Arial" w:hAnsi="Arial"/>
          <w:color w:val="1A202C"/>
          <w:sz w:val="19"/>
          <w:szCs w:val="19"/>
        </w:rPr>
        <w:t xml:space="preserve">Avoid spending Tuesday on routine compliance queries — those belong to the team.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5" w:sz="4"/>
              <w:left w:val="single" w:color="1A5C35" w:sz="4"/>
              <w:bottom w:val="single" w:color="1A5C35" w:sz="4"/>
              <w:right w:val="single" w:color="1A5C35" w:sz="4"/>
            </w:tcBorders>
            <w:shd w:fill="1A5C35" w:val="clear"/>
            <w:tcMar>
              <w:top w:type="dxa" w:w="120"/>
              <w:left w:type="dxa" w:w="200"/>
              <w:bottom w:type="dxa" w:w="120"/>
              <w:right w:type="dxa" w:w="200"/>
            </w:tcMar>
          </w:tcPr>
          <w:p>
            <w:r>
              <w:rPr>
                <w:rFonts w:ascii="Arial" w:cs="Arial" w:eastAsia="Arial" w:hAnsi="Arial"/>
                <w:b/>
                <w:bCs/>
                <w:color w:val="FFFFFF"/>
                <w:sz w:val="24"/>
                <w:szCs w:val="24"/>
              </w:rPr>
              <w:t xml:space="preserve">Wednesday — Business Development</w:t>
            </w:r>
          </w:p>
          <w:p>
            <w:pPr>
              <w:spacing w:before="40" w:after="0"/>
            </w:pPr>
            <w:r>
              <w:rPr>
                <w:rFonts w:ascii="Arial" w:cs="Arial" w:eastAsia="Arial" w:hAnsi="Arial"/>
                <w:color w:val="D0D8E8"/>
                <w:sz w:val="17"/>
                <w:szCs w:val="17"/>
              </w:rPr>
              <w:t xml:space="preserve">Suggested time: 3–4 hours</w:t>
            </w:r>
          </w:p>
        </w:tc>
      </w:tr>
    </w:tbl>
    <w:p>
      <w:pPr>
        <w:pStyle w:val="ListParagraph"/>
        <w:numPr>
          <w:ilvl w:val="0"/>
          <w:numId w:val="2"/>
        </w:numPr>
        <w:spacing w:before="40" w:after="40"/>
      </w:pPr>
      <w:r>
        <w:rPr>
          <w:rFonts w:ascii="Arial" w:cs="Arial" w:eastAsia="Arial" w:hAnsi="Arial"/>
          <w:color w:val="1A202C"/>
          <w:sz w:val="19"/>
          <w:szCs w:val="19"/>
        </w:rPr>
        <w:t xml:space="preserve">Meet potential clients within the hospitality community — referrals and warm introductions.</w:t>
      </w:r>
    </w:p>
    <w:p>
      <w:pPr>
        <w:pStyle w:val="ListParagraph"/>
        <w:numPr>
          <w:ilvl w:val="0"/>
          <w:numId w:val="2"/>
        </w:numPr>
        <w:spacing w:before="40" w:after="40"/>
      </w:pPr>
      <w:r>
        <w:rPr>
          <w:rFonts w:ascii="Arial" w:cs="Arial" w:eastAsia="Arial" w:hAnsi="Arial"/>
          <w:color w:val="1A202C"/>
          <w:sz w:val="19"/>
          <w:szCs w:val="19"/>
        </w:rPr>
        <w:t xml:space="preserve">Visit successful restaurant owners — show genuine interest in their growth.</w:t>
      </w:r>
    </w:p>
    <w:p>
      <w:pPr>
        <w:pStyle w:val="ListParagraph"/>
        <w:numPr>
          <w:ilvl w:val="0"/>
          <w:numId w:val="2"/>
        </w:numPr>
        <w:spacing w:before="40" w:after="40"/>
      </w:pPr>
      <w:r>
        <w:rPr>
          <w:rFonts w:ascii="Arial" w:cs="Arial" w:eastAsia="Arial" w:hAnsi="Arial"/>
          <w:color w:val="1A202C"/>
          <w:sz w:val="19"/>
          <w:szCs w:val="19"/>
        </w:rPr>
        <w:t xml:space="preserve">Maintain relationships with suppliers, solicitors, and property contacts within the network.</w:t>
      </w:r>
    </w:p>
    <w:p>
      <w:pPr>
        <w:pStyle w:val="ListParagraph"/>
        <w:numPr>
          <w:ilvl w:val="0"/>
          <w:numId w:val="2"/>
        </w:numPr>
        <w:spacing w:before="40" w:after="40"/>
      </w:pPr>
      <w:r>
        <w:rPr>
          <w:rFonts w:ascii="Arial" w:cs="Arial" w:eastAsia="Arial" w:hAnsi="Arial"/>
          <w:color w:val="1A202C"/>
          <w:sz w:val="19"/>
          <w:szCs w:val="19"/>
        </w:rPr>
        <w:t xml:space="preserve">Follow up referrals and outstanding new client fee proposals.</w:t>
      </w:r>
    </w:p>
    <w:p>
      <w:pPr>
        <w:pStyle w:val="ListParagraph"/>
        <w:numPr>
          <w:ilvl w:val="0"/>
          <w:numId w:val="2"/>
        </w:numPr>
        <w:spacing w:before="40" w:after="40"/>
      </w:pPr>
      <w:r>
        <w:rPr>
          <w:rFonts w:ascii="Arial" w:cs="Arial" w:eastAsia="Arial" w:hAnsi="Arial"/>
          <w:color w:val="1A202C"/>
          <w:sz w:val="19"/>
          <w:szCs w:val="19"/>
        </w:rPr>
        <w:t xml:space="preserve">Even one strong new relationship per week compounds significantly over 12 months.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568" w:sz="4"/>
              <w:left w:val="single" w:color="4A5568" w:sz="4"/>
              <w:bottom w:val="single" w:color="4A5568" w:sz="4"/>
              <w:right w:val="single" w:color="4A5568" w:sz="4"/>
            </w:tcBorders>
            <w:shd w:fill="4A5568" w:val="clear"/>
            <w:tcMar>
              <w:top w:type="dxa" w:w="120"/>
              <w:left w:type="dxa" w:w="200"/>
              <w:bottom w:type="dxa" w:w="120"/>
              <w:right w:type="dxa" w:w="200"/>
            </w:tcMar>
          </w:tcPr>
          <w:p>
            <w:r>
              <w:rPr>
                <w:rFonts w:ascii="Arial" w:cs="Arial" w:eastAsia="Arial" w:hAnsi="Arial"/>
                <w:b/>
                <w:bCs/>
                <w:color w:val="FFFFFF"/>
                <w:sz w:val="24"/>
                <w:szCs w:val="24"/>
              </w:rPr>
              <w:t xml:space="preserve">Thursday — Systems and Improvement</w:t>
            </w:r>
          </w:p>
          <w:p>
            <w:pPr>
              <w:spacing w:before="40" w:after="0"/>
            </w:pPr>
            <w:r>
              <w:rPr>
                <w:rFonts w:ascii="Arial" w:cs="Arial" w:eastAsia="Arial" w:hAnsi="Arial"/>
                <w:color w:val="D0D8E8"/>
                <w:sz w:val="17"/>
                <w:szCs w:val="17"/>
              </w:rPr>
              <w:t xml:space="preserve">Suggested time: 3 hours</w:t>
            </w:r>
          </w:p>
        </w:tc>
      </w:tr>
    </w:tbl>
    <w:p>
      <w:pPr>
        <w:pStyle w:val="ListParagraph"/>
        <w:numPr>
          <w:ilvl w:val="0"/>
          <w:numId w:val="2"/>
        </w:numPr>
        <w:spacing w:before="40" w:after="40"/>
      </w:pPr>
      <w:r>
        <w:rPr>
          <w:rFonts w:ascii="Arial" w:cs="Arial" w:eastAsia="Arial" w:hAnsi="Arial"/>
          <w:color w:val="1A202C"/>
          <w:sz w:val="19"/>
          <w:szCs w:val="19"/>
        </w:rPr>
        <w:t xml:space="preserve">Improve workflows — how does a file move from bookkeeping through to client sign-off?</w:t>
      </w:r>
    </w:p>
    <w:p>
      <w:pPr>
        <w:pStyle w:val="ListParagraph"/>
        <w:numPr>
          <w:ilvl w:val="0"/>
          <w:numId w:val="2"/>
        </w:numPr>
        <w:spacing w:before="40" w:after="40"/>
      </w:pPr>
      <w:r>
        <w:rPr>
          <w:rFonts w:ascii="Arial" w:cs="Arial" w:eastAsia="Arial" w:hAnsi="Arial"/>
          <w:color w:val="1A202C"/>
          <w:sz w:val="19"/>
          <w:szCs w:val="19"/>
        </w:rPr>
        <w:t xml:space="preserve">Update pricing structures and service documentation and bundle descriptions.</w:t>
      </w:r>
    </w:p>
    <w:p>
      <w:pPr>
        <w:pStyle w:val="ListParagraph"/>
        <w:numPr>
          <w:ilvl w:val="0"/>
          <w:numId w:val="2"/>
        </w:numPr>
        <w:spacing w:before="40" w:after="40"/>
      </w:pPr>
      <w:r>
        <w:rPr>
          <w:rFonts w:ascii="Arial" w:cs="Arial" w:eastAsia="Arial" w:hAnsi="Arial"/>
          <w:color w:val="1A202C"/>
          <w:sz w:val="19"/>
          <w:szCs w:val="19"/>
        </w:rPr>
        <w:t xml:space="preserve">Review and optimise the software stack: QBO, Bright Manager, portal, GoCardless.</w:t>
      </w:r>
    </w:p>
    <w:p>
      <w:pPr>
        <w:pStyle w:val="ListParagraph"/>
        <w:numPr>
          <w:ilvl w:val="0"/>
          <w:numId w:val="2"/>
        </w:numPr>
        <w:spacing w:before="40" w:after="40"/>
      </w:pPr>
      <w:r>
        <w:rPr>
          <w:rFonts w:ascii="Arial" w:cs="Arial" w:eastAsia="Arial" w:hAnsi="Arial"/>
          <w:color w:val="1A202C"/>
          <w:sz w:val="19"/>
          <w:szCs w:val="19"/>
        </w:rPr>
        <w:t xml:space="preserve">Train staff — Hassan on portfolio management; Aminul on workflow systems.</w:t>
      </w:r>
    </w:p>
    <w:p>
      <w:pPr>
        <w:pStyle w:val="ListParagraph"/>
        <w:numPr>
          <w:ilvl w:val="0"/>
          <w:numId w:val="2"/>
        </w:numPr>
        <w:spacing w:before="40" w:after="40"/>
      </w:pPr>
      <w:r>
        <w:rPr>
          <w:rFonts w:ascii="Arial" w:cs="Arial" w:eastAsia="Arial" w:hAnsi="Arial"/>
          <w:color w:val="1A202C"/>
          <w:sz w:val="19"/>
          <w:szCs w:val="19"/>
        </w:rPr>
        <w:t xml:space="preserve">Document one procedure per week — onboarding, accounts production, payroll cycle.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E" w:sz="4"/>
              <w:left w:val="single" w:color="1A3A6E" w:sz="4"/>
              <w:bottom w:val="single" w:color="1A3A6E" w:sz="4"/>
              <w:right w:val="single" w:color="1A3A6E" w:sz="4"/>
            </w:tcBorders>
            <w:shd w:fill="1A3A6E" w:val="clear"/>
            <w:tcMar>
              <w:top w:type="dxa" w:w="120"/>
              <w:left w:type="dxa" w:w="200"/>
              <w:bottom w:type="dxa" w:w="120"/>
              <w:right w:type="dxa" w:w="200"/>
            </w:tcMar>
          </w:tcPr>
          <w:p>
            <w:r>
              <w:rPr>
                <w:rFonts w:ascii="Arial" w:cs="Arial" w:eastAsia="Arial" w:hAnsi="Arial"/>
                <w:b/>
                <w:bCs/>
                <w:color w:val="FFFFFF"/>
                <w:sz w:val="24"/>
                <w:szCs w:val="24"/>
              </w:rPr>
              <w:t xml:space="preserve">Friday — Strategy and Financial Review</w:t>
            </w:r>
          </w:p>
          <w:p>
            <w:pPr>
              <w:spacing w:before="40" w:after="0"/>
            </w:pPr>
            <w:r>
              <w:rPr>
                <w:rFonts w:ascii="Arial" w:cs="Arial" w:eastAsia="Arial" w:hAnsi="Arial"/>
                <w:color w:val="D0D8E8"/>
                <w:sz w:val="17"/>
                <w:szCs w:val="17"/>
              </w:rPr>
              <w:t xml:space="preserve">Suggested time: 2–3 hours</w:t>
            </w:r>
          </w:p>
        </w:tc>
      </w:tr>
    </w:tbl>
    <w:p>
      <w:pPr>
        <w:pStyle w:val="ListParagraph"/>
        <w:numPr>
          <w:ilvl w:val="0"/>
          <w:numId w:val="2"/>
        </w:numPr>
        <w:spacing w:before="40" w:after="40"/>
      </w:pPr>
      <w:r>
        <w:rPr>
          <w:rFonts w:ascii="Arial" w:cs="Arial" w:eastAsia="Arial" w:hAnsi="Arial"/>
          <w:color w:val="1A202C"/>
          <w:sz w:val="19"/>
          <w:szCs w:val="19"/>
        </w:rPr>
        <w:t xml:space="preserve">Review MRR, GoCardless collections, new clients added, and outstanding invoices.</w:t>
      </w:r>
    </w:p>
    <w:p>
      <w:pPr>
        <w:pStyle w:val="ListParagraph"/>
        <w:numPr>
          <w:ilvl w:val="0"/>
          <w:numId w:val="2"/>
        </w:numPr>
        <w:spacing w:before="40" w:after="40"/>
      </w:pPr>
      <w:r>
        <w:rPr>
          <w:rFonts w:ascii="Arial" w:cs="Arial" w:eastAsia="Arial" w:hAnsi="Arial"/>
          <w:color w:val="1A202C"/>
          <w:sz w:val="19"/>
          <w:szCs w:val="19"/>
        </w:rPr>
        <w:t xml:space="preserve">Check staff workload and upcoming CH and HMRC filing deadlines.</w:t>
      </w:r>
    </w:p>
    <w:p>
      <w:pPr>
        <w:pStyle w:val="ListParagraph"/>
        <w:numPr>
          <w:ilvl w:val="0"/>
          <w:numId w:val="2"/>
        </w:numPr>
        <w:spacing w:before="40" w:after="40"/>
      </w:pPr>
      <w:r>
        <w:rPr>
          <w:rFonts w:ascii="Arial" w:cs="Arial" w:eastAsia="Arial" w:hAnsi="Arial"/>
          <w:color w:val="1A202C"/>
          <w:sz w:val="19"/>
          <w:szCs w:val="19"/>
        </w:rPr>
        <w:t xml:space="preserve">Reflect on strategic priorities: what is behind plan? what is ahead?</w:t>
      </w:r>
    </w:p>
    <w:p>
      <w:pPr>
        <w:pStyle w:val="ListParagraph"/>
        <w:numPr>
          <w:ilvl w:val="0"/>
          <w:numId w:val="2"/>
        </w:numPr>
        <w:spacing w:before="40" w:after="40"/>
      </w:pPr>
      <w:r>
        <w:rPr>
          <w:rFonts w:ascii="Arial" w:cs="Arial" w:eastAsia="Arial" w:hAnsi="Arial"/>
          <w:color w:val="1A202C"/>
          <w:sz w:val="19"/>
          <w:szCs w:val="19"/>
        </w:rPr>
        <w:t xml:space="preserve">Identify one decision that would move the firm forward next week.</w:t>
      </w:r>
    </w:p>
    <w:p>
      <w:pPr>
        <w:pStyle w:val="ListParagraph"/>
        <w:numPr>
          <w:ilvl w:val="0"/>
          <w:numId w:val="2"/>
        </w:numPr>
        <w:spacing w:before="40" w:after="40"/>
      </w:pPr>
      <w:r>
        <w:rPr>
          <w:rFonts w:ascii="Arial" w:cs="Arial" w:eastAsia="Arial" w:hAnsi="Arial"/>
          <w:color w:val="1A202C"/>
          <w:sz w:val="19"/>
          <w:szCs w:val="19"/>
        </w:rPr>
        <w:t xml:space="preserve">Use Friday afternoon for calm, uninterrupted thinking — not client-facing work.</w:t>
      </w:r>
    </w:p>
    <w:p>
      <w:pPr>
        <w:spacing w:before="0" w:after="80"/>
      </w:pPr>
      <w:r>
        <w:t xml:space="preserve"/>
      </w:r>
    </w:p>
    <w:p>
      <w:pPr>
        <w:pStyle w:val="Heading2"/>
        <w:spacing w:before="280" w:after="100"/>
      </w:pPr>
      <w:r>
        <w:rPr>
          <w:rFonts w:ascii="Arial" w:cs="Arial" w:eastAsia="Arial" w:hAnsi="Arial"/>
          <w:b/>
          <w:bCs/>
          <w:color w:val="1A3A6E"/>
          <w:sz w:val="24"/>
          <w:szCs w:val="24"/>
        </w:rPr>
        <w:t xml:space="preserve">Weekly Schedule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200"/>
        <w:gridCol w:w="4360"/>
      </w:tblGrid>
      <w:tr>
        <w:tc>
          <w:tcPr>
            <w:tcW w:type="dxa" w:w="16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Day</w:t>
            </w:r>
          </w:p>
        </w:tc>
        <w:tc>
          <w:tcPr>
            <w:tcW w:type="dxa" w:w="2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Theme</w:t>
            </w:r>
          </w:p>
        </w:tc>
        <w:tc>
          <w:tcPr>
            <w:tcW w:type="dxa" w:w="1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Hours</w:t>
            </w:r>
          </w:p>
        </w:tc>
        <w:tc>
          <w:tcPr>
            <w:tcW w:type="dxa" w:w="43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Primary activities</w:t>
            </w:r>
          </w:p>
        </w:tc>
      </w:tr>
      <w:tr>
        <w:tc>
          <w:tcPr>
            <w:tcW w:type="dxa" w:w="16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bCs/>
                <w:i w:val="false"/>
                <w:iCs w:val="false"/>
                <w:color w:val="C4922A"/>
                <w:sz w:val="18"/>
                <w:szCs w:val="18"/>
              </w:rPr>
              <w:t xml:space="preserve">Monday</w:t>
            </w:r>
          </w:p>
        </w:tc>
        <w:tc>
          <w:tcPr>
            <w:tcW w:type="dxa" w:w="22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Leadership &amp; Planning</w:t>
            </w:r>
          </w:p>
        </w:tc>
        <w:tc>
          <w:tcPr>
            <w:tcW w:type="dxa" w:w="120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2–3 hrs</w:t>
            </w:r>
          </w:p>
        </w:tc>
        <w:tc>
          <w:tcPr>
            <w:tcW w:type="dxa" w:w="4360"/>
            <w:tcBorders>
              <w:top w:val="single" w:color="E2E8EF" w:sz="4"/>
              <w:left w:val="single" w:color="E2E8EF" w:sz="4"/>
              <w:bottom w:val="single" w:color="E2E8EF" w:sz="4"/>
              <w:right w:val="single" w:color="E2E8EF" w:sz="4"/>
            </w:tcBorders>
            <w:shd w:fill="FDF8EE"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Team meeting · workflow overview · key deadlines · bottleneck resolution</w:t>
            </w:r>
          </w:p>
        </w:tc>
      </w:tr>
      <w:tr>
        <w:tc>
          <w:tcPr>
            <w:tcW w:type="dxa" w:w="1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C4922A"/>
                <w:sz w:val="18"/>
                <w:szCs w:val="18"/>
              </w:rPr>
              <w:t xml:space="preserve">Tuesday</w:t>
            </w:r>
          </w:p>
        </w:tc>
        <w:tc>
          <w:tcPr>
            <w:tcW w:type="dxa" w:w="2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High-Value Client Work</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4–5 hrs</w:t>
            </w:r>
          </w:p>
        </w:tc>
        <w:tc>
          <w:tcPr>
            <w:tcW w:type="dxa" w:w="4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Multi-company clients · restaurant groups · tax planning · advisory</w:t>
            </w:r>
          </w:p>
        </w:tc>
      </w:tr>
      <w:tr>
        <w:tc>
          <w:tcPr>
            <w:tcW w:type="dxa" w:w="1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C4922A"/>
                <w:sz w:val="18"/>
                <w:szCs w:val="18"/>
              </w:rPr>
              <w:t xml:space="preserve">Wednesday</w:t>
            </w:r>
          </w:p>
        </w:tc>
        <w:tc>
          <w:tcPr>
            <w:tcW w:type="dxa" w:w="2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Business Development</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3–4 hrs</w:t>
            </w:r>
          </w:p>
        </w:tc>
        <w:tc>
          <w:tcPr>
            <w:tcW w:type="dxa" w:w="43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Client meetings · hospitality networking · key relationships</w:t>
            </w:r>
          </w:p>
        </w:tc>
      </w:tr>
      <w:tr>
        <w:tc>
          <w:tcPr>
            <w:tcW w:type="dxa" w:w="16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C4922A"/>
                <w:sz w:val="18"/>
                <w:szCs w:val="18"/>
              </w:rPr>
              <w:t xml:space="preserve">Thursday</w:t>
            </w:r>
          </w:p>
        </w:tc>
        <w:tc>
          <w:tcPr>
            <w:tcW w:type="dxa" w:w="2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Systems &amp; Improvement</w:t>
            </w:r>
          </w:p>
        </w:tc>
        <w:tc>
          <w:tcPr>
            <w:tcW w:type="dxa" w:w="1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3 hrs</w:t>
            </w:r>
          </w:p>
        </w:tc>
        <w:tc>
          <w:tcPr>
            <w:tcW w:type="dxa" w:w="4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Workflow improvement · staff training · pricing review · process documentation</w:t>
            </w:r>
          </w:p>
        </w:tc>
      </w:tr>
      <w:tr>
        <w:tc>
          <w:tcPr>
            <w:tcW w:type="dxa" w:w="16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C4922A"/>
                <w:sz w:val="18"/>
                <w:szCs w:val="18"/>
              </w:rPr>
              <w:t xml:space="preserve">Friday</w:t>
            </w:r>
          </w:p>
        </w:tc>
        <w:tc>
          <w:tcPr>
            <w:tcW w:type="dxa" w:w="2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Strategy &amp; Financial Review</w:t>
            </w:r>
          </w:p>
        </w:tc>
        <w:tc>
          <w:tcPr>
            <w:tcW w:type="dxa" w:w="1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center"/>
            </w:pPr>
            <w:r>
              <w:rPr>
                <w:rFonts w:ascii="Arial" w:cs="Arial" w:eastAsia="Arial" w:hAnsi="Arial"/>
                <w:b w:val="false"/>
                <w:bCs w:val="false"/>
                <w:i w:val="false"/>
                <w:iCs w:val="false"/>
                <w:color w:val="4A5568"/>
                <w:sz w:val="18"/>
                <w:szCs w:val="18"/>
              </w:rPr>
              <w:t xml:space="preserve">2–3 hrs</w:t>
            </w:r>
          </w:p>
        </w:tc>
        <w:tc>
          <w:tcPr>
            <w:tcW w:type="dxa" w:w="43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MRR review · collections · strategic thinking · growth planning</w:t>
            </w:r>
          </w:p>
        </w:tc>
      </w:tr>
    </w:tbl>
    <w:p>
      <w:pPr>
        <w:spacing w:before="0" w:after="80"/>
      </w:pPr>
      <w:r>
        <w:t xml:space="preserve"/>
      </w:r>
    </w:p>
    <w:p>
      <w:pPr>
        <w:pStyle w:val="Heading2"/>
        <w:spacing w:before="280" w:after="100"/>
      </w:pPr>
      <w:r>
        <w:rPr>
          <w:rFonts w:ascii="Arial" w:cs="Arial" w:eastAsia="Arial" w:hAnsi="Arial"/>
          <w:b/>
          <w:bCs/>
          <w:color w:val="1A3A6E"/>
          <w:sz w:val="24"/>
          <w:szCs w:val="24"/>
        </w:rPr>
        <w:t xml:space="preserve">Friday Practice Health Check — 5 Numbers to Review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Metric</w:t>
            </w:r>
          </w:p>
        </w:tc>
        <w:tc>
          <w:tcPr>
            <w:tcW w:type="dxa" w:w="220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Where to find it</w:t>
            </w:r>
          </w:p>
        </w:tc>
        <w:tc>
          <w:tcPr>
            <w:tcW w:type="dxa" w:w="4360"/>
            <w:tcBorders>
              <w:top w:val="single" w:color="1A3A6E" w:sz="4"/>
              <w:left w:val="single" w:color="1A3A6E" w:sz="4"/>
              <w:bottom w:val="single" w:color="1A3A6E" w:sz="4"/>
              <w:right w:val="single" w:color="1A3A6E" w:sz="4"/>
            </w:tcBorders>
            <w:shd w:fill="0C1D3B" w:val="clear"/>
            <w:tcMar>
              <w:top w:type="dxa" w:w="120"/>
              <w:left w:type="dxa" w:w="160"/>
              <w:bottom w:type="dxa" w:w="120"/>
              <w:right w:type="dxa" w:w="160"/>
            </w:tcMar>
            <w:vAlign w:val="center"/>
          </w:tcPr>
          <w:p>
            <w:pPr>
              <w:jc w:val="left"/>
            </w:pPr>
            <w:r>
              <w:rPr>
                <w:rFonts w:ascii="Arial" w:cs="Arial" w:eastAsia="Arial" w:hAnsi="Arial"/>
                <w:b/>
                <w:bCs/>
                <w:color w:val="FFFFFF"/>
                <w:sz w:val="18"/>
                <w:szCs w:val="18"/>
              </w:rPr>
              <w:t xml:space="preserve">Why it matters</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Monthly recurring revenue (MRR)</w:t>
            </w:r>
          </w:p>
        </w:tc>
        <w:tc>
          <w:tcPr>
            <w:tcW w:type="dxa" w:w="2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Revenue Tracker portal</w:t>
            </w:r>
          </w:p>
        </w:tc>
        <w:tc>
          <w:tcPr>
            <w:tcW w:type="dxa" w:w="4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The most important single indicator of practice health and trajectory.</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New clients added this week</w:t>
            </w:r>
          </w:p>
        </w:tc>
        <w:tc>
          <w:tcPr>
            <w:tcW w:type="dxa" w:w="2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Ltd Tracker / onboarding log</w:t>
            </w:r>
          </w:p>
        </w:tc>
        <w:tc>
          <w:tcPr>
            <w:tcW w:type="dxa" w:w="43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Confirms whether the referral flywheel is spinning.</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Outstanding invoices and collections</w:t>
            </w:r>
          </w:p>
        </w:tc>
        <w:tc>
          <w:tcPr>
            <w:tcW w:type="dxa" w:w="2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QBO / billing</w:t>
            </w:r>
          </w:p>
        </w:tc>
        <w:tc>
          <w:tcPr>
            <w:tcW w:type="dxa" w:w="4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Cash flow indicator; identifies collection risk before it becomes a problem.</w:t>
            </w:r>
          </w:p>
        </w:tc>
      </w:tr>
      <w:tr>
        <w:tc>
          <w:tcPr>
            <w:tcW w:type="dxa" w:w="28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GoCardless collections vs plan</w:t>
            </w:r>
          </w:p>
        </w:tc>
        <w:tc>
          <w:tcPr>
            <w:tcW w:type="dxa" w:w="220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GoCardless dashboard</w:t>
            </w:r>
          </w:p>
        </w:tc>
        <w:tc>
          <w:tcPr>
            <w:tcW w:type="dxa" w:w="4360"/>
            <w:tcBorders>
              <w:top w:val="single" w:color="E2E8EF" w:sz="4"/>
              <w:left w:val="single" w:color="E2E8EF" w:sz="4"/>
              <w:bottom w:val="single" w:color="E2E8EF" w:sz="4"/>
              <w:right w:val="single" w:color="E2E8EF" w:sz="4"/>
            </w:tcBorders>
            <w:shd w:fill="F7F9FC"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Confirms recurring revenue is arriving; flags any failed payments early.</w:t>
            </w:r>
          </w:p>
        </w:tc>
      </w:tr>
      <w:tr>
        <w:tc>
          <w:tcPr>
            <w:tcW w:type="dxa" w:w="28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202C"/>
                <w:sz w:val="18"/>
                <w:szCs w:val="18"/>
              </w:rPr>
              <w:t xml:space="preserve">Staff workload and key deadlines</w:t>
            </w:r>
          </w:p>
        </w:tc>
        <w:tc>
          <w:tcPr>
            <w:tcW w:type="dxa" w:w="220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Staff management portal</w:t>
            </w:r>
          </w:p>
        </w:tc>
        <w:tc>
          <w:tcPr>
            <w:tcW w:type="dxa" w:w="4360"/>
            <w:tcBorders>
              <w:top w:val="single" w:color="E2E8EF" w:sz="4"/>
              <w:left w:val="single" w:color="E2E8EF" w:sz="4"/>
              <w:bottom w:val="single" w:color="E2E8EF" w:sz="4"/>
              <w:right w:val="single" w:color="E2E8EF" w:sz="4"/>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A5568"/>
                <w:sz w:val="18"/>
                <w:szCs w:val="18"/>
              </w:rPr>
              <w:t xml:space="preserve">Identifies bottlenecks before they become client-facing issues.</w:t>
            </w:r>
          </w:p>
        </w:tc>
      </w:tr>
    </w:tbl>
    <w:p>
      <w:pPr>
        <w:spacing w:before="0" w:after="80"/>
      </w:pPr>
      <w:r>
        <w:t xml:space="preserve"/>
      </w:r>
    </w:p>
    <w:p>
      <w:pPr>
        <w:pStyle w:val="Heading2"/>
        <w:spacing w:before="280" w:after="100"/>
      </w:pPr>
      <w:r>
        <w:rPr>
          <w:rFonts w:ascii="Arial" w:cs="Arial" w:eastAsia="Arial" w:hAnsi="Arial"/>
          <w:b/>
          <w:bCs/>
          <w:color w:val="1A3A6E"/>
          <w:sz w:val="24"/>
          <w:szCs w:val="24"/>
        </w:rPr>
        <w:t xml:space="preserve">What to Protect Your Time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EF" w:sz="4"/>
              <w:left w:val="single" w:color="E2E8EF" w:sz="4"/>
              <w:bottom w:val="single" w:color="E2E8EF" w:sz="4"/>
              <w:right w:val="single" w:color="E2E8EF" w:sz="4"/>
            </w:tcBorders>
            <w:shd w:fill="FFF5F5" w:val="clear"/>
            <w:tcMar>
              <w:top w:type="dxa" w:w="140"/>
              <w:left w:type="dxa" w:w="180"/>
              <w:bottom w:type="dxa" w:w="140"/>
              <w:right w:type="dxa" w:w="180"/>
            </w:tcMar>
          </w:tcPr>
          <w:p>
            <w:r>
              <w:rPr>
                <w:rFonts w:ascii="Arial" w:cs="Arial" w:eastAsia="Arial" w:hAnsi="Arial"/>
                <w:b/>
                <w:bCs/>
                <w:color w:val="A61C2E"/>
                <w:sz w:val="18"/>
                <w:szCs w:val="18"/>
              </w:rPr>
              <w:t xml:space="preserve">Stop doing (or delegate):</w:t>
            </w:r>
          </w:p>
          <w:p>
            <w:pPr>
              <w:pStyle w:val="ListParagraph"/>
              <w:numPr>
                <w:ilvl w:val="0"/>
                <w:numId w:val="2"/>
              </w:numPr>
              <w:spacing w:before="30" w:after="30"/>
            </w:pPr>
            <w:r>
              <w:rPr>
                <w:rFonts w:ascii="Arial" w:cs="Arial" w:eastAsia="Arial" w:hAnsi="Arial"/>
                <w:color w:val="1A202C"/>
                <w:sz w:val="18"/>
                <w:szCs w:val="18"/>
              </w:rPr>
              <w:t xml:space="preserve">Routine bookkeeping and data entry.</w:t>
            </w:r>
          </w:p>
          <w:p>
            <w:pPr>
              <w:pStyle w:val="ListParagraph"/>
              <w:numPr>
                <w:ilvl w:val="0"/>
                <w:numId w:val="2"/>
              </w:numPr>
              <w:spacing w:before="30" w:after="30"/>
            </w:pPr>
            <w:r>
              <w:rPr>
                <w:rFonts w:ascii="Arial" w:cs="Arial" w:eastAsia="Arial" w:hAnsi="Arial"/>
                <w:color w:val="1A202C"/>
                <w:sz w:val="18"/>
                <w:szCs w:val="18"/>
              </w:rPr>
              <w:t xml:space="preserve">Chasing small documents and minor admin.</w:t>
            </w:r>
          </w:p>
          <w:p>
            <w:pPr>
              <w:pStyle w:val="ListParagraph"/>
              <w:numPr>
                <w:ilvl w:val="0"/>
                <w:numId w:val="2"/>
              </w:numPr>
              <w:spacing w:before="30" w:after="30"/>
            </w:pPr>
            <w:r>
              <w:rPr>
                <w:rFonts w:ascii="Arial" w:cs="Arial" w:eastAsia="Arial" w:hAnsi="Arial"/>
                <w:color w:val="1A202C"/>
                <w:sz w:val="18"/>
                <w:szCs w:val="18"/>
              </w:rPr>
              <w:t xml:space="preserve">Answering every client message personally.</w:t>
            </w:r>
          </w:p>
          <w:p>
            <w:pPr>
              <w:pStyle w:val="ListParagraph"/>
              <w:numPr>
                <w:ilvl w:val="0"/>
                <w:numId w:val="2"/>
              </w:numPr>
              <w:spacing w:before="30" w:after="30"/>
            </w:pPr>
            <w:r>
              <w:rPr>
                <w:rFonts w:ascii="Arial" w:cs="Arial" w:eastAsia="Arial" w:hAnsi="Arial"/>
                <w:color w:val="1A202C"/>
                <w:sz w:val="18"/>
                <w:szCs w:val="18"/>
              </w:rPr>
              <w:t xml:space="preserve">Solving compliance queries Hassan can handle.</w:t>
            </w:r>
          </w:p>
          <w:p>
            <w:pPr>
              <w:pStyle w:val="ListParagraph"/>
              <w:numPr>
                <w:ilvl w:val="0"/>
                <w:numId w:val="2"/>
              </w:numPr>
              <w:spacing w:before="30" w:after="30"/>
            </w:pPr>
            <w:r>
              <w:rPr>
                <w:rFonts w:ascii="Arial" w:cs="Arial" w:eastAsia="Arial" w:hAnsi="Arial"/>
                <w:color w:val="1A202C"/>
                <w:sz w:val="18"/>
                <w:szCs w:val="18"/>
              </w:rPr>
              <w:t xml:space="preserve">Manual filing or admin tasks.</w:t>
            </w:r>
          </w:p>
        </w:tc>
        <w:tc>
          <w:tcPr>
            <w:tcW w:type="dxa" w:w="4680"/>
            <w:tcBorders>
              <w:top w:val="single" w:color="E2E8EF" w:sz="4"/>
              <w:left w:val="single" w:color="E2E8EF" w:sz="4"/>
              <w:bottom w:val="single" w:color="E2E8EF" w:sz="4"/>
              <w:right w:val="single" w:color="E2E8EF" w:sz="4"/>
            </w:tcBorders>
            <w:shd w:fill="F0FDF4" w:val="clear"/>
            <w:tcMar>
              <w:top w:type="dxa" w:w="140"/>
              <w:left w:type="dxa" w:w="180"/>
              <w:bottom w:type="dxa" w:w="140"/>
              <w:right w:type="dxa" w:w="180"/>
            </w:tcMar>
          </w:tcPr>
          <w:p>
            <w:r>
              <w:rPr>
                <w:rFonts w:ascii="Arial" w:cs="Arial" w:eastAsia="Arial" w:hAnsi="Arial"/>
                <w:b/>
                <w:bCs/>
                <w:color w:val="1A5C35"/>
                <w:sz w:val="18"/>
                <w:szCs w:val="18"/>
              </w:rPr>
              <w:t xml:space="preserve">Focus your time on:</w:t>
            </w:r>
          </w:p>
          <w:p>
            <w:pPr>
              <w:pStyle w:val="ListParagraph"/>
              <w:numPr>
                <w:ilvl w:val="0"/>
                <w:numId w:val="2"/>
              </w:numPr>
              <w:spacing w:before="30" w:after="30"/>
            </w:pPr>
            <w:r>
              <w:rPr>
                <w:rFonts w:ascii="Arial" w:cs="Arial" w:eastAsia="Arial" w:hAnsi="Arial"/>
                <w:color w:val="1A202C"/>
                <w:sz w:val="18"/>
                <w:szCs w:val="18"/>
              </w:rPr>
              <w:t xml:space="preserve">Pricing strategy and fee reviews.</w:t>
            </w:r>
          </w:p>
          <w:p>
            <w:pPr>
              <w:pStyle w:val="ListParagraph"/>
              <w:numPr>
                <w:ilvl w:val="0"/>
                <w:numId w:val="2"/>
              </w:numPr>
              <w:spacing w:before="30" w:after="30"/>
            </w:pPr>
            <w:r>
              <w:rPr>
                <w:rFonts w:ascii="Arial" w:cs="Arial" w:eastAsia="Arial" w:hAnsi="Arial"/>
                <w:color w:val="1A202C"/>
                <w:sz w:val="18"/>
                <w:szCs w:val="18"/>
              </w:rPr>
              <w:t xml:space="preserve">Key Tier A client relationships.</w:t>
            </w:r>
          </w:p>
          <w:p>
            <w:pPr>
              <w:pStyle w:val="ListParagraph"/>
              <w:numPr>
                <w:ilvl w:val="0"/>
                <w:numId w:val="2"/>
              </w:numPr>
              <w:spacing w:before="30" w:after="30"/>
            </w:pPr>
            <w:r>
              <w:rPr>
                <w:rFonts w:ascii="Arial" w:cs="Arial" w:eastAsia="Arial" w:hAnsi="Arial"/>
                <w:color w:val="1A202C"/>
                <w:sz w:val="18"/>
                <w:szCs w:val="18"/>
              </w:rPr>
              <w:t xml:space="preserve">Growth decisions and strategic hiring.</w:t>
            </w:r>
          </w:p>
          <w:p>
            <w:pPr>
              <w:pStyle w:val="ListParagraph"/>
              <w:numPr>
                <w:ilvl w:val="0"/>
                <w:numId w:val="2"/>
              </w:numPr>
              <w:spacing w:before="30" w:after="30"/>
            </w:pPr>
            <w:r>
              <w:rPr>
                <w:rFonts w:ascii="Arial" w:cs="Arial" w:eastAsia="Arial" w:hAnsi="Arial"/>
                <w:color w:val="1A202C"/>
                <w:sz w:val="18"/>
                <w:szCs w:val="18"/>
              </w:rPr>
              <w:t xml:space="preserve">New service development and packaging.</w:t>
            </w:r>
          </w:p>
          <w:p>
            <w:pPr>
              <w:pStyle w:val="ListParagraph"/>
              <w:numPr>
                <w:ilvl w:val="0"/>
                <w:numId w:val="2"/>
              </w:numPr>
              <w:spacing w:before="30" w:after="30"/>
            </w:pPr>
            <w:r>
              <w:rPr>
                <w:rFonts w:ascii="Arial" w:cs="Arial" w:eastAsia="Arial" w:hAnsi="Arial"/>
                <w:color w:val="1A202C"/>
                <w:sz w:val="18"/>
                <w:szCs w:val="18"/>
              </w:rPr>
              <w:t xml:space="preserve">Calm, uninterrupted strategic thinking.</w:t>
            </w:r>
          </w:p>
        </w:tc>
      </w:tr>
    </w:tbl>
    <w:p>
      <w:pPr>
        <w:spacing w:before="0" w:after="160"/>
      </w:pPr>
      <w:r>
        <w:t xml:space="preserve"/>
      </w:r>
    </w:p>
    <w:p>
      <w:pPr>
        <w:pBdr>
          <w:bottom w:val="single" w:color="C4922A" w:sz="4" w:space="2"/>
        </w:pBdr>
        <w:spacing w:before="100" w:after="100"/>
      </w:pPr>
      <w:r>
        <w:t xml:space="preserve"/>
      </w:r>
    </w:p>
    <w:p>
      <w:pPr>
        <w:spacing w:before="0" w:after="80"/>
      </w:pPr>
      <w:r>
        <w:t xml:space="preserve"/>
      </w:r>
    </w:p>
    <w:p>
      <w:pPr>
        <w:pBdr>
          <w:left w:val="single" w:color="C4922A" w:sz="20" w:space="14"/>
        </w:pBdr>
        <w:spacing w:before="120" w:after="120"/>
      </w:pPr>
      <w:r>
        <w:rPr>
          <w:rFonts w:ascii="Arial" w:cs="Arial" w:eastAsia="Arial" w:hAnsi="Arial"/>
          <w:b/>
          <w:bCs/>
          <w:i/>
          <w:iCs/>
          <w:color w:val="0C1D3B"/>
          <w:sz w:val="22"/>
          <w:szCs w:val="22"/>
        </w:rPr>
        <w:t xml:space="preserve">"May Allah put barakah in your efforts and allow the practice to grow in a way that benefits you, your family, your staff, and the community. The hardest part of building a professional firm is starting the flywheel. You already have."</w:t>
      </w:r>
    </w:p>
    <w:p>
      <w:pPr>
        <w:spacing w:before="0" w:after="80"/>
      </w:pPr>
      <w:r>
        <w:t xml:space="preserve"/>
      </w:r>
    </w:p>
    <w:p>
      <w:pPr>
        <w:spacing w:before="0" w:after="40"/>
        <w:jc w:val="left"/>
      </w:pPr>
      <w:r>
        <w:rPr>
          <w:rFonts w:ascii="Arial" w:cs="Arial" w:eastAsia="Arial" w:hAnsi="Arial"/>
          <w:color w:val="4A5568"/>
          <w:sz w:val="18"/>
          <w:szCs w:val="18"/>
        </w:rPr>
        <w:t xml:space="preserve">End of Report  ·  The Chowdury Accountants Ltd  ·  Strategic and Financial Review  ·  March 2026</w:t>
      </w:r>
    </w:p>
    <w:p>
      <w:pPr>
        <w:spacing w:before="0" w:after="0"/>
        <w:jc w:val="left"/>
      </w:pPr>
      <w:r>
        <w:rPr>
          <w:rFonts w:ascii="Arial" w:cs="Arial" w:eastAsia="Arial" w:hAnsi="Arial"/>
          <w:color w:val="94A3B8"/>
          <w:sz w:val="17"/>
          <w:szCs w:val="17"/>
        </w:rPr>
        <w:t xml:space="preserve">283 Featherstall Road North, Oldham, OL1 2NH  ·  info@chowduryaccountants.co.uk  ·  0161 222 4647</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EF" w:sz="4" w:space="4"/>
      </w:pBdr>
      <w:jc w:val="center"/>
    </w:pPr>
    <w:r>
      <w:rPr>
        <w:rFonts w:ascii="Arial" w:cs="Arial" w:eastAsia="Arial" w:hAnsi="Arial"/>
        <w:color w:val="94A3B8"/>
        <w:sz w:val="16"/>
        <w:szCs w:val="16"/>
      </w:rPr>
      <w:t xml:space="preserve">The Chowdury Accountants Ltd  ·  AAT Licensed  ·  Oldham  ·  Confidential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22A" w:sz="4" w:space="4"/>
      </w:pBdr>
      <w:jc w:val="right"/>
    </w:pPr>
    <w:r>
      <w:rPr>
        <w:rFonts w:ascii="Arial" w:cs="Arial" w:eastAsia="Arial" w:hAnsi="Arial"/>
        <w:color w:val="94A3B8"/>
        <w:sz w:val="16"/>
        <w:szCs w:val="16"/>
      </w:rPr>
      <w:t xml:space="preserve">The Chowdury Accountants Ltd  ·  Strategic and Financial Review v11  ·  March 2026  ·  Strictly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color w:val="0C1D3B"/>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1A3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2026-03-10T01:25:07.797Z</dcterms:created>
  <dcterms:modified xsi:type="dcterms:W3CDTF">2026-03-10T01:25:07.798Z</dcterms:modified>
</cp:coreProperties>
</file>

<file path=docProps/custom.xml><?xml version="1.0" encoding="utf-8"?>
<Properties xmlns="http://schemas.openxmlformats.org/officeDocument/2006/custom-properties" xmlns:vt="http://schemas.openxmlformats.org/officeDocument/2006/docPropsVTypes"/>
</file>