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tbl>
      <w:tblPr>
        <w:tblW w:type="auto" w:w="0"/>
        <w:jc w:val="center"/>
        <w:tblLook w:firstColumn="1" w:firstRow="1" w:lastColumn="0" w:lastRow="0" w:noHBand="0" w:noVBand="1" w:val="04A0"/>
      </w:tblPr>
      <w:tblGrid>
        <w:gridCol w:w="10080"/>
      </w:tblGrid>
      <w:tr>
        <w:tc>
          <w:tcPr>
            <w:tcW w:type="dxa" w:w="10080"/>
            <w:shd w:fill="1B1B1B"/>
            <w:tcBorders>
              <w:left w:val="single" w:sz="12" w:color="C8A64D"/>
              <w:top w:val="single" w:sz="12" w:color="C8A64D"/>
              <w:right w:val="single" w:sz="12" w:color="C8A64D"/>
              <w:bottom w:val="single" w:sz="12" w:color="C8A64D"/>
            </w:tcBorders>
          </w:tcPr>
          <w:p>
            <w:pPr>
              <w:jc w:val="center"/>
            </w:pPr>
            <w:r>
              <w:rPr>
                <w:b/>
                <w:color w:val="B08F36"/>
                <w:sz w:val="18"/>
              </w:rPr>
              <w:t>STRICTLY CONFIDENTIAL — FOR INTERNAL STRATEGIC USE ONLY</w:t>
            </w:r>
          </w:p>
          <w:p>
            <w:pPr>
              <w:jc w:val="center"/>
            </w:pPr>
            <w:r>
              <w:rPr>
                <w:b/>
                <w:color w:val="FFFFFF"/>
                <w:sz w:val="44"/>
              </w:rPr>
              <w:t>THE CHOWDURY ACCOUNTANTS LTD</w:t>
            </w:r>
          </w:p>
          <w:p>
            <w:pPr>
              <w:jc w:val="center"/>
            </w:pPr>
            <w:r>
              <w:rPr>
                <w:color w:val="E6E6E6"/>
                <w:sz w:val="21"/>
              </w:rPr>
              <w:t>AAT Licensed Accountants  ·  Oldham, Greater Manchester</w:t>
            </w:r>
          </w:p>
          <w:p>
            <w:pPr>
              <w:jc w:val="center"/>
            </w:pPr>
            <w:r>
              <w:rPr>
                <w:b/>
                <w:color w:val="B08F36"/>
                <w:sz w:val="30"/>
              </w:rPr>
              <w:t>STRATEGIC AND FINANCIAL REVIEW</w:t>
            </w:r>
          </w:p>
          <w:p>
            <w:pPr>
              <w:jc w:val="center"/>
            </w:pPr>
            <w:r>
              <w:rPr>
                <w:color w:val="F0F0F0"/>
                <w:sz w:val="21"/>
              </w:rPr>
              <w:t>Financial Analysis  ·  Performance Benchmarking  ·  Growth Strategy</w:t>
            </w:r>
          </w:p>
          <w:p>
            <w:pPr>
              <w:jc w:val="center"/>
            </w:pPr>
            <w:r>
              <w:rPr>
                <w:color w:val="F0F0F0"/>
                <w:sz w:val="21"/>
              </w:rPr>
              <w:t>Practice Valuation  ·  Vision to £1,000,000</w:t>
            </w:r>
          </w:p>
          <w:p>
            <w:pPr>
              <w:jc w:val="center"/>
            </w:pPr>
            <w:r>
              <w:rPr>
                <w:color w:val="EBEBEB"/>
                <w:sz w:val="20"/>
              </w:rPr>
              <w:br/>
              <w:t>Prepared by:  Md Asadul Chowdury, Managing Director</w:t>
              <w:br/>
              <w:t>Date:  March 2026</w:t>
            </w:r>
          </w:p>
        </w:tc>
      </w:tr>
    </w:tbl>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13"/>
            <w:shd w:fill="F7F1E1"/>
            <w:vAlign w:val="center"/>
            <w:tcBorders>
              <w:left w:val="single" w:sz="4" w:color="D9C58A"/>
              <w:top w:val="single" w:sz="4" w:color="D9C58A"/>
              <w:right w:val="single" w:sz="4" w:color="D9C58A"/>
              <w:bottom w:val="single" w:sz="4" w:color="D9C58A"/>
            </w:tcBorders>
          </w:tcPr>
          <w:p>
            <w:pPr>
              <w:spacing w:after="0" w:before="0"/>
              <w:jc w:val="center"/>
            </w:pPr>
            <w:r>
              <w:rPr>
                <w:b/>
                <w:color w:val="181818"/>
                <w:sz w:val="28"/>
              </w:rPr>
              <w:t>~600</w:t>
            </w:r>
          </w:p>
        </w:tc>
        <w:tc>
          <w:tcPr>
            <w:tcW w:type="dxa" w:w="1613"/>
            <w:shd w:fill="F7F1E1"/>
            <w:vAlign w:val="center"/>
            <w:tcBorders>
              <w:left w:val="single" w:sz="4" w:color="D9C58A"/>
              <w:top w:val="single" w:sz="4" w:color="D9C58A"/>
              <w:right w:val="single" w:sz="4" w:color="D9C58A"/>
              <w:bottom w:val="single" w:sz="4" w:color="D9C58A"/>
            </w:tcBorders>
          </w:tcPr>
          <w:p>
            <w:pPr>
              <w:spacing w:after="0" w:before="0"/>
              <w:jc w:val="center"/>
            </w:pPr>
            <w:r>
              <w:rPr>
                <w:b/>
                <w:color w:val="181818"/>
                <w:sz w:val="28"/>
              </w:rPr>
              <w:t>£314k</w:t>
            </w:r>
          </w:p>
        </w:tc>
        <w:tc>
          <w:tcPr>
            <w:tcW w:type="dxa" w:w="1613"/>
            <w:shd w:fill="F7F1E1"/>
            <w:vAlign w:val="center"/>
            <w:tcBorders>
              <w:left w:val="single" w:sz="4" w:color="D9C58A"/>
              <w:top w:val="single" w:sz="4" w:color="D9C58A"/>
              <w:right w:val="single" w:sz="4" w:color="D9C58A"/>
              <w:bottom w:val="single" w:sz="4" w:color="D9C58A"/>
            </w:tcBorders>
          </w:tcPr>
          <w:p>
            <w:pPr>
              <w:spacing w:after="0" w:before="0"/>
              <w:jc w:val="center"/>
            </w:pPr>
            <w:r>
              <w:rPr>
                <w:b/>
                <w:color w:val="181818"/>
                <w:sz w:val="28"/>
              </w:rPr>
              <w:t>£19,579</w:t>
            </w:r>
          </w:p>
        </w:tc>
        <w:tc>
          <w:tcPr>
            <w:tcW w:type="dxa" w:w="1613"/>
            <w:shd w:fill="F7F1E1"/>
            <w:vAlign w:val="center"/>
            <w:tcBorders>
              <w:left w:val="single" w:sz="4" w:color="D9C58A"/>
              <w:top w:val="single" w:sz="4" w:color="D9C58A"/>
              <w:right w:val="single" w:sz="4" w:color="D9C58A"/>
              <w:bottom w:val="single" w:sz="4" w:color="D9C58A"/>
            </w:tcBorders>
          </w:tcPr>
          <w:p>
            <w:pPr>
              <w:spacing w:after="0" w:before="0"/>
              <w:jc w:val="center"/>
            </w:pPr>
            <w:r>
              <w:rPr>
                <w:b/>
                <w:color w:val="181818"/>
                <w:sz w:val="28"/>
              </w:rPr>
              <w:t>33.9%</w:t>
            </w:r>
          </w:p>
        </w:tc>
        <w:tc>
          <w:tcPr>
            <w:tcW w:type="dxa" w:w="1613"/>
            <w:shd w:fill="F7F1E1"/>
            <w:vAlign w:val="center"/>
            <w:tcBorders>
              <w:left w:val="single" w:sz="4" w:color="D9C58A"/>
              <w:top w:val="single" w:sz="4" w:color="D9C58A"/>
              <w:right w:val="single" w:sz="4" w:color="D9C58A"/>
              <w:bottom w:val="single" w:sz="4" w:color="D9C58A"/>
            </w:tcBorders>
          </w:tcPr>
          <w:p>
            <w:pPr>
              <w:spacing w:after="0" w:before="0"/>
              <w:jc w:val="center"/>
            </w:pPr>
            <w:r>
              <w:rPr>
                <w:b/>
                <w:color w:val="181818"/>
                <w:sz w:val="28"/>
              </w:rPr>
              <w:t>5</w:t>
            </w:r>
          </w:p>
        </w:tc>
        <w:tc>
          <w:tcPr>
            <w:tcW w:type="dxa" w:w="1613"/>
            <w:shd w:fill="F7F1E1"/>
            <w:vAlign w:val="center"/>
            <w:tcBorders>
              <w:left w:val="single" w:sz="4" w:color="D9C58A"/>
              <w:top w:val="single" w:sz="4" w:color="D9C58A"/>
              <w:right w:val="single" w:sz="4" w:color="D9C58A"/>
              <w:bottom w:val="single" w:sz="4" w:color="D9C58A"/>
            </w:tcBorders>
          </w:tcPr>
          <w:p>
            <w:pPr>
              <w:spacing w:after="0" w:before="0"/>
              <w:jc w:val="center"/>
            </w:pPr>
            <w:r>
              <w:rPr>
                <w:b/>
                <w:color w:val="181818"/>
                <w:sz w:val="28"/>
              </w:rPr>
              <w:t>2015</w:t>
            </w:r>
          </w:p>
        </w:tc>
      </w:tr>
      <w:tr>
        <w:tc>
          <w:tcPr>
            <w:tcW w:type="dxa" w:w="1613"/>
            <w:shd w:fill="FBF8F0"/>
            <w:tcBorders>
              <w:left w:val="single" w:sz="4" w:color="D9C58A"/>
              <w:top w:val="single" w:sz="4" w:color="D9C58A"/>
              <w:right w:val="single" w:sz="4" w:color="D9C58A"/>
              <w:bottom w:val="single" w:sz="4" w:color="D9C58A"/>
            </w:tcBorders>
          </w:tcPr>
          <w:p>
            <w:pPr>
              <w:spacing w:after="0" w:before="0"/>
              <w:jc w:val="center"/>
            </w:pPr>
            <w:r>
              <w:rPr>
                <w:color w:val="5A5A5A"/>
                <w:sz w:val="18"/>
              </w:rPr>
              <w:t>Active clients</w:t>
            </w:r>
          </w:p>
        </w:tc>
        <w:tc>
          <w:tcPr>
            <w:tcW w:type="dxa" w:w="1613"/>
            <w:shd w:fill="FBF8F0"/>
            <w:tcBorders>
              <w:left w:val="single" w:sz="4" w:color="D9C58A"/>
              <w:top w:val="single" w:sz="4" w:color="D9C58A"/>
              <w:right w:val="single" w:sz="4" w:color="D9C58A"/>
              <w:bottom w:val="single" w:sz="4" w:color="D9C58A"/>
            </w:tcBorders>
          </w:tcPr>
          <w:p>
            <w:pPr>
              <w:spacing w:after="0" w:before="0"/>
              <w:jc w:val="center"/>
            </w:pPr>
            <w:r>
              <w:rPr>
                <w:color w:val="5A5A5A"/>
                <w:sz w:val="18"/>
              </w:rPr>
              <w:t>Annual revenue</w:t>
            </w:r>
          </w:p>
        </w:tc>
        <w:tc>
          <w:tcPr>
            <w:tcW w:type="dxa" w:w="1613"/>
            <w:shd w:fill="FBF8F0"/>
            <w:tcBorders>
              <w:left w:val="single" w:sz="4" w:color="D9C58A"/>
              <w:top w:val="single" w:sz="4" w:color="D9C58A"/>
              <w:right w:val="single" w:sz="4" w:color="D9C58A"/>
              <w:bottom w:val="single" w:sz="4" w:color="D9C58A"/>
            </w:tcBorders>
          </w:tcPr>
          <w:p>
            <w:pPr>
              <w:spacing w:after="0" w:before="0"/>
              <w:jc w:val="center"/>
            </w:pPr>
            <w:r>
              <w:rPr>
                <w:color w:val="5A5A5A"/>
                <w:sz w:val="18"/>
              </w:rPr>
              <w:t>Monthly recurring</w:t>
            </w:r>
          </w:p>
        </w:tc>
        <w:tc>
          <w:tcPr>
            <w:tcW w:type="dxa" w:w="1613"/>
            <w:shd w:fill="FBF8F0"/>
            <w:tcBorders>
              <w:left w:val="single" w:sz="4" w:color="D9C58A"/>
              <w:top w:val="single" w:sz="4" w:color="D9C58A"/>
              <w:right w:val="single" w:sz="4" w:color="D9C58A"/>
              <w:bottom w:val="single" w:sz="4" w:color="D9C58A"/>
            </w:tcBorders>
          </w:tcPr>
          <w:p>
            <w:pPr>
              <w:spacing w:after="0" w:before="0"/>
              <w:jc w:val="center"/>
            </w:pPr>
            <w:r>
              <w:rPr>
                <w:color w:val="5A5A5A"/>
                <w:sz w:val="18"/>
              </w:rPr>
              <w:t>Net margin</w:t>
            </w:r>
          </w:p>
        </w:tc>
        <w:tc>
          <w:tcPr>
            <w:tcW w:type="dxa" w:w="1613"/>
            <w:shd w:fill="FBF8F0"/>
            <w:tcBorders>
              <w:left w:val="single" w:sz="4" w:color="D9C58A"/>
              <w:top w:val="single" w:sz="4" w:color="D9C58A"/>
              <w:right w:val="single" w:sz="4" w:color="D9C58A"/>
              <w:bottom w:val="single" w:sz="4" w:color="D9C58A"/>
            </w:tcBorders>
          </w:tcPr>
          <w:p>
            <w:pPr>
              <w:spacing w:after="0" w:before="0"/>
              <w:jc w:val="center"/>
            </w:pPr>
            <w:r>
              <w:rPr>
                <w:color w:val="5A5A5A"/>
                <w:sz w:val="18"/>
              </w:rPr>
              <w:t>Staff</w:t>
            </w:r>
          </w:p>
        </w:tc>
        <w:tc>
          <w:tcPr>
            <w:tcW w:type="dxa" w:w="1613"/>
            <w:shd w:fill="FBF8F0"/>
            <w:tcBorders>
              <w:left w:val="single" w:sz="4" w:color="D9C58A"/>
              <w:top w:val="single" w:sz="4" w:color="D9C58A"/>
              <w:right w:val="single" w:sz="4" w:color="D9C58A"/>
              <w:bottom w:val="single" w:sz="4" w:color="D9C58A"/>
            </w:tcBorders>
          </w:tcPr>
          <w:p>
            <w:pPr>
              <w:spacing w:after="0" w:before="0"/>
              <w:jc w:val="center"/>
            </w:pPr>
            <w:r>
              <w:rPr>
                <w:color w:val="5A5A5A"/>
                <w:sz w:val="18"/>
              </w:rPr>
              <w:t>Est.</w:t>
            </w:r>
          </w:p>
        </w:tc>
      </w:tr>
    </w:tbl>
    <w:p/>
    <w:p>
      <w:pPr>
        <w:pStyle w:val="QuoteLine"/>
        <w:jc w:val="center"/>
      </w:pPr>
      <w:r>
        <w:rPr>
          <w:i/>
          <w:color w:val="181818"/>
        </w:rPr>
        <w:t>Positioning: a strong niche practice with excellent client loyalty and unusually high recurring revenue, but still materially under-monetised.</w:t>
      </w:r>
    </w:p>
    <w:p>
      <w:pPr>
        <w:pStyle w:val="SectionHeading"/>
      </w:pPr>
      <w:r>
        <w:t>Executive Summary</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The Chowdury Accountants Ltd has built a real practice asset: approximately 600 active clients, £314,000 of restated annual revenue, and £19,579 per month of recurring income collected through direct debit and standing order. The client base is durable, referral-led, and rooted in trust within the South Asian business community — especially the hospitality sector across Greater Manchester and surrounding towns.</w:t>
      </w:r>
    </w:p>
    <w:p>
      <w:pPr>
        <w:pStyle w:val="QuoteLine"/>
        <w:jc w:val="center"/>
      </w:pPr>
      <w:r>
        <w:rPr>
          <w:b/>
        </w:rPr>
        <w:t>"The practice's core commercial problem is not weak demand, weak retention, or weak systems. It is pricing discipline."</w:t>
      </w:r>
    </w:p>
    <w:p>
      <w:pPr/>
      <w:r>
        <w:rPr>
          <w:b w:val="0"/>
        </w:rPr>
        <w:t>On the current client base alone, bringing fees to a more sustainable level would add approximately £109,340 of annual revenue before any new client acquisition. Operationally, the practice is strong for its size: a bespoke management portal, an established GoCardless collection programme, healthy staff cost ratios, owned premises via the related property company, and a recurring revenue ratio that is exceptional for a regional firm of this scale.</w:t>
      </w:r>
    </w:p>
    <w:p>
      <w:pPr/>
      <w:r>
        <w:rPr>
          <w:b w:val="0"/>
        </w:rPr>
        <w:t>The biggest structural weakness is founder dependency. The largest suppressor of value is not revenue quality — it is the extent to which key client relationships still depend on the Managing Director personally. The next stage of growth should come primarily from fee correction, service bundling, selective advisory launches, stronger client data capture, and deliberate reduction of founder concentration.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184"/>
            <w:shd w:fill="2A2A2A"/>
            <w:vAlign w:val="center"/>
            <w:tcBorders>
              <w:left w:val="single" w:sz="4" w:color="D6C189"/>
              <w:top w:val="single" w:sz="6" w:color="C8A64D"/>
              <w:right w:val="single" w:sz="4" w:color="D6C189"/>
              <w:bottom w:val="single" w:sz="6" w:color="C8A64D"/>
            </w:tcBorders>
          </w:tcPr>
          <w:p>
            <w:pPr>
              <w:jc w:val="center"/>
            </w:pPr>
            <w:r>
              <w:rPr>
                <w:b/>
                <w:color w:val="FFFFFF"/>
                <w:sz w:val="19"/>
              </w:rPr>
              <w:t>Five strongest findings</w:t>
            </w:r>
          </w:p>
        </w:tc>
        <w:tc>
          <w:tcPr>
            <w:tcW w:type="dxa" w:w="5184"/>
            <w:shd w:fill="2A2A2A"/>
            <w:vAlign w:val="center"/>
            <w:tcBorders>
              <w:left w:val="single" w:sz="4" w:color="D6C189"/>
              <w:top w:val="single" w:sz="6" w:color="C8A64D"/>
              <w:right w:val="single" w:sz="4" w:color="D6C189"/>
              <w:bottom w:val="single" w:sz="6" w:color="C8A64D"/>
            </w:tcBorders>
          </w:tcPr>
          <w:p>
            <w:pPr>
              <w:jc w:val="center"/>
            </w:pPr>
            <w:r>
              <w:rPr>
                <w:b/>
                <w:color w:val="FFFFFF"/>
                <w:sz w:val="19"/>
              </w:rPr>
              <w:t>Five most important risks</w:t>
            </w:r>
          </w:p>
        </w:tc>
      </w:tr>
      <w:tr>
        <w:tc>
          <w:tcPr>
            <w:tcW w:type="dxa" w:w="5184"/>
            <w:vAlign w:val="center"/>
            <w:shd w:fill="FCFAF5"/>
            <w:tcBorders>
              <w:left w:val="single" w:sz="3" w:color="E0D3AE"/>
              <w:top w:val="single" w:sz="3" w:color="E0D3AE"/>
              <w:right w:val="single" w:sz="3" w:color="E0D3AE"/>
              <w:bottom w:val="single" w:sz="3" w:color="E0D3AE"/>
            </w:tcBorders>
          </w:tcPr>
          <w:p>
            <w:pPr>
              <w:spacing w:after="0" w:before="0" w:line="252" w:lineRule="auto"/>
            </w:pPr>
            <w:r>
              <w:rPr>
                <w:sz w:val="18"/>
              </w:rPr>
              <w:t>• Recurring revenue of £19,579/month is a genuine strategic asset — top-quartile for a practice of this size.</w:t>
            </w:r>
          </w:p>
        </w:tc>
        <w:tc>
          <w:tcPr>
            <w:tcW w:type="dxa" w:w="5184"/>
            <w:vAlign w:val="center"/>
            <w:shd w:fill="FCFAF5"/>
            <w:tcBorders>
              <w:left w:val="single" w:sz="3" w:color="E0D3AE"/>
              <w:top w:val="single" w:sz="3" w:color="E0D3AE"/>
              <w:right w:val="single" w:sz="3" w:color="E0D3AE"/>
              <w:bottom w:val="single" w:sz="3" w:color="E0D3AE"/>
            </w:tcBorders>
          </w:tcPr>
          <w:p>
            <w:pPr>
              <w:spacing w:after="0" w:before="0" w:line="252" w:lineRule="auto"/>
            </w:pPr>
            <w:r>
              <w:rPr>
                <w:sz w:val="18"/>
              </w:rPr>
              <w:t>• Ltd and payroll fees are materially below market rates, leaving approximately £109,000/year uncaptured.</w:t>
            </w:r>
          </w:p>
        </w:tc>
      </w:tr>
      <w:tr>
        <w:tc>
          <w:tcPr>
            <w:tcW w:type="dxa" w:w="5184"/>
            <w:vAlign w:val="center"/>
            <w:shd w:fill="F5EFE0"/>
            <w:tcBorders>
              <w:left w:val="single" w:sz="3" w:color="E0D3AE"/>
              <w:top w:val="single" w:sz="3" w:color="E0D3AE"/>
              <w:right w:val="single" w:sz="3" w:color="E0D3AE"/>
              <w:bottom w:val="single" w:sz="3" w:color="E0D3AE"/>
            </w:tcBorders>
          </w:tcPr>
          <w:p>
            <w:pPr>
              <w:spacing w:after="0" w:before="0" w:line="252" w:lineRule="auto"/>
            </w:pPr>
            <w:r>
              <w:rPr>
                <w:sz w:val="18"/>
              </w:rPr>
              <w:t>• Client retention is unusually strong; growth since 2015 has been almost entirely referral-driven.</w:t>
            </w:r>
          </w:p>
        </w:tc>
        <w:tc>
          <w:tcPr>
            <w:tcW w:type="dxa" w:w="5184"/>
            <w:vAlign w:val="center"/>
            <w:shd w:fill="F5EFE0"/>
            <w:tcBorders>
              <w:left w:val="single" w:sz="3" w:color="E0D3AE"/>
              <w:top w:val="single" w:sz="3" w:color="E0D3AE"/>
              <w:right w:val="single" w:sz="3" w:color="E0D3AE"/>
              <w:bottom w:val="single" w:sz="3" w:color="E0D3AE"/>
            </w:tcBorders>
          </w:tcPr>
          <w:p>
            <w:pPr>
              <w:spacing w:after="0" w:before="0" w:line="252" w:lineRule="auto"/>
            </w:pPr>
            <w:r>
              <w:rPr>
                <w:sz w:val="18"/>
              </w:rPr>
              <w:t>• Founder dependency suppresses both valuation and operational scalability.</w:t>
            </w:r>
          </w:p>
        </w:tc>
      </w:tr>
      <w:tr>
        <w:tc>
          <w:tcPr>
            <w:tcW w:type="dxa" w:w="5184"/>
            <w:vAlign w:val="center"/>
            <w:shd w:fill="FCFAF5"/>
            <w:tcBorders>
              <w:left w:val="single" w:sz="3" w:color="E0D3AE"/>
              <w:top w:val="single" w:sz="3" w:color="E0D3AE"/>
              <w:right w:val="single" w:sz="3" w:color="E0D3AE"/>
              <w:bottom w:val="single" w:sz="3" w:color="E0D3AE"/>
            </w:tcBorders>
          </w:tcPr>
          <w:p>
            <w:pPr>
              <w:spacing w:after="0" w:before="0" w:line="252" w:lineRule="auto"/>
            </w:pPr>
            <w:r>
              <w:rPr>
                <w:sz w:val="18"/>
              </w:rPr>
              <w:t>• The practice holds a defendable niche in hospitality and South Asian owner-managed businesses.</w:t>
            </w:r>
          </w:p>
        </w:tc>
        <w:tc>
          <w:tcPr>
            <w:tcW w:type="dxa" w:w="5184"/>
            <w:vAlign w:val="center"/>
            <w:shd w:fill="FCFAF5"/>
            <w:tcBorders>
              <w:left w:val="single" w:sz="3" w:color="E0D3AE"/>
              <w:top w:val="single" w:sz="3" w:color="E0D3AE"/>
              <w:right w:val="single" w:sz="3" w:color="E0D3AE"/>
              <w:bottom w:val="single" w:sz="3" w:color="E0D3AE"/>
            </w:tcBorders>
          </w:tcPr>
          <w:p>
            <w:pPr>
              <w:spacing w:after="0" w:before="0" w:line="252" w:lineRule="auto"/>
            </w:pPr>
            <w:r>
              <w:rPr>
                <w:sz w:val="18"/>
              </w:rPr>
              <w:t>• Client data is fragmented; phone coverage is absent and email coverage is incomplete.</w:t>
            </w:r>
          </w:p>
        </w:tc>
      </w:tr>
      <w:tr>
        <w:tc>
          <w:tcPr>
            <w:tcW w:type="dxa" w:w="5184"/>
            <w:vAlign w:val="center"/>
            <w:shd w:fill="F5EFE0"/>
            <w:tcBorders>
              <w:left w:val="single" w:sz="3" w:color="E0D3AE"/>
              <w:top w:val="single" w:sz="3" w:color="E0D3AE"/>
              <w:right w:val="single" w:sz="3" w:color="E0D3AE"/>
              <w:bottom w:val="single" w:sz="3" w:color="E0D3AE"/>
            </w:tcBorders>
          </w:tcPr>
          <w:p>
            <w:pPr>
              <w:spacing w:after="0" w:before="0" w:line="252" w:lineRule="auto"/>
            </w:pPr>
            <w:r>
              <w:rPr>
                <w:sz w:val="18"/>
              </w:rPr>
              <w:t>• Current net margin of 33.9% (before MD remuneration) is healthy and confirms the business is viable before any fee correction.</w:t>
            </w:r>
          </w:p>
        </w:tc>
        <w:tc>
          <w:tcPr>
            <w:tcW w:type="dxa" w:w="5184"/>
            <w:vAlign w:val="center"/>
            <w:shd w:fill="F5EFE0"/>
            <w:tcBorders>
              <w:left w:val="single" w:sz="3" w:color="E0D3AE"/>
              <w:top w:val="single" w:sz="3" w:color="E0D3AE"/>
              <w:right w:val="single" w:sz="3" w:color="E0D3AE"/>
              <w:bottom w:val="single" w:sz="3" w:color="E0D3AE"/>
            </w:tcBorders>
          </w:tcPr>
          <w:p>
            <w:pPr>
              <w:spacing w:after="0" w:before="0" w:line="252" w:lineRule="auto"/>
            </w:pPr>
            <w:r>
              <w:rPr>
                <w:sz w:val="18"/>
              </w:rPr>
              <w:t>• The practice is almost entirely compliance-led, with little high-margin advisory income.</w:t>
            </w:r>
          </w:p>
        </w:tc>
      </w:tr>
      <w:tr>
        <w:tc>
          <w:tcPr>
            <w:tcW w:type="dxa" w:w="5184"/>
            <w:vAlign w:val="center"/>
            <w:shd w:fill="FCFAF5"/>
            <w:tcBorders>
              <w:left w:val="single" w:sz="3" w:color="E0D3AE"/>
              <w:top w:val="single" w:sz="3" w:color="E0D3AE"/>
              <w:right w:val="single" w:sz="3" w:color="E0D3AE"/>
              <w:bottom w:val="single" w:sz="3" w:color="E0D3AE"/>
            </w:tcBorders>
          </w:tcPr>
          <w:p>
            <w:pPr>
              <w:spacing w:after="0" w:before="0" w:line="252" w:lineRule="auto"/>
            </w:pPr>
            <w:r>
              <w:rPr>
                <w:sz w:val="18"/>
              </w:rPr>
              <w:t>• The infrastructure for the next level already exists: systems, trust, staff base, and a branded office.</w:t>
            </w:r>
          </w:p>
        </w:tc>
        <w:tc>
          <w:tcPr>
            <w:tcW w:type="dxa" w:w="5184"/>
            <w:vAlign w:val="center"/>
            <w:shd w:fill="FCFAF5"/>
            <w:tcBorders>
              <w:left w:val="single" w:sz="3" w:color="E0D3AE"/>
              <w:top w:val="single" w:sz="3" w:color="E0D3AE"/>
              <w:right w:val="single" w:sz="3" w:color="E0D3AE"/>
              <w:bottom w:val="single" w:sz="3" w:color="E0D3AE"/>
            </w:tcBorders>
          </w:tcPr>
          <w:p>
            <w:pPr>
              <w:spacing w:after="0" w:before="0" w:line="252" w:lineRule="auto"/>
            </w:pPr>
            <w:r>
              <w:rPr>
                <w:sz w:val="18"/>
              </w:rPr>
              <w:t>• Loss of Hassan or Aminul would create an immediate operational pressure point.</w:t>
            </w:r>
          </w:p>
        </w:tc>
      </w:tr>
    </w:tbl>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600"/>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Metric</w:t>
            </w:r>
          </w:p>
        </w:tc>
        <w:tc>
          <w:tcPr>
            <w:tcW w:type="dxa" w:w="2016"/>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Current (2026)</w:t>
            </w:r>
          </w:p>
        </w:tc>
        <w:tc>
          <w:tcPr>
            <w:tcW w:type="dxa" w:w="2304"/>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Post Fee Correction</w:t>
            </w:r>
          </w:p>
        </w:tc>
        <w:tc>
          <w:tcPr>
            <w:tcW w:type="dxa" w:w="2808"/>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Vision 2030 / Longer-Term Upside</w:t>
            </w:r>
          </w:p>
        </w:tc>
      </w:tr>
      <w:tr>
        <w:tc>
          <w:tcPr>
            <w:tcW w:type="dxa" w:w="3600"/>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Annual revenue</w:t>
            </w:r>
          </w:p>
        </w:tc>
        <w:tc>
          <w:tcPr>
            <w:tcW w:type="dxa" w:w="2016"/>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£314,000</w:t>
            </w:r>
          </w:p>
        </w:tc>
        <w:tc>
          <w:tcPr>
            <w:tcW w:type="dxa" w:w="2304"/>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£423,000</w:t>
            </w:r>
          </w:p>
        </w:tc>
        <w:tc>
          <w:tcPr>
            <w:tcW w:type="dxa" w:w="2808"/>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£750k–£1,000,000</w:t>
            </w:r>
          </w:p>
        </w:tc>
      </w:tr>
      <w:tr>
        <w:tc>
          <w:tcPr>
            <w:tcW w:type="dxa" w:w="3600"/>
            <w:vAlign w:val="center"/>
            <w:shd w:fill="F4EEDF"/>
            <w:tcBorders>
              <w:left w:val="single" w:sz="3" w:color="E0D3AE"/>
              <w:top w:val="single" w:sz="3" w:color="E0D3AE"/>
              <w:right w:val="single" w:sz="3" w:color="E0D3AE"/>
              <w:bottom w:val="single" w:sz="3" w:color="E0D3AE"/>
            </w:tcBorders>
          </w:tcPr>
          <w:p>
            <w:pPr>
              <w:spacing w:after="0" w:before="0" w:line="252" w:lineRule="auto"/>
            </w:pPr>
            <w:r>
              <w:rPr>
                <w:sz w:val="18"/>
              </w:rPr>
              <w:t>Net profit (before MD remuneration)</w:t>
            </w:r>
          </w:p>
        </w:tc>
        <w:tc>
          <w:tcPr>
            <w:tcW w:type="dxa" w:w="2016"/>
            <w:vAlign w:val="center"/>
            <w:shd w:fill="F4EEDF"/>
            <w:tcBorders>
              <w:left w:val="single" w:sz="3" w:color="E0D3AE"/>
              <w:top w:val="single" w:sz="3" w:color="E0D3AE"/>
              <w:right w:val="single" w:sz="3" w:color="E0D3AE"/>
              <w:bottom w:val="single" w:sz="3" w:color="E0D3AE"/>
            </w:tcBorders>
          </w:tcPr>
          <w:p>
            <w:pPr>
              <w:spacing w:after="0" w:before="0" w:line="252" w:lineRule="auto"/>
            </w:pPr>
            <w:r>
              <w:rPr>
                <w:sz w:val="18"/>
              </w:rPr>
              <w:t>~£107,000</w:t>
            </w:r>
          </w:p>
        </w:tc>
        <w:tc>
          <w:tcPr>
            <w:tcW w:type="dxa" w:w="2304"/>
            <w:vAlign w:val="center"/>
            <w:shd w:fill="F4EEDF"/>
            <w:tcBorders>
              <w:left w:val="single" w:sz="3" w:color="E0D3AE"/>
              <w:top w:val="single" w:sz="3" w:color="E0D3AE"/>
              <w:right w:val="single" w:sz="3" w:color="E0D3AE"/>
              <w:bottom w:val="single" w:sz="3" w:color="E0D3AE"/>
            </w:tcBorders>
          </w:tcPr>
          <w:p>
            <w:pPr>
              <w:spacing w:after="0" w:before="0" w:line="252" w:lineRule="auto"/>
            </w:pPr>
            <w:r>
              <w:rPr>
                <w:sz w:val="18"/>
              </w:rPr>
              <w:t>~£216,000</w:t>
            </w:r>
          </w:p>
        </w:tc>
        <w:tc>
          <w:tcPr>
            <w:tcW w:type="dxa" w:w="2808"/>
            <w:vAlign w:val="center"/>
            <w:shd w:fill="F4EEDF"/>
            <w:tcBorders>
              <w:left w:val="single" w:sz="3" w:color="E0D3AE"/>
              <w:top w:val="single" w:sz="3" w:color="E0D3AE"/>
              <w:right w:val="single" w:sz="3" w:color="E0D3AE"/>
              <w:bottom w:val="single" w:sz="3" w:color="E0D3AE"/>
            </w:tcBorders>
          </w:tcPr>
          <w:p>
            <w:pPr>
              <w:spacing w:after="0" w:before="0" w:line="252" w:lineRule="auto"/>
            </w:pPr>
            <w:r>
              <w:rPr>
                <w:sz w:val="18"/>
              </w:rPr>
              <w:t>~£300,000+</w:t>
            </w:r>
          </w:p>
        </w:tc>
      </w:tr>
      <w:tr>
        <w:tc>
          <w:tcPr>
            <w:tcW w:type="dxa" w:w="3600"/>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Monthly recurring revenue</w:t>
            </w:r>
          </w:p>
        </w:tc>
        <w:tc>
          <w:tcPr>
            <w:tcW w:type="dxa" w:w="2016"/>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£19,579</w:t>
            </w:r>
          </w:p>
        </w:tc>
        <w:tc>
          <w:tcPr>
            <w:tcW w:type="dxa" w:w="2304"/>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£21,000+</w:t>
            </w:r>
          </w:p>
        </w:tc>
        <w:tc>
          <w:tcPr>
            <w:tcW w:type="dxa" w:w="2808"/>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£25,000+</w:t>
            </w:r>
          </w:p>
        </w:tc>
      </w:tr>
      <w:tr>
        <w:tc>
          <w:tcPr>
            <w:tcW w:type="dxa" w:w="3600"/>
            <w:vAlign w:val="center"/>
            <w:shd w:fill="F4EEDF"/>
            <w:tcBorders>
              <w:left w:val="single" w:sz="3" w:color="E0D3AE"/>
              <w:top w:val="single" w:sz="3" w:color="E0D3AE"/>
              <w:right w:val="single" w:sz="3" w:color="E0D3AE"/>
              <w:bottom w:val="single" w:sz="3" w:color="E0D3AE"/>
            </w:tcBorders>
          </w:tcPr>
          <w:p>
            <w:pPr>
              <w:spacing w:after="0" w:before="0" w:line="252" w:lineRule="auto"/>
            </w:pPr>
            <w:r>
              <w:rPr>
                <w:sz w:val="18"/>
              </w:rPr>
              <w:t>Active clients</w:t>
            </w:r>
          </w:p>
        </w:tc>
        <w:tc>
          <w:tcPr>
            <w:tcW w:type="dxa" w:w="2016"/>
            <w:vAlign w:val="center"/>
            <w:shd w:fill="F4EEDF"/>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2304"/>
            <w:vAlign w:val="center"/>
            <w:shd w:fill="F4EEDF"/>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2808"/>
            <w:vAlign w:val="center"/>
            <w:shd w:fill="F4EEDF"/>
            <w:tcBorders>
              <w:left w:val="single" w:sz="3" w:color="E0D3AE"/>
              <w:top w:val="single" w:sz="3" w:color="E0D3AE"/>
              <w:right w:val="single" w:sz="3" w:color="E0D3AE"/>
              <w:bottom w:val="single" w:sz="3" w:color="E0D3AE"/>
            </w:tcBorders>
          </w:tcPr>
          <w:p>
            <w:pPr>
              <w:spacing w:after="0" w:before="0" w:line="252" w:lineRule="auto"/>
            </w:pPr>
            <w:r>
              <w:rPr>
                <w:sz w:val="18"/>
              </w:rPr>
              <w:t>~800–1,000</w:t>
            </w:r>
          </w:p>
        </w:tc>
      </w:tr>
      <w:tr>
        <w:tc>
          <w:tcPr>
            <w:tcW w:type="dxa" w:w="3600"/>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Indicative practice valuation</w:t>
            </w:r>
          </w:p>
        </w:tc>
        <w:tc>
          <w:tcPr>
            <w:tcW w:type="dxa" w:w="2016"/>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£250k–£380k</w:t>
            </w:r>
          </w:p>
        </w:tc>
        <w:tc>
          <w:tcPr>
            <w:tcW w:type="dxa" w:w="2304"/>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£340k–£470k</w:t>
            </w:r>
          </w:p>
        </w:tc>
        <w:tc>
          <w:tcPr>
            <w:tcW w:type="dxa" w:w="2808"/>
            <w:vAlign w:val="center"/>
            <w:shd w:fill="FBF8F2"/>
            <w:tcBorders>
              <w:left w:val="single" w:sz="3" w:color="E0D3AE"/>
              <w:top w:val="single" w:sz="3" w:color="E0D3AE"/>
              <w:right w:val="single" w:sz="3" w:color="E0D3AE"/>
              <w:bottom w:val="single" w:sz="3" w:color="E0D3AE"/>
            </w:tcBorders>
          </w:tcPr>
          <w:p>
            <w:pPr>
              <w:spacing w:after="0" w:before="0" w:line="252" w:lineRule="auto"/>
            </w:pPr>
            <w:r>
              <w:rPr>
                <w:sz w:val="18"/>
              </w:rPr>
              <w:t>£750k–£975k</w:t>
            </w:r>
          </w:p>
        </w:tc>
      </w:tr>
    </w:tbl>
    <w:p>
      <w:pPr>
        <w:pStyle w:val="QuoteLine"/>
        <w:jc w:val="center"/>
      </w:pPr>
      <w:r>
        <w:rPr>
          <w:b/>
        </w:rPr>
        <w:t>"The business does not require reinvention. It requires better pricing, better packaging, and more deliberate transfer of operational ownership away from the founder."</w:t>
      </w:r>
    </w:p>
    <w:p>
      <w:pPr>
        <w:pStyle w:val="SectionHeading"/>
      </w:pPr>
      <w:r>
        <w:t>1. Practice Overview</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The Chowdury Accountants Ltd is an AAT Licensed firm based at 283 Featherstall Road North, Oldham, trading as Chowdury Accountants. Founded in 2015, the practice has grown from a standing start to a substantial owner-managed client base. The brand now combines sector specialism, community trust, office visibility, and recurring collections infrastructure in a way that is uncommon for firms of comparable size.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Practice item</w:t>
            </w:r>
          </w:p>
        </w:tc>
        <w:tc>
          <w:tcPr>
            <w:tcW w:type="dxa" w:w="734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Detail</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Registered name</w:t>
            </w:r>
          </w:p>
        </w:tc>
        <w:tc>
          <w:tcPr>
            <w:tcW w:type="dxa" w:w="734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The Chowdury Accountants Ltd</w:t>
            </w:r>
          </w:p>
        </w:tc>
      </w:tr>
      <w:tr>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Trading style</w:t>
            </w:r>
          </w:p>
        </w:tc>
        <w:tc>
          <w:tcPr>
            <w:tcW w:type="dxa" w:w="734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Chowdury Accountants</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Company number</w:t>
            </w:r>
          </w:p>
        </w:tc>
        <w:tc>
          <w:tcPr>
            <w:tcW w:type="dxa" w:w="734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09441520</w:t>
            </w:r>
          </w:p>
        </w:tc>
      </w:tr>
      <w:tr>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 number</w:t>
            </w:r>
          </w:p>
        </w:tc>
        <w:tc>
          <w:tcPr>
            <w:tcW w:type="dxa" w:w="734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403 392 620</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Licence</w:t>
            </w:r>
          </w:p>
        </w:tc>
        <w:tc>
          <w:tcPr>
            <w:tcW w:type="dxa" w:w="734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AAT Licensed Accountants</w:t>
            </w:r>
          </w:p>
        </w:tc>
      </w:tr>
      <w:tr>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Trademark</w:t>
            </w:r>
          </w:p>
        </w:tc>
        <w:tc>
          <w:tcPr>
            <w:tcW w:type="dxa" w:w="734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UK00004273557 — Class 35, registered December 2025, renewal October 2035</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Registered address</w:t>
            </w:r>
          </w:p>
        </w:tc>
        <w:tc>
          <w:tcPr>
            <w:tcW w:type="dxa" w:w="734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283 Featherstall Road North, Oldham, OL1 2NH</w:t>
            </w:r>
          </w:p>
        </w:tc>
      </w:tr>
      <w:tr>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Telephone</w:t>
            </w:r>
          </w:p>
        </w:tc>
        <w:tc>
          <w:tcPr>
            <w:tcW w:type="dxa" w:w="734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0161 222 4647  /  07948 503627</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Email / website</w:t>
            </w:r>
          </w:p>
        </w:tc>
        <w:tc>
          <w:tcPr>
            <w:tcW w:type="dxa" w:w="734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info@chowduryaccountants.co.uk  /  www.chowduryaccountants.co.uk</w:t>
            </w:r>
          </w:p>
        </w:tc>
      </w:tr>
      <w:tr>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Managing Director</w:t>
            </w:r>
          </w:p>
        </w:tc>
        <w:tc>
          <w:tcPr>
            <w:tcW w:type="dxa" w:w="734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Md Asadul Chowdury AAT</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Practice founded</w:t>
            </w:r>
          </w:p>
        </w:tc>
        <w:tc>
          <w:tcPr>
            <w:tcW w:type="dxa" w:w="734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2015</w:t>
            </w:r>
          </w:p>
        </w:tc>
      </w:tr>
    </w:tbl>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9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Team member</w:t>
            </w:r>
          </w:p>
        </w:tc>
        <w:tc>
          <w:tcPr>
            <w:tcW w:type="dxa" w:w="230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Role</w:t>
            </w:r>
          </w:p>
        </w:tc>
        <w:tc>
          <w:tcPr>
            <w:tcW w:type="dxa" w:w="547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Core responsibilities</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Md Asadul Chowdury</w:t>
            </w:r>
          </w:p>
        </w:tc>
        <w:tc>
          <w:tcPr>
            <w:tcW w:type="dxa" w:w="230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Managing Director</w:t>
            </w:r>
          </w:p>
        </w:tc>
        <w:tc>
          <w:tcPr>
            <w:tcW w:type="dxa" w:w="54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Client relationships, strategy, accounts review, pricing, business development, complex advisory matters.</w:t>
            </w:r>
          </w:p>
        </w:tc>
      </w:tr>
      <w:tr>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Hassan Ali</w:t>
            </w:r>
          </w:p>
        </w:tc>
        <w:tc>
          <w:tcPr>
            <w:tcW w:type="dxa" w:w="230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Ltd Co. &amp; VAT Manager</w:t>
            </w:r>
          </w:p>
        </w:tc>
        <w:tc>
          <w:tcPr>
            <w:tcW w:type="dxa" w:w="54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Company accounts, corporation tax, VAT returns, client coordination, compliance management.</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Aminul Choudhury</w:t>
            </w:r>
          </w:p>
        </w:tc>
        <w:tc>
          <w:tcPr>
            <w:tcW w:type="dxa" w:w="230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Payroll &amp; SA Manager</w:t>
            </w:r>
          </w:p>
        </w:tc>
        <w:tc>
          <w:tcPr>
            <w:tcW w:type="dxa" w:w="54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PAYE processing, self-assessment returns, onboarding, workflow, bookkeeping coordination.</w:t>
            </w:r>
          </w:p>
        </w:tc>
      </w:tr>
      <w:tr>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Syed Nawaz</w:t>
            </w:r>
          </w:p>
        </w:tc>
        <w:tc>
          <w:tcPr>
            <w:tcW w:type="dxa" w:w="230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Apprentice</w:t>
            </w:r>
          </w:p>
        </w:tc>
        <w:tc>
          <w:tcPr>
            <w:tcW w:type="dxa" w:w="54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Administrative support, data entry, client liaison, filing support.</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Sadat Bhuiyan</w:t>
            </w:r>
          </w:p>
        </w:tc>
        <w:tc>
          <w:tcPr>
            <w:tcW w:type="dxa" w:w="230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Remote Accountant</w:t>
            </w:r>
          </w:p>
        </w:tc>
        <w:tc>
          <w:tcPr>
            <w:tcW w:type="dxa" w:w="54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Accounts preparation and bookkeeping support (Bangladesh).</w:t>
            </w:r>
          </w:p>
        </w:tc>
      </w:tr>
    </w:tbl>
    <w:p>
      <w:pPr/>
      <w:r>
        <w:rPr>
          <w:b w:val="0"/>
        </w:rPr>
        <w:t>The office building at 283 Featherstall Road North is owned by Chowdury Properties Ltd (CPL). The practice pays £2,000/month under a formal six-year commercial lease from November 2025. A commercial mortgage refinancing is in progress with broker Olivia Gallagher at B2B Finance, targeting a reduction from the current 9.9% APR to a competitive rate at 75% LTV, interest-only basis.</w:t>
      </w:r>
    </w:p>
    <w:p>
      <w:pPr>
        <w:pStyle w:val="SectionHeading"/>
      </w:pPr>
      <w:r>
        <w:t>2. Client Base, Services and Sector Mix</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31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Metric</w:t>
            </w:r>
          </w:p>
        </w:tc>
        <w:tc>
          <w:tcPr>
            <w:tcW w:type="dxa" w:w="705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Confirmed count and comment</w:t>
            </w:r>
          </w:p>
        </w:tc>
      </w:tr>
      <w:tr>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Active limited companies</w:t>
            </w:r>
          </w:p>
        </w:tc>
        <w:tc>
          <w:tcPr>
            <w:tcW w:type="dxa" w:w="70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307 — core economic engine of the practice.</w:t>
            </w:r>
          </w:p>
        </w:tc>
      </w:tr>
      <w:tr>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Self-assessment returns</w:t>
            </w:r>
          </w:p>
        </w:tc>
        <w:tc>
          <w:tcPr>
            <w:tcW w:type="dxa" w:w="705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383 — includes 44 directors also within the Ltd client base.</w:t>
            </w:r>
          </w:p>
        </w:tc>
      </w:tr>
      <w:tr>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PAYE employers</w:t>
            </w:r>
          </w:p>
        </w:tc>
        <w:tc>
          <w:tcPr>
            <w:tcW w:type="dxa" w:w="70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243 — managing approximately 1,007 employees in aggregate.</w:t>
            </w:r>
          </w:p>
        </w:tc>
      </w:tr>
      <w:tr>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VAT-registered clients</w:t>
            </w:r>
          </w:p>
        </w:tc>
        <w:tc>
          <w:tcPr>
            <w:tcW w:type="dxa" w:w="705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42 — correctly priced at £600/year for four returns.</w:t>
            </w:r>
          </w:p>
        </w:tc>
      </w:tr>
      <w:tr>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DD / SO recurring clients</w:t>
            </w:r>
          </w:p>
        </w:tc>
        <w:tc>
          <w:tcPr>
            <w:tcW w:type="dxa" w:w="70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208 — 163 GoCardless clients and 45 standing order clients.</w:t>
            </w:r>
          </w:p>
        </w:tc>
      </w:tr>
    </w:tbl>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88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Service line</w:t>
            </w:r>
          </w:p>
        </w:tc>
        <w:tc>
          <w:tcPr>
            <w:tcW w:type="dxa" w:w="115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Clients</w:t>
            </w:r>
          </w:p>
        </w:tc>
        <w:tc>
          <w:tcPr>
            <w:tcW w:type="dxa" w:w="172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Current fee</w:t>
            </w:r>
          </w:p>
        </w:tc>
        <w:tc>
          <w:tcPr>
            <w:tcW w:type="dxa" w:w="216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Modelled annual revenue</w:t>
            </w:r>
          </w:p>
        </w:tc>
        <w:tc>
          <w:tcPr>
            <w:tcW w:type="dxa" w:w="187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Share of actual revenue</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Ltd company accounts</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307</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216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£184,200</w:t>
            </w:r>
          </w:p>
        </w:tc>
        <w:tc>
          <w:tcPr>
            <w:tcW w:type="dxa" w:w="18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58.7%</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PAYE / payroll</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243</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£300 per employer</w:t>
            </w:r>
          </w:p>
        </w:tc>
        <w:tc>
          <w:tcPr>
            <w:tcW w:type="dxa" w:w="216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£72,900</w:t>
            </w:r>
          </w:p>
        </w:tc>
        <w:tc>
          <w:tcPr>
            <w:tcW w:type="dxa" w:w="18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23.2%</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Self-assessment</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383</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w:t>
            </w:r>
          </w:p>
        </w:tc>
        <w:tc>
          <w:tcPr>
            <w:tcW w:type="dxa" w:w="216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£57,450</w:t>
            </w:r>
          </w:p>
        </w:tc>
        <w:tc>
          <w:tcPr>
            <w:tcW w:type="dxa" w:w="18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18.3%</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 returns</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42</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£600/year</w:t>
            </w:r>
          </w:p>
        </w:tc>
        <w:tc>
          <w:tcPr>
            <w:tcW w:type="dxa" w:w="216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£25,200</w:t>
            </w:r>
          </w:p>
        </w:tc>
        <w:tc>
          <w:tcPr>
            <w:tcW w:type="dxa" w:w="18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8.0%</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Total modelled</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216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£339,750</w:t>
            </w:r>
          </w:p>
        </w:tc>
        <w:tc>
          <w:tcPr>
            <w:tcW w:type="dxa" w:w="18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Actual restated FY2025/26</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216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£314,000</w:t>
            </w:r>
          </w:p>
        </w:tc>
        <w:tc>
          <w:tcPr>
            <w:tcW w:type="dxa" w:w="18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100%</w:t>
            </w:r>
          </w:p>
        </w:tc>
      </w:tr>
    </w:tbl>
    <w:p>
      <w:pPr/>
      <w:r>
        <w:rPr>
          <w:b w:val="0"/>
        </w:rPr>
        <w:t>The approximately £25,750 gap between modelled and actual revenue reflects a combination of timing differences, write-offs, collection lag, and under-billing — not a structural demand problem.</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88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Sector</w:t>
            </w:r>
          </w:p>
        </w:tc>
        <w:tc>
          <w:tcPr>
            <w:tcW w:type="dxa" w:w="108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Clients</w:t>
            </w:r>
          </w:p>
        </w:tc>
        <w:tc>
          <w:tcPr>
            <w:tcW w:type="dxa" w:w="100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Share</w:t>
            </w:r>
          </w:p>
        </w:tc>
        <w:tc>
          <w:tcPr>
            <w:tcW w:type="dxa" w:w="482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Strategic reading</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Hospitality (restaurants / takeaways)</w:t>
            </w:r>
          </w:p>
        </w:tc>
        <w:tc>
          <w:tcPr>
            <w:tcW w:type="dxa" w:w="10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122</w:t>
            </w:r>
          </w:p>
        </w:tc>
        <w:tc>
          <w:tcPr>
            <w:tcW w:type="dxa" w:w="100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40%</w:t>
            </w:r>
          </w:p>
        </w:tc>
        <w:tc>
          <w:tcPr>
            <w:tcW w:type="dxa" w:w="48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Core niche and referral engine. Primary competitive moat.</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Professional and other SMEs</w:t>
            </w:r>
          </w:p>
        </w:tc>
        <w:tc>
          <w:tcPr>
            <w:tcW w:type="dxa" w:w="10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109</w:t>
            </w:r>
          </w:p>
        </w:tc>
        <w:tc>
          <w:tcPr>
            <w:tcW w:type="dxa" w:w="100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35%</w:t>
            </w:r>
          </w:p>
        </w:tc>
        <w:tc>
          <w:tcPr>
            <w:tcW w:type="dxa" w:w="48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Broad spread across trades, logistics, education, media.</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Property</w:t>
            </w:r>
          </w:p>
        </w:tc>
        <w:tc>
          <w:tcPr>
            <w:tcW w:type="dxa" w:w="10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23</w:t>
            </w:r>
          </w:p>
        </w:tc>
        <w:tc>
          <w:tcPr>
            <w:tcW w:type="dxa" w:w="100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7%</w:t>
            </w:r>
          </w:p>
        </w:tc>
        <w:tc>
          <w:tcPr>
            <w:tcW w:type="dxa" w:w="48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Landlords, property companies, letting and estate activity.</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Retail</w:t>
            </w:r>
          </w:p>
        </w:tc>
        <w:tc>
          <w:tcPr>
            <w:tcW w:type="dxa" w:w="10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w:t>
            </w:r>
          </w:p>
        </w:tc>
        <w:tc>
          <w:tcPr>
            <w:tcW w:type="dxa" w:w="100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w:t>
            </w:r>
          </w:p>
        </w:tc>
        <w:tc>
          <w:tcPr>
            <w:tcW w:type="dxa" w:w="48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Off licences, convenience stores, supermarkets.</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Healthcare</w:t>
            </w:r>
          </w:p>
        </w:tc>
        <w:tc>
          <w:tcPr>
            <w:tcW w:type="dxa" w:w="10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11</w:t>
            </w:r>
          </w:p>
        </w:tc>
        <w:tc>
          <w:tcPr>
            <w:tcW w:type="dxa" w:w="100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4%</w:t>
            </w:r>
          </w:p>
        </w:tc>
        <w:tc>
          <w:tcPr>
            <w:tcW w:type="dxa" w:w="48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Locums, care providers, medical businesses.</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Construction / beauty / other</w:t>
            </w:r>
          </w:p>
        </w:tc>
        <w:tc>
          <w:tcPr>
            <w:tcW w:type="dxa" w:w="10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25</w:t>
            </w:r>
          </w:p>
        </w:tc>
        <w:tc>
          <w:tcPr>
            <w:tcW w:type="dxa" w:w="100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8%</w:t>
            </w:r>
          </w:p>
        </w:tc>
        <w:tc>
          <w:tcPr>
            <w:tcW w:type="dxa" w:w="48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Useful diversification outside the food-sector base.</w:t>
            </w:r>
          </w:p>
        </w:tc>
      </w:tr>
    </w:tbl>
    <w:p>
      <w:pPr>
        <w:pStyle w:val="SectionHeading"/>
      </w:pPr>
      <w:r>
        <w:t>3. Recurring Revenue and Cash-Flow Quality</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The recurring revenue base is one of the practice's most valuable features. It materially improves collection quality, cash predictability, and transfer value to a future buyer or lender. A recurring revenue ratio of 74.7% is exceptional for a regional practice of this size — well above the 30–50% typical benchmark.</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45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Metric</w:t>
            </w:r>
          </w:p>
        </w:tc>
        <w:tc>
          <w:tcPr>
            <w:tcW w:type="dxa" w:w="691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Value and interpretation</w:t>
            </w:r>
          </w:p>
        </w:tc>
      </w:tr>
      <w:tr>
        <w:tc>
          <w:tcPr>
            <w:tcW w:type="dxa" w:w="34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GoCardless clients</w:t>
            </w:r>
          </w:p>
        </w:tc>
        <w:tc>
          <w:tcPr>
            <w:tcW w:type="dxa" w:w="69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163 — average £90/month per client.</w:t>
            </w:r>
          </w:p>
        </w:tc>
      </w:tr>
      <w:tr>
        <w:tc>
          <w:tcPr>
            <w:tcW w:type="dxa" w:w="345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GoCardless monthly revenue</w:t>
            </w:r>
          </w:p>
        </w:tc>
        <w:tc>
          <w:tcPr>
            <w:tcW w:type="dxa" w:w="69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£14,685 — confirmed from live portal data.</w:t>
            </w:r>
          </w:p>
        </w:tc>
      </w:tr>
      <w:tr>
        <w:tc>
          <w:tcPr>
            <w:tcW w:type="dxa" w:w="34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Standing order clients</w:t>
            </w:r>
          </w:p>
        </w:tc>
        <w:tc>
          <w:tcPr>
            <w:tcW w:type="dxa" w:w="69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45 — average £109/month per client.</w:t>
            </w:r>
          </w:p>
        </w:tc>
      </w:tr>
      <w:tr>
        <w:tc>
          <w:tcPr>
            <w:tcW w:type="dxa" w:w="345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Standing order monthly revenue</w:t>
            </w:r>
          </w:p>
        </w:tc>
        <w:tc>
          <w:tcPr>
            <w:tcW w:type="dxa" w:w="69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£4,894 — confirmed from February 2026 schedule.</w:t>
            </w:r>
          </w:p>
        </w:tc>
      </w:tr>
      <w:tr>
        <w:tc>
          <w:tcPr>
            <w:tcW w:type="dxa" w:w="34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Combined MRR</w:t>
            </w:r>
          </w:p>
        </w:tc>
        <w:tc>
          <w:tcPr>
            <w:tcW w:type="dxa" w:w="69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£19,579 — equivalent to £234,945 annualised run-rate.</w:t>
            </w:r>
          </w:p>
        </w:tc>
      </w:tr>
      <w:tr>
        <w:tc>
          <w:tcPr>
            <w:tcW w:type="dxa" w:w="345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Progress to £25,000 target</w:t>
            </w:r>
          </w:p>
        </w:tc>
        <w:tc>
          <w:tcPr>
            <w:tcW w:type="dxa" w:w="69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78.3% — gap of £5,421/month remaining.</w:t>
            </w:r>
          </w:p>
        </w:tc>
      </w:tr>
    </w:tbl>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59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Stage</w:t>
            </w:r>
          </w:p>
        </w:tc>
        <w:tc>
          <w:tcPr>
            <w:tcW w:type="dxa" w:w="244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Client profile</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MRR</w:t>
            </w:r>
          </w:p>
        </w:tc>
        <w:tc>
          <w:tcPr>
            <w:tcW w:type="dxa" w:w="172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Annualised</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Status</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Pre-GC baseline</w:t>
            </w:r>
          </w:p>
        </w:tc>
        <w:tc>
          <w:tcPr>
            <w:tcW w:type="dxa" w:w="244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 SO only</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~£2,000</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~£24,000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Complete</w:t>
            </w:r>
          </w:p>
        </w:tc>
      </w:tr>
      <w:tr>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FY2024/25</w:t>
            </w:r>
          </w:p>
        </w:tc>
        <w:tc>
          <w:tcPr>
            <w:tcW w:type="dxa" w:w="244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68 GC + 45 SO</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~£9,800</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~£117,600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Complete</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October 2025</w:t>
            </w:r>
          </w:p>
        </w:tc>
        <w:tc>
          <w:tcPr>
            <w:tcW w:type="dxa" w:w="244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146 GC + 45 SO</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£17,977</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£215,721</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Complete</w:t>
            </w:r>
          </w:p>
        </w:tc>
      </w:tr>
      <w:tr>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March 2026 — confirmed</w:t>
            </w:r>
          </w:p>
        </w:tc>
        <w:tc>
          <w:tcPr>
            <w:tcW w:type="dxa" w:w="244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163 GC + 45 SO</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£19,579</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£234,945</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Confirmed</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Vision 2030 target</w:t>
            </w:r>
          </w:p>
        </w:tc>
        <w:tc>
          <w:tcPr>
            <w:tcW w:type="dxa" w:w="244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220+ clients</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£25,000</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£300,000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Target</w:t>
            </w:r>
          </w:p>
        </w:tc>
      </w:tr>
    </w:tbl>
    <w:p>
      <w:pPr>
        <w:pStyle w:val="SubsectionHeading"/>
      </w:pPr>
      <w:r>
        <w:rPr>
          <w:b w:val="0"/>
        </w:rPr>
        <w:t>Client Tier Segmentation — All 208 Recurring Clients</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79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Tier</w:t>
            </w:r>
          </w:p>
        </w:tc>
        <w:tc>
          <w:tcPr>
            <w:tcW w:type="dxa" w:w="201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 value</w:t>
            </w:r>
          </w:p>
        </w:tc>
        <w:tc>
          <w:tcPr>
            <w:tcW w:type="dxa" w:w="100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Clients</w:t>
            </w:r>
          </w:p>
        </w:tc>
        <w:tc>
          <w:tcPr>
            <w:tcW w:type="dxa" w:w="115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Avg /mo</w:t>
            </w:r>
          </w:p>
        </w:tc>
        <w:tc>
          <w:tcPr>
            <w:tcW w:type="dxa" w:w="180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 recurring</w:t>
            </w:r>
          </w:p>
        </w:tc>
        <w:tc>
          <w:tcPr>
            <w:tcW w:type="dxa" w:w="115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 MRR</w:t>
            </w:r>
          </w:p>
        </w:tc>
        <w:tc>
          <w:tcPr>
            <w:tcW w:type="dxa" w:w="129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GC / SO</w:t>
            </w:r>
          </w:p>
        </w:tc>
        <w:tc>
          <w:tcPr>
            <w:tcW w:type="dxa" w:w="172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Priority</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w:t>
            </w:r>
          </w:p>
        </w:tc>
        <w:tc>
          <w:tcPr>
            <w:tcW w:type="dxa" w:w="201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 (£150+/mo)</w:t>
            </w:r>
          </w:p>
        </w:tc>
        <w:tc>
          <w:tcPr>
            <w:tcW w:type="dxa" w:w="100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28</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£206</w:t>
            </w:r>
          </w:p>
        </w:tc>
        <w:tc>
          <w:tcPr>
            <w:tcW w:type="dxa" w:w="18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£69,279</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29.5%</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19 / 9</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Retain &amp; deepen</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B</w:t>
            </w:r>
          </w:p>
        </w:tc>
        <w:tc>
          <w:tcPr>
            <w:tcW w:type="dxa" w:w="201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£900–1,799/yr</w:t>
            </w:r>
          </w:p>
        </w:tc>
        <w:tc>
          <w:tcPr>
            <w:tcW w:type="dxa" w:w="100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126</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£89</w:t>
            </w:r>
          </w:p>
        </w:tc>
        <w:tc>
          <w:tcPr>
            <w:tcW w:type="dxa" w:w="18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£134,832</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57.4%</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110 / 16</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Retain &amp; grow</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w:t>
            </w:r>
          </w:p>
        </w:tc>
        <w:tc>
          <w:tcPr>
            <w:tcW w:type="dxa" w:w="201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£360–899/yr</w:t>
            </w:r>
          </w:p>
        </w:tc>
        <w:tc>
          <w:tcPr>
            <w:tcW w:type="dxa" w:w="100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41</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£58</w:t>
            </w:r>
          </w:p>
        </w:tc>
        <w:tc>
          <w:tcPr>
            <w:tcW w:type="dxa" w:w="18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£28,574</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12.2%</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31 / 10</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Upsell</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D</w:t>
            </w:r>
          </w:p>
        </w:tc>
        <w:tc>
          <w:tcPr>
            <w:tcW w:type="dxa" w:w="201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Below £360/yr</w:t>
            </w:r>
          </w:p>
        </w:tc>
        <w:tc>
          <w:tcPr>
            <w:tcW w:type="dxa" w:w="100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13</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£14</w:t>
            </w:r>
          </w:p>
        </w:tc>
        <w:tc>
          <w:tcPr>
            <w:tcW w:type="dxa" w:w="18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£2,260</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 / 10</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Review</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w:t>
            </w:r>
          </w:p>
        </w:tc>
        <w:tc>
          <w:tcPr>
            <w:tcW w:type="dxa" w:w="201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Total</w:t>
            </w:r>
          </w:p>
        </w:tc>
        <w:tc>
          <w:tcPr>
            <w:tcW w:type="dxa" w:w="100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208</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£94</w:t>
            </w:r>
          </w:p>
        </w:tc>
        <w:tc>
          <w:tcPr>
            <w:tcW w:type="dxa" w:w="18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£234,945</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100%</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163 / 45</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r>
    </w:tbl>
    <w:p>
      <w:pPr/>
      <w:r>
        <w:rPr>
          <w:b w:val="0"/>
        </w:rPr>
        <w:t>The 69 clients paying exactly £75/month represent an immediate pricing cohort. Moving this cohort alone to £100/month adds £20,700 annual recurring revenue without a single new client.</w:t>
      </w:r>
    </w:p>
    <w:p>
      <w:pPr>
        <w:pStyle w:val="SubsectionHeading"/>
      </w:pPr>
      <w:r>
        <w:rPr>
          <w:b w:val="0"/>
        </w:rPr>
        <w:t>Tier A Clients — All 28 (£150+ per month)</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79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Type</w:t>
            </w:r>
          </w:p>
        </w:tc>
        <w:tc>
          <w:tcPr>
            <w:tcW w:type="dxa" w:w="532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Client</w:t>
            </w:r>
          </w:p>
        </w:tc>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Location</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Monthly</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Anthony Close — Close Properties + Van Breakers</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Doncaster</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£736.60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£8,839</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Aram Rasul Ali — Aria Cash &amp; Carry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£500.00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£6,000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SHAIKH HEALTHCARE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£375.00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£4,500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Abdur Rouf — Sequential Services</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£249.99</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£3,000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Samiul &amp; Robiul — 3 companies</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£215.00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£2,580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Al amin foodstore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£200.00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£2,400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Global Learning Pathway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£195.00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£2,340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Ziggy's Schoolwear Bolton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Bolton</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£2,160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Bengal Curry Pot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£2,160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ST Catering WA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Warrington</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£2,160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Travel Line Minibus Services</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£175.00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£2,100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UNION NEWS AGENT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£170.00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£2,040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MRA Restaurant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£165.00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£1,980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EH Takeaway Ltd (weekly collection)</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£151.67</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£1,820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KINGFISHER BD RESTAURANT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Congleton</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2020 Optix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COPPICE BAZAR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Lija Catering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Southport</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Bengal Rose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Ulverston</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Prospect Store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Mcdhaba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Gretna</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Spice of India Cuerdley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Warrington</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Yas International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BRTA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GC</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MAMU ENTERPRISES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Kendal</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AH Takeaway Ltd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Spicy Valley Todmorden Ltd</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Todmorden</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r>
        <w:tc>
          <w:tcPr>
            <w:tcW w:type="dxa" w:w="7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SO</w:t>
            </w:r>
          </w:p>
        </w:tc>
        <w:tc>
          <w:tcPr>
            <w:tcW w:type="dxa" w:w="53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Imon Tandoori</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Oldham</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£1,800</w:t>
            </w:r>
          </w:p>
        </w:tc>
      </w:tr>
    </w:tbl>
    <w:p>
      <w:pPr>
        <w:pStyle w:val="SectionHeading"/>
      </w:pPr>
      <w:r>
        <w:t>4. Financial Analysis and Profitability</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The restated revenue position of approximately £314,000 is the correct anchor for strategic planning. In this report, staff costs represent the four employed or contracted team members only. Managing Director remuneration — whether drawn as salary, dividends, or a combination — is excluded from operating costs and treated as a distribution from net profit.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88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Revenue stream</w:t>
            </w:r>
          </w:p>
        </w:tc>
        <w:tc>
          <w:tcPr>
            <w:tcW w:type="dxa" w:w="172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 revenue</w:t>
            </w:r>
          </w:p>
        </w:tc>
        <w:tc>
          <w:tcPr>
            <w:tcW w:type="dxa" w:w="172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Share of actual revenue</w:t>
            </w:r>
          </w:p>
        </w:tc>
        <w:tc>
          <w:tcPr>
            <w:tcW w:type="dxa" w:w="403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Comment</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Ltd company accounts</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£184,200</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58.7%</w:t>
            </w:r>
          </w:p>
        </w:tc>
        <w:tc>
          <w:tcPr>
            <w:tcW w:type="dxa" w:w="403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Primary revenue engine of the practice.</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PAYE / payroll</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£72,900</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23.2%</w:t>
            </w:r>
          </w:p>
        </w:tc>
        <w:tc>
          <w:tcPr>
            <w:tcW w:type="dxa" w:w="403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Operationally important; currently underpriced.</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Self-assessment</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£57,450</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18.3%</w:t>
            </w:r>
          </w:p>
        </w:tc>
        <w:tc>
          <w:tcPr>
            <w:tcW w:type="dxa" w:w="403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Foundation service and feeder into broader work.</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 returns</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£25,200</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8.0%</w:t>
            </w:r>
          </w:p>
        </w:tc>
        <w:tc>
          <w:tcPr>
            <w:tcW w:type="dxa" w:w="403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Well-priced and attractive recurring work.</w:t>
            </w:r>
          </w:p>
        </w:tc>
      </w:tr>
    </w:tbl>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16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Cost category</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Monthly</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w:t>
            </w:r>
          </w:p>
        </w:tc>
        <w:tc>
          <w:tcPr>
            <w:tcW w:type="dxa" w:w="432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Comment</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Staff — team wages and NIC</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£10,500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£126,000</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Hassan, Aminul, Nawaz and Sadat. MD remuneration separate.</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Premises (rent to CPL + rates)</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£2,329</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£27,948</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Rent to CPL at £2,000/month plus rates and utilities.</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Software and subscriptions</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£1,277</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£15,324</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QBO, Bright Manager, Inform Direct and related stack.</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Companies House / Inform Direct</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£1,700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£20,400</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Filing fees and annual subscriptions.</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Lloyds business loan</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£971</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£11,652</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Consolidation loan at 10.65% APR.</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Communications</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£210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£2,520</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Mobile, broadband and landline.</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Fuel and travel</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£2,400</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Business travel and client visits.</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Professional fees and other</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£97</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£1,164</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Insurance, AAT and banking costs.</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Total operating cost</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£17,284</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£207,408</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Lean cost base relative to revenue and client volume.</w:t>
            </w:r>
          </w:p>
        </w:tc>
      </w:tr>
    </w:tbl>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60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Profit metric</w:t>
            </w:r>
          </w:p>
        </w:tc>
        <w:tc>
          <w:tcPr>
            <w:tcW w:type="dxa" w:w="172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 Amount</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 Revenue</w:t>
            </w:r>
          </w:p>
        </w:tc>
        <w:tc>
          <w:tcPr>
            <w:tcW w:type="dxa" w:w="360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Comment</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Net revenue (actual, restated)</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£314,000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100.0%</w:t>
            </w:r>
          </w:p>
        </w:tc>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Clean trading income, bank-statement verified.</w:t>
            </w:r>
          </w:p>
        </w:tc>
      </w:tr>
      <w:tr>
        <w:tc>
          <w:tcPr>
            <w:tcW w:type="dxa" w:w="36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Operating costs (excl. MD remuneration)</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£207,408</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66.1%</w:t>
            </w:r>
          </w:p>
        </w:tc>
        <w:tc>
          <w:tcPr>
            <w:tcW w:type="dxa" w:w="36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All overheads; four team members; excludes MD pay.</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Net operating profit</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£106,592</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33.9%</w:t>
            </w:r>
          </w:p>
        </w:tc>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Available for MD remuneration and reinvestment.</w:t>
            </w:r>
          </w:p>
        </w:tc>
      </w:tr>
      <w:tr>
        <w:tc>
          <w:tcPr>
            <w:tcW w:type="dxa" w:w="36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Post-fee-correction revenue</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£423,340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w:t>
            </w:r>
          </w:p>
        </w:tc>
        <w:tc>
          <w:tcPr>
            <w:tcW w:type="dxa" w:w="36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Same client base; corrected rates only; no new clients.</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Post-correction operating profit</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£215,932</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51.0%</w:t>
            </w:r>
          </w:p>
        </w:tc>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Directional model — not a guaranteed delivery figure.</w:t>
            </w:r>
          </w:p>
        </w:tc>
      </w:tr>
    </w:tbl>
    <w:p>
      <w:pPr>
        <w:pStyle w:val="QuoteLine"/>
      </w:pPr>
      <w:r>
        <w:t>The post-correction figures should be read as a directional model, not a guaranteed outcome. Implementation will involve timing lag and a modest level of expected client attrition. The strategic point remains: the current fee schedule materially understates the value being delivered.</w:t>
      </w:r>
    </w:p>
    <w:p>
      <w:pPr>
        <w:pStyle w:val="SectionHeading"/>
      </w:pPr>
      <w:r>
        <w:t>5. Pricing Strategy and Commercial Correction</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302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Service</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Current fee</w:t>
            </w:r>
          </w:p>
        </w:tc>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Recommended</w:t>
            </w:r>
          </w:p>
        </w:tc>
        <w:tc>
          <w:tcPr>
            <w:tcW w:type="dxa" w:w="172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Increase</w:t>
            </w:r>
          </w:p>
        </w:tc>
        <w:tc>
          <w:tcPr>
            <w:tcW w:type="dxa" w:w="288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 uplift on current base</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Ltd company accounts</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£800</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+£200 (33%)</w:t>
            </w:r>
          </w:p>
        </w:tc>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307 × £200 = £61,400</w:t>
            </w:r>
          </w:p>
        </w:tc>
      </w:tr>
      <w:tr>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PAYE / payroll</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£300</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£450</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 (50%)</w:t>
            </w:r>
          </w:p>
        </w:tc>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243 × £150 = £36,450</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Self-assessment</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w:t>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 (20%)</w:t>
            </w:r>
          </w:p>
        </w:tc>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383 × £30 = £11,490</w:t>
            </w:r>
          </w:p>
        </w:tc>
      </w:tr>
      <w:tr>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 returns</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172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No change</w:t>
            </w:r>
          </w:p>
        </w:tc>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Market rate confirmed</w:t>
            </w:r>
          </w:p>
        </w:tc>
      </w:tr>
      <w:tr>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Total</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72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+£109,340 per year</w:t>
            </w:r>
          </w:p>
        </w:tc>
      </w:tr>
    </w:tbl>
    <w:p>
      <w:pPr/>
      <w:r>
        <w:rPr>
          <w:b w:val="0"/>
        </w:rPr>
        <w:t>The highest-value immediate commercial action is to apply corrected pricing to every new client now and to issue a structured fee review to the existing base with clear notice periods. The price increase case is strongest where the service has repeatability, reliance, and embedded client trust — most notably limited company accounts and payroll.</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184"/>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Recommended implementation</w:t>
            </w:r>
          </w:p>
        </w:tc>
        <w:tc>
          <w:tcPr>
            <w:tcW w:type="dxa" w:w="5184"/>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Commercial cautions</w:t>
            </w:r>
          </w:p>
        </w:tc>
      </w:tr>
      <w:tr>
        <w:tc>
          <w:tcPr>
            <w:tcW w:type="dxa" w:w="51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 Apply new prices to all new clients immediately: £800 Ltd, £450 PAYE, £180 SA.</w:t>
              <w:br/>
              <w:t>• Move the 69-client £75 cohort to £100/month on renewal.</w:t>
              <w:br/>
              <w:t>• Use 90 days' notice for legacy clients. Frame increases around service quality, compliance demands, and DD convenience.</w:t>
              <w:br/>
              <w:t>• Bundle where value is clear: Ltd + PAYE, Ltd + SA, Ltd + VAT + PAYE.</w:t>
            </w:r>
          </w:p>
        </w:tc>
        <w:tc>
          <w:tcPr>
            <w:tcW w:type="dxa" w:w="51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 Do not apply blunt percentage rises without segmenting by service mix and client value.</w:t>
              <w:br/>
              <w:t>• Expect some timing slippage and modest attrition — but do not let fear of churn freeze necessary repricing.</w:t>
              <w:br/>
              <w:t>• Give Tier A clients direct personal communication rather than a standard mass letter.</w:t>
              <w:br/>
              <w:t>• Use the fee review process to simultaneously improve data capture: email, mobile, service confirmation.</w:t>
            </w:r>
          </w:p>
        </w:tc>
      </w:tr>
    </w:tbl>
    <w:p>
      <w:pPr>
        <w:pStyle w:val="SectionHeading"/>
      </w:pPr>
      <w:r>
        <w:t>6. Operating Economics and Performance Metrics</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The practice compares well on retention, recurring revenue, and margin. It compares less well on revenue per client and revenue per team member — but this is primarily a pricing issue, not a productivity shortfall.</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31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KPI</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Current</w:t>
            </w:r>
          </w:p>
        </w:tc>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Post-correction</w:t>
            </w:r>
          </w:p>
        </w:tc>
        <w:tc>
          <w:tcPr>
            <w:tcW w:type="dxa" w:w="432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Interpretation</w:t>
            </w:r>
          </w:p>
        </w:tc>
      </w:tr>
      <w:tr>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Revenue per employee</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£62,800</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£84,668</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Moves into a healthy range after fee correction.</w:t>
            </w:r>
          </w:p>
        </w:tc>
      </w:tr>
      <w:tr>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Revenue per client</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£523</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£706</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Confirms that many relationships remain under-monetised.</w:t>
            </w:r>
          </w:p>
        </w:tc>
      </w:tr>
      <w:tr>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Clients per employee</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120</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120</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At the top end of what is comfortable without further systemisation.</w:t>
            </w:r>
          </w:p>
        </w:tc>
      </w:tr>
      <w:tr>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Staff cost as % of revenue</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40.1%</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29.8%</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Healthy today; very strong post-correction.</w:t>
            </w:r>
          </w:p>
        </w:tc>
      </w:tr>
      <w:tr>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Net margin (before MD remuneration)</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33.9%</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51.0%</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Directional model; demonstrates pricing power.</w:t>
            </w:r>
          </w:p>
        </w:tc>
      </w:tr>
      <w:tr>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Recurring revenue % of total</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74.7%</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Significantly above the 30–50% sector norm. A genuine asset.</w:t>
            </w:r>
          </w:p>
        </w:tc>
      </w:tr>
    </w:tbl>
    <w:p>
      <w:pPr/>
      <w:r>
        <w:rPr>
          <w:b w:val="0"/>
        </w:rPr>
        <w:t>The key managerial truth does not depend on precise hourly-rate modelling: the firm's realised price per client is below what the service complexity and relationship depth would justify at current market rates.</w:t>
      </w:r>
    </w:p>
    <w:p>
      <w:pPr>
        <w:pStyle w:val="SectionHeading"/>
      </w:pPr>
      <w:r>
        <w:t>7. Client Data, Systems and Operational Control</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16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Source</w:t>
            </w:r>
          </w:p>
        </w:tc>
        <w:tc>
          <w:tcPr>
            <w:tcW w:type="dxa" w:w="720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Records and coverage</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GoCardless export</w:t>
            </w:r>
          </w:p>
        </w:tc>
        <w:tc>
          <w:tcPr>
            <w:tcW w:type="dxa" w:w="72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163 records — 100% email coverage. All confirmed and usable.</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Moneysoft payroll export</w:t>
            </w:r>
          </w:p>
        </w:tc>
        <w:tc>
          <w:tcPr>
            <w:tcW w:type="dxa" w:w="72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243 records — 209 with email (86%). 34 employers missing.</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Total unique email coverage</w:t>
            </w:r>
          </w:p>
        </w:tc>
        <w:tc>
          <w:tcPr>
            <w:tcW w:type="dxa" w:w="72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~267 of ~600 active clients (44%). Immediately usable for fee letters and campaigns.</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Phone number coverage</w:t>
            </w:r>
          </w:p>
        </w:tc>
        <w:tc>
          <w:tcPr>
            <w:tcW w:type="dxa" w:w="72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0 of ~600 — a genuine operational gap across all current exports.</w:t>
            </w:r>
          </w:p>
        </w:tc>
      </w:tr>
    </w:tbl>
    <w:p>
      <w:pPr/>
      <w:r>
        <w:rPr>
          <w:b w:val="0"/>
        </w:rPr>
        <w:t>Email coverage is meaningful and immediately actionable for fee increase letters, GoCardless campaigns, and targeted communication. The critical gap is phone numbers. The next data-management priority should be disciplined capture: mandatory mobile and email fields on every new client form, plus annual renewal confirmation for the existing base. Bright Manager clean-up also matters — inflated records at 717 vs approximately 600 active clients distort workload planning and benchmarking.</w:t>
      </w:r>
    </w:p>
    <w:p>
      <w:pPr>
        <w:pStyle w:val="SectionHeading"/>
      </w:pPr>
      <w:r>
        <w:t>8. SWOT Analysis</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184"/>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Strengths</w:t>
            </w:r>
          </w:p>
        </w:tc>
        <w:tc>
          <w:tcPr>
            <w:tcW w:type="dxa" w:w="5184"/>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Weaknesses</w:t>
            </w:r>
          </w:p>
        </w:tc>
      </w:tr>
      <w:tr>
        <w:tc>
          <w:tcPr>
            <w:tcW w:type="dxa" w:w="51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 Deep hospitality specialism and strong positioning within the South Asian business community.</w:t>
              <w:br/>
              <w:t>• High recurring revenue for a firm of this scale — well above sector norm.</w:t>
              <w:br/>
              <w:t>• Strong client loyalty and a decade-long referral engine with low acquisition cost.</w:t>
              <w:br/>
              <w:t>• Lean operating cost base and healthy current margin before MD remuneration.</w:t>
              <w:br/>
              <w:t>• Bespoke management portal, branded premises, and visible local presence.</w:t>
              <w:br/>
              <w:t>• Registered trademark (Class 35) and owner-occupied office via CPL.</w:t>
            </w:r>
          </w:p>
        </w:tc>
        <w:tc>
          <w:tcPr>
            <w:tcW w:type="dxa" w:w="51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 Underpricing in Ltd accounts and payroll — approximately £109k/year uncaptured.</w:t>
              <w:br/>
              <w:t>• High founder dependency in client relationships and key decisions.</w:t>
              <w:br/>
              <w:t>• No reliable phone coverage; fragmented contact data across systems.</w:t>
              <w:br/>
              <w:t>• Very limited advisory revenue outside compliance work.</w:t>
              <w:br/>
              <w:t>• Capacity pressure if key staff were lost or growth accelerated without additional resource.</w:t>
            </w:r>
          </w:p>
        </w:tc>
      </w:tr>
    </w:tbl>
    <w:tbl>
      <w:tblPr>
        <w:tblW w:type="auto" w:w="0"/>
        <w:jc w:val="center"/>
        <w:tblLayout w:type="fixed"/>
        <w:tblLook w:firstColumn="1" w:firstRow="1" w:lastColumn="0" w:lastRow="0" w:noHBand="0" w:noVBand="1" w:val="04A0"/>
      </w:tblPr>
      <w:tblGrid>
        <w:gridCol w:w="5040"/>
        <w:gridCol w:w="5040"/>
      </w:tblGrid>
      <w:tr>
        <w:trPr>
          <w:tblHeader w:val="true"/>
        </w:trPr>
        <w:tc>
          <w:tcPr>
            <w:tcW w:type="dxa" w:w="5184"/>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Opportunities</w:t>
            </w:r>
          </w:p>
        </w:tc>
        <w:tc>
          <w:tcPr>
            <w:tcW w:type="dxa" w:w="5184"/>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Threats</w:t>
            </w:r>
          </w:p>
        </w:tc>
      </w:tr>
      <w:tr>
        <w:tc>
          <w:tcPr>
            <w:tcW w:type="dxa" w:w="51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 Fee correction on the current client base — immediate and requires no new clients.</w:t>
              <w:br/>
              <w:t>• Service bundling: Ltd + PAYE, Ltd + SA, Ltd + VAT + bookkeeping.</w:t>
              <w:br/>
              <w:t>• Management accounts and quarterly review for the strongest clients.</w:t>
              <w:br/>
              <w:t>• Bookkeeping using remote support capacity at low marginal cost.</w:t>
              <w:br/>
              <w:t>• Referral programme formalisation within the hospitality network.</w:t>
              <w:br/>
              <w:t>• MTD ITSA 2027 — advisory positioning opportunity ahead of the threshold change.</w:t>
            </w:r>
          </w:p>
        </w:tc>
        <w:tc>
          <w:tcPr>
            <w:tcW w:type="dxa" w:w="51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 Loss of Hassan or Aminul would create an immediate operational pressure point.</w:t>
              <w:br/>
              <w:t>• Sector concentration in hospitality if trading conditions tighten.</w:t>
              <w:br/>
              <w:t>• Online competitors anchoring client expectations to lower headline prices.</w:t>
              <w:br/>
              <w:t>• Increasing compliance complexity without matching fee discipline.</w:t>
              <w:br/>
              <w:t>• Valuation suppression if founder dependency is not actively reduced.</w:t>
            </w:r>
          </w:p>
        </w:tc>
      </w:tr>
    </w:tbl>
    <w:p>
      <w:pPr>
        <w:pStyle w:val="SectionHeading"/>
      </w:pPr>
      <w:r>
        <w:t>9. Practice Valuation</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Valuation should be viewed as an outcome of quality, transferability, recurring fees, and risk — not simply a turnover multiple. The current practice would likely attract a discount for founder concentration. Better pricing, stronger recurring collections, cleaner data, and broader client ownership would all support a stronger multiple.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345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Scenario</w:t>
            </w:r>
          </w:p>
        </w:tc>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Multiple</w:t>
            </w:r>
          </w:p>
        </w:tc>
        <w:tc>
          <w:tcPr>
            <w:tcW w:type="dxa" w:w="129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Low</w:t>
            </w:r>
          </w:p>
        </w:tc>
        <w:tc>
          <w:tcPr>
            <w:tcW w:type="dxa" w:w="129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High</w:t>
            </w:r>
          </w:p>
        </w:tc>
        <w:tc>
          <w:tcPr>
            <w:tcW w:type="dxa" w:w="288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Comment</w:t>
            </w:r>
          </w:p>
        </w:tc>
      </w:tr>
      <w:tr>
        <w:tc>
          <w:tcPr>
            <w:tcW w:type="dxa" w:w="34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Current — founder discount</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0.65–0.85×</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£204k</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£267k</w:t>
            </w:r>
          </w:p>
        </w:tc>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Applicable if sold today with clear key-person risk.</w:t>
            </w:r>
          </w:p>
        </w:tc>
      </w:tr>
      <w:tr>
        <w:tc>
          <w:tcPr>
            <w:tcW w:type="dxa" w:w="345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Current — standard range</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0.80–1.10×</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£251k</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£345k</w:t>
            </w:r>
          </w:p>
        </w:tc>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Possible if quality of transfer is evidenced.</w:t>
            </w:r>
          </w:p>
        </w:tc>
      </w:tr>
      <w:tr>
        <w:tc>
          <w:tcPr>
            <w:tcW w:type="dxa" w:w="34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Current — recurring revenue premium</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0.90–1.20×</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£283k</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£377k</w:t>
            </w:r>
          </w:p>
        </w:tc>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Achievable if the DD base is viewed as durable and clean.</w:t>
            </w:r>
          </w:p>
        </w:tc>
      </w:tr>
      <w:tr>
        <w:tc>
          <w:tcPr>
            <w:tcW w:type="dxa" w:w="345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Post fee correction</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0.80–1.10×</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£339k</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£466k</w:t>
            </w:r>
          </w:p>
        </w:tc>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Immediate value uplift from pricing discipline alone.</w:t>
            </w:r>
          </w:p>
        </w:tc>
      </w:tr>
      <w:tr>
        <w:tc>
          <w:tcPr>
            <w:tcW w:type="dxa" w:w="345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Post correction + reduced MD dependency</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0.90–1.20×</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£381k</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£508k</w:t>
            </w:r>
          </w:p>
        </w:tc>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Requires Hassan to hold portfolios credibly.</w:t>
            </w:r>
          </w:p>
        </w:tc>
      </w:tr>
      <w:tr>
        <w:tc>
          <w:tcPr>
            <w:tcW w:type="dxa" w:w="345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Vision 2030 — systemised</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1.00–1.30×</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£750k</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£975k</w:t>
            </w:r>
          </w:p>
        </w:tc>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Upper end requires transferability, data quality, staff depth.</w:t>
            </w:r>
          </w:p>
        </w:tc>
      </w:tr>
    </w:tbl>
    <w:p>
      <w:pPr/>
      <w:r>
        <w:rPr>
          <w:b w:val="0"/>
        </w:rPr>
        <w:t>The single largest non-revenue lever for valuation is founder dependency. A buyer pays more when revenue looks likely to survive the transition. Documented processes, staff portfolio ownership, and broader direct client relationships therefore add value directly — not just operationally.</w:t>
      </w:r>
    </w:p>
    <w:p>
      <w:pPr>
        <w:pStyle w:val="SectionHeading"/>
      </w:pPr>
      <w:r>
        <w:t>10. Vision 2030 Growth Plan</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403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Growth lever</w:t>
            </w:r>
          </w:p>
        </w:tc>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 addition</w:t>
            </w:r>
          </w:p>
        </w:tc>
        <w:tc>
          <w:tcPr>
            <w:tcW w:type="dxa" w:w="180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Cumulative</w:t>
            </w:r>
          </w:p>
        </w:tc>
        <w:tc>
          <w:tcPr>
            <w:tcW w:type="dxa" w:w="302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Comment</w:t>
            </w:r>
          </w:p>
        </w:tc>
      </w:tr>
      <w:tr>
        <w:tc>
          <w:tcPr>
            <w:tcW w:type="dxa" w:w="403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Starting position (FY2025/26)</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w:t>
            </w:r>
          </w:p>
        </w:tc>
        <w:tc>
          <w:tcPr>
            <w:tcW w:type="dxa" w:w="18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£314,000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Confirmed restated revenue base.</w:t>
            </w:r>
          </w:p>
        </w:tc>
      </w:tr>
      <w:tr>
        <w:tc>
          <w:tcPr>
            <w:tcW w:type="dxa" w:w="403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Fee correction (Ltd, PAYE, SA)</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+£109,340</w:t>
            </w:r>
          </w:p>
        </w:tc>
        <w:tc>
          <w:tcPr>
            <w:tcW w:type="dxa" w:w="18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£423,340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Immediate upside; same client base; no new work.</w:t>
            </w:r>
          </w:p>
        </w:tc>
      </w:tr>
      <w:tr>
        <w:tc>
          <w:tcPr>
            <w:tcW w:type="dxa" w:w="403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Organic growth (40 new Ltd clients/yr × 4 years)</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+£141,120</w:t>
            </w:r>
          </w:p>
        </w:tc>
        <w:tc>
          <w:tcPr>
            <w:tcW w:type="dxa" w:w="18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£564,460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Assumes corrected pricing and continued referral strength.</w:t>
            </w:r>
          </w:p>
        </w:tc>
      </w:tr>
      <w:tr>
        <w:tc>
          <w:tcPr>
            <w:tcW w:type="dxa" w:w="403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Management accounts (10-client pilot → 30–50 clients)</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+£72,000</w:t>
            </w:r>
          </w:p>
        </w:tc>
        <w:tc>
          <w:tcPr>
            <w:tcW w:type="dxa" w:w="18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£636,460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Begin as a small pilot; scale over 3 years.</w:t>
            </w:r>
          </w:p>
        </w:tc>
      </w:tr>
      <w:tr>
        <w:tc>
          <w:tcPr>
            <w:tcW w:type="dxa" w:w="403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Bookkeeping (remote capacity)</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+£48,000</w:t>
            </w:r>
          </w:p>
        </w:tc>
        <w:tc>
          <w:tcPr>
            <w:tcW w:type="dxa" w:w="18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£684,460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Monthly add-on at low marginal cost.</w:t>
            </w:r>
          </w:p>
        </w:tc>
      </w:tr>
      <w:tr>
        <w:tc>
          <w:tcPr>
            <w:tcW w:type="dxa" w:w="403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SA cross-sell and director advisory</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+£10,800</w:t>
            </w:r>
          </w:p>
        </w:tc>
        <w:tc>
          <w:tcPr>
            <w:tcW w:type="dxa" w:w="18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£695,260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Annual income questionnaire for all directors.</w:t>
            </w:r>
          </w:p>
        </w:tc>
      </w:tr>
      <w:tr>
        <w:tc>
          <w:tcPr>
            <w:tcW w:type="dxa" w:w="403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Referrals, VAT growth and other</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+£54,740</w:t>
            </w:r>
          </w:p>
        </w:tc>
        <w:tc>
          <w:tcPr>
            <w:tcW w:type="dxa" w:w="18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£750,000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Network-led growth and better wallet share.</w:t>
            </w:r>
          </w:p>
        </w:tc>
      </w:tr>
      <w:tr>
        <w:tc>
          <w:tcPr>
            <w:tcW w:type="dxa" w:w="403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Vision 2030 target</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8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£750,000–£800,000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r>
          </w:p>
        </w:tc>
      </w:tr>
    </w:tbl>
    <w:p>
      <w:pPr/>
      <w:r>
        <w:rPr>
          <w:b w:val="0"/>
        </w:rPr>
        <w:t>The path from £314,000 to £750,000 is credible only if growth is correctly sequenced. Phase one is monetisation. Phase two is service extension. Phase three is leadership transfer and systemisation. Revenue growth without that structure creates operational pressure faster than it creates profit.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Timeline</w:t>
            </w:r>
          </w:p>
        </w:tc>
        <w:tc>
          <w:tcPr>
            <w:tcW w:type="dxa" w:w="230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Primary focus</w:t>
            </w:r>
          </w:p>
        </w:tc>
        <w:tc>
          <w:tcPr>
            <w:tcW w:type="dxa" w:w="648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Key outputs</w:t>
            </w:r>
          </w:p>
        </w:tc>
      </w:tr>
      <w:tr>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0–3 months</w:t>
            </w:r>
          </w:p>
        </w:tc>
        <w:tc>
          <w:tcPr>
            <w:tcW w:type="dxa" w:w="230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Pricing and communication</w:t>
            </w:r>
          </w:p>
        </w:tc>
        <w:tc>
          <w:tcPr>
            <w:tcW w:type="dxa" w:w="64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New fee schedule live. Client fee letters drafted and issued. Data capture improved.</w:t>
            </w:r>
          </w:p>
        </w:tc>
      </w:tr>
      <w:tr>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3–12 months</w:t>
            </w:r>
          </w:p>
        </w:tc>
        <w:tc>
          <w:tcPr>
            <w:tcW w:type="dxa" w:w="230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Cash-flow and packaging</w:t>
            </w:r>
          </w:p>
        </w:tc>
        <w:tc>
          <w:tcPr>
            <w:tcW w:type="dxa" w:w="64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GoCardless at 180+. £75 cohort uplifted. Management accounts pilot launched.</w:t>
            </w:r>
          </w:p>
        </w:tc>
      </w:tr>
      <w:tr>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12–24 months</w:t>
            </w:r>
          </w:p>
        </w:tc>
        <w:tc>
          <w:tcPr>
            <w:tcW w:type="dxa" w:w="230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Delegation and control</w:t>
            </w:r>
          </w:p>
        </w:tc>
        <w:tc>
          <w:tcPr>
            <w:tcW w:type="dxa" w:w="64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Hassan managing wider portfolio. SOPs documented. Bookkeeping scaled.</w:t>
            </w:r>
          </w:p>
        </w:tc>
      </w:tr>
      <w:tr>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24–48 months</w:t>
            </w:r>
          </w:p>
        </w:tc>
        <w:tc>
          <w:tcPr>
            <w:tcW w:type="dxa" w:w="230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Systemised growth</w:t>
            </w:r>
          </w:p>
        </w:tc>
        <w:tc>
          <w:tcPr>
            <w:tcW w:type="dxa" w:w="64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Higher recurring base. Advisory depth. Reduced founder concentration.</w:t>
            </w:r>
          </w:p>
        </w:tc>
      </w:tr>
    </w:tbl>
    <w:p>
      <w:pPr>
        <w:pStyle w:val="SectionHeading"/>
      </w:pPr>
      <w:r>
        <w:t>11. The Operating Constraint — People, Structure and Capacity</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The most important non-financial truth in this review is this: the route to £750,000 or £1,000,000 in revenue is not primarily limited by demand. It is limited by capacity and structure. The current team configuration has delivered excellent results at £314,000 of revenue. But at £500,000, and again at £750,000, the practice will face structural inflection points that cannot be resolved by working harder. They require deliberate changes to who does what, and how accountability flows.</w:t>
      </w:r>
    </w:p>
    <w:p>
      <w:pPr/>
      <w:r>
        <w:rPr>
          <w:b w:val="0"/>
        </w:rPr>
        <w:t>At present, the Managing Director is the primary point of contact for the majority of Tier A and Tier B clients, as well as the decision-maker for pricing, onboarding, complex work, and business development. This means the practice has effectively one point of failure at its highest-value node. It also means growth is constrained not by client demand but by founder time.</w:t>
      </w:r>
    </w:p>
    <w:p>
      <w:pPr/>
      <w:r>
        <w:rPr>
          <w:b w:val="0"/>
        </w:rPr>
        <w:t>The evidence: 163 of 208 recurring clients are on GoCardless — a strong systems achievement. But if the MD was unavailable for 4 weeks, the operational impact would be disproportionate to what a firm of this size should tolerate. That is the operating constraint.</w:t>
      </w:r>
    </w:p>
    <w:p>
      <w:pPr>
        <w:pStyle w:val="SubsectionHeading"/>
      </w:pPr>
      <w:r>
        <w:rPr>
          <w:b w:val="0"/>
        </w:rPr>
        <w:t>Target Organisational Structure — 2026 to 2028</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600"/>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Role</w:t>
            </w:r>
          </w:p>
        </w:tc>
        <w:tc>
          <w:tcPr>
            <w:tcW w:type="dxa" w:w="6768"/>
            <w:shd w:fill="1B1B1B"/>
            <w:vAlign w:val="center"/>
            <w:tcBorders>
              <w:left w:val="single" w:sz="4" w:color="D6C189"/>
              <w:top w:val="single" w:sz="6" w:color="C8A64D"/>
              <w:right w:val="single" w:sz="4" w:color="D6C189"/>
              <w:bottom w:val="single" w:sz="6" w:color="C8A64D"/>
            </w:tcBorders>
          </w:tcPr>
          <w:p>
            <w:pPr>
              <w:jc w:val="center"/>
            </w:pPr>
            <w:r>
              <w:rPr>
                <w:b/>
                <w:color w:val="FFFFFF"/>
                <w:sz w:val="19"/>
              </w:rPr>
              <w:t>Primary responsibilities</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MANAGING DIRECTOR — Md Asadul Chowdury</w:t>
            </w:r>
          </w:p>
        </w:tc>
        <w:tc>
          <w:tcPr>
            <w:tcW w:type="dxa" w:w="67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Strategy  ·  Client relationships (Tier A)  ·  Business development  ·  Pricing  ·  Complex advisory</w:t>
            </w:r>
          </w:p>
        </w:tc>
      </w:tr>
      <w:tr>
        <w:tc>
          <w:tcPr>
            <w:tcW w:type="dxa" w:w="36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CLIENT PORTFOLIO MANAGER — Hassan Ali</w:t>
            </w:r>
          </w:p>
        </w:tc>
        <w:tc>
          <w:tcPr>
            <w:tcW w:type="dxa" w:w="67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Ltd company accounts (60–80 portfolios independently managed)  ·  VAT returns and compliance  ·  Client relationship management for Tier B portfolio  ·  Coordination with MD on complex matters</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COMPLIANCE &amp; PAYROLL MANAGER — Aminul Choudhury</w:t>
            </w:r>
          </w:p>
        </w:tc>
        <w:tc>
          <w:tcPr>
            <w:tcW w:type="dxa" w:w="67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All PAYE / payroll processing and employer management  ·  Self-assessment returns workflow and submissions  ·  Annual director income questionnaires  ·  Onboarding support and data quality maintenance</w:t>
            </w:r>
          </w:p>
        </w:tc>
      </w:tr>
      <w:tr>
        <w:tc>
          <w:tcPr>
            <w:tcW w:type="dxa" w:w="36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ACCOUNTS SUPPORT — Sadat Bhuiyan + Syed Nawaz</w:t>
            </w:r>
          </w:p>
        </w:tc>
        <w:tc>
          <w:tcPr>
            <w:tcW w:type="dxa" w:w="67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Accounts preparation and bookkeeping support  ·  Admin support, filing, data entry  ·  Supporting bookkeeping service delivery at scale</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SECOND SENIOR HIRE (future)</w:t>
            </w:r>
          </w:p>
        </w:tc>
        <w:tc>
          <w:tcPr>
            <w:tcW w:type="dxa" w:w="67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Additional capacity to support growth beyond £600,000 revenue  ·  Could be an additional qualified accountant or promoted apprentice  ·  Enables the MD to step further back from day-to-day compliance</w:t>
            </w:r>
          </w:p>
        </w:tc>
      </w:tr>
    </w:tbl>
    <w:p>
      <w:pPr/>
      <w:r>
        <w:rPr>
          <w:b w:val="0"/>
        </w:rPr>
        <w:t>The most commercially significant action in this section — and arguably in the entire report — is the development of Hassan Ali into a portfolio manager who can independently manage 60 to 80 Ltd client relationships without referring every decision upward. This is not a minor operational improvement. It is the difference between a practice that is capped by one person's capacity and one that can scale toward £750,000 and beyond.</w:t>
      </w:r>
    </w:p>
    <w:p>
      <w:pPr>
        <w:pStyle w:val="SubsectionHeading"/>
      </w:pPr>
      <w:r>
        <w:rPr>
          <w:b w:val="0"/>
        </w:rPr>
        <w:t>Delegation milestones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88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Delegation milestone</w:t>
            </w:r>
          </w:p>
        </w:tc>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Target timeline</w:t>
            </w:r>
          </w:p>
        </w:tc>
        <w:tc>
          <w:tcPr>
            <w:tcW w:type="dxa" w:w="489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Condition for the practice</w:t>
            </w:r>
          </w:p>
        </w:tc>
      </w:tr>
      <w:tr>
        <w:tc>
          <w:tcPr>
            <w:tcW w:type="dxa" w:w="388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Hassan independently manages 30 Ltd portfolios</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June 2026</w:t>
            </w:r>
          </w:p>
        </w:tc>
        <w:tc>
          <w:tcPr>
            <w:tcW w:type="dxa" w:w="48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Frees MD for approximately 8–10 hours/week of business development and advisory time.</w:t>
            </w:r>
          </w:p>
        </w:tc>
      </w:tr>
      <w:tr>
        <w:tc>
          <w:tcPr>
            <w:tcW w:type="dxa" w:w="388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Hassan independently manages 60 Ltd portfolios</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Dec 2026</w:t>
            </w:r>
          </w:p>
        </w:tc>
        <w:tc>
          <w:tcPr>
            <w:tcW w:type="dxa" w:w="48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Revenue per MD-hour improves materially; growth to £500k becomes structurally possible.</w:t>
            </w:r>
          </w:p>
        </w:tc>
      </w:tr>
      <w:tr>
        <w:tc>
          <w:tcPr>
            <w:tcW w:type="dxa" w:w="388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Hassan manages 80 portfolios + Tier B relationships</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2027</w:t>
            </w:r>
          </w:p>
        </w:tc>
        <w:tc>
          <w:tcPr>
            <w:tcW w:type="dxa" w:w="48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MD can focus exclusively on Tier A, strategy, advisory, and new service development.</w:t>
            </w:r>
          </w:p>
        </w:tc>
      </w:tr>
      <w:tr>
        <w:tc>
          <w:tcPr>
            <w:tcW w:type="dxa" w:w="388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Second senior hire in place</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2027–2028</w:t>
            </w:r>
          </w:p>
        </w:tc>
        <w:tc>
          <w:tcPr>
            <w:tcW w:type="dxa" w:w="48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Removes the final structural ceiling on growth. Practice can scale toward £750k–£1m.</w:t>
            </w:r>
          </w:p>
        </w:tc>
      </w:tr>
    </w:tbl>
    <w:p>
      <w:pPr>
        <w:pStyle w:val="SectionHeading"/>
      </w:pPr>
      <w:r>
        <w:t>12. Priority Action Plan — Next 12 Months</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57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w:t>
            </w:r>
          </w:p>
        </w:tc>
        <w:tc>
          <w:tcPr>
            <w:tcW w:type="dxa" w:w="432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Action</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Owner</w:t>
            </w:r>
          </w:p>
        </w:tc>
        <w:tc>
          <w:tcPr>
            <w:tcW w:type="dxa" w:w="129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Timing</w:t>
            </w:r>
          </w:p>
        </w:tc>
        <w:tc>
          <w:tcPr>
            <w:tcW w:type="dxa" w:w="316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Expected impact</w:t>
            </w:r>
          </w:p>
        </w:tc>
      </w:tr>
      <w:tr>
        <w:tc>
          <w:tcPr>
            <w:tcW w:type="dxa" w:w="57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Apply corrected prices to all new clients: £800 Ltd, £450 PAYE, £180 SA.</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Asad</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Now</w:t>
            </w:r>
          </w:p>
        </w:tc>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Stops further underpricing at source.</w:t>
            </w:r>
          </w:p>
        </w:tc>
      </w:tr>
      <w:tr>
        <w:tc>
          <w:tcPr>
            <w:tcW w:type="dxa" w:w="57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Issue fee review letters to existing client base — 90 days' notice, next renewal.</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Asad</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Apr 2026</w:t>
            </w:r>
          </w:p>
        </w:tc>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Largest single value unlock — £109,340/year.</w:t>
            </w:r>
          </w:p>
        </w:tc>
      </w:tr>
      <w:tr>
        <w:tc>
          <w:tcPr>
            <w:tcW w:type="dxa" w:w="57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Move the 69-client £75 cohort to at least £100/month on renewal.</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Asad / Hassan</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2026</w:t>
            </w:r>
          </w:p>
        </w:tc>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Adds £20,700 annual recurring revenue cleanly.</w:t>
            </w:r>
          </w:p>
        </w:tc>
      </w:tr>
      <w:tr>
        <w:tc>
          <w:tcPr>
            <w:tcW w:type="dxa" w:w="57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Mandatory mobile and email fields on all new-client onboarding and annual renewals.</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Hassan / Aminul</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Immediate</w:t>
            </w:r>
          </w:p>
        </w:tc>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Closes the complete absence of phone contact data.</w:t>
            </w:r>
          </w:p>
        </w:tc>
      </w:tr>
      <w:tr>
        <w:tc>
          <w:tcPr>
            <w:tcW w:type="dxa" w:w="57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Convert 17+ further clients to GoCardless — MRR above £21,500.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Asad</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Jun 2026</w:t>
            </w:r>
          </w:p>
        </w:tc>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Improves collection resilience; advances £25k target.</w:t>
            </w:r>
          </w:p>
        </w:tc>
      </w:tr>
      <w:tr>
        <w:tc>
          <w:tcPr>
            <w:tcW w:type="dxa" w:w="57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Run annual income-source questionnaire for all company directors.</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Aminul</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2026 cycle</w:t>
            </w:r>
          </w:p>
        </w:tc>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Identifies SA obligations and cross-sell opportunities.</w:t>
            </w:r>
          </w:p>
        </w:tc>
      </w:tr>
      <w:tr>
        <w:tc>
          <w:tcPr>
            <w:tcW w:type="dxa" w:w="57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7</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Pilot management accounts with 10 Tier A/B clients at £900/year.</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Asad</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H2 2026</w:t>
            </w:r>
          </w:p>
        </w:tc>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Builds new margin stream; tests advisory appetite.</w:t>
            </w:r>
          </w:p>
        </w:tc>
      </w:tr>
      <w:tr>
        <w:tc>
          <w:tcPr>
            <w:tcW w:type="dxa" w:w="57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8</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Clean Bright Manager — align live records to approximately 600 active.</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Aminul</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May 2026</w:t>
            </w:r>
          </w:p>
        </w:tc>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Improves reporting quality and planning accuracy.</w:t>
            </w:r>
          </w:p>
        </w:tc>
      </w:tr>
      <w:tr>
        <w:tc>
          <w:tcPr>
            <w:tcW w:type="dxa" w:w="57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9</w:t>
            </w:r>
          </w:p>
        </w:tc>
        <w:tc>
          <w:tcPr>
            <w:tcW w:type="dxa" w:w="432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Document core workflows: accounts, payroll, SA, onboarding, billing.</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Asad / team</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2026</w:t>
            </w:r>
          </w:p>
        </w:tc>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Essential for scale, delegation, and buyer readiness.</w:t>
            </w:r>
          </w:p>
        </w:tc>
      </w:tr>
      <w:tr>
        <w:tc>
          <w:tcPr>
            <w:tcW w:type="dxa" w:w="57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w:t>
            </w:r>
          </w:p>
        </w:tc>
        <w:tc>
          <w:tcPr>
            <w:tcW w:type="dxa" w:w="432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Develop Hassan into portfolio manager for 60–80 Ltd clients.</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Asad</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Ongoing</w:t>
            </w:r>
          </w:p>
        </w:tc>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Most important action for reducing founder dependency.</w:t>
            </w:r>
          </w:p>
        </w:tc>
      </w:tr>
    </w:tbl>
    <w:p>
      <w:pPr>
        <w:pStyle w:val="SectionHeading"/>
      </w:pPr>
      <w:r>
        <w:t>13. Final Assessment</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The Chowdury Accountants Ltd is already a meaningful practice with durable client relationships, strong recurring cashflow, and a defendable niche. It does not need a radical transformation. It needs commercial discipline and operational transfer.</w:t>
      </w:r>
    </w:p>
    <w:p>
      <w:pPr/>
      <w:r>
        <w:rPr>
          <w:b w:val="0"/>
        </w:rPr>
        <w:t>The business's three most fixable problems are underpricing, incomplete client data, and founder dependency. Of those, underpricing is the easiest to solve and has the fastest financial payoff. Founder dependency is the slowest to solve but has the greatest impact on long-term value.</w:t>
      </w:r>
    </w:p>
    <w:p>
      <w:pPr>
        <w:pStyle w:val="QuoteLine"/>
        <w:jc w:val="center"/>
      </w:pPr>
      <w:r>
        <w:rPr>
          <w:b/>
        </w:rPr>
        <w:t>"The practice is not underbuilt — it is under-monetised. Pricing discipline, recurring revenue growth, controlled service expansion, and structured delegation can move it from a strong local firm to a significantly more valuable regional practice by 2030."</w:t>
      </w:r>
    </w:p>
    <w:p>
      <w:r>
        <w:br w:type="page"/>
      </w:r>
    </w:p>
    <w:tbl>
      <w:tblPr>
        <w:tblW w:type="auto" w:w="0"/>
        <w:tblLook w:firstColumn="1" w:firstRow="1" w:lastColumn="0" w:lastRow="0" w:noHBand="0" w:noVBand="1" w:val="04A0"/>
      </w:tblPr>
      <w:tblGrid>
        <w:gridCol w:w="10080"/>
      </w:tblGrid>
      <w:tr>
        <w:tc>
          <w:tcPr>
            <w:tcW w:type="dxa" w:w="10080"/>
            <w:shd w:fill="1B1B1B"/>
            <w:tcBorders>
              <w:left w:val="single" w:sz="10" w:color="C8A64D"/>
              <w:top w:val="single" w:sz="10" w:color="C8A64D"/>
              <w:right w:val="single" w:sz="10" w:color="C8A64D"/>
              <w:bottom w:val="single" w:sz="10" w:color="C8A64D"/>
            </w:tcBorders>
          </w:tcPr>
          <w:p>
            <w:pPr>
              <w:jc w:val="center"/>
            </w:pPr>
            <w:r>
              <w:rPr>
                <w:b/>
                <w:color w:val="B08F36"/>
                <w:sz w:val="28"/>
              </w:rPr>
              <w:t>VISION ADDENDUM</w:t>
            </w:r>
          </w:p>
          <w:p>
            <w:pPr>
              <w:jc w:val="center"/>
            </w:pPr>
            <w:r>
              <w:rPr>
                <w:b/>
                <w:color w:val="FFFFFF"/>
                <w:sz w:val="40"/>
              </w:rPr>
              <w:t>The Hidden Upside to £1M Revenue</w:t>
            </w:r>
          </w:p>
          <w:p>
            <w:pPr>
              <w:jc w:val="center"/>
            </w:pPr>
            <w:r>
              <w:rPr>
                <w:color w:val="F0F0F0"/>
                <w:sz w:val="21"/>
              </w:rPr>
              <w:t>Why the practice's true long-term potential exceeds the £750,000 Vision 2030 base case</w:t>
            </w:r>
          </w:p>
        </w:tc>
      </w:tr>
    </w:tbl>
    <w:p/>
    <w:tbl>
      <w:tblPr>
        <w:tblW w:type="auto" w:w="0"/>
        <w:tblLook w:firstColumn="1" w:firstRow="1" w:lastColumn="0" w:lastRow="0" w:noHBand="0" w:noVBand="1" w:val="04A0"/>
      </w:tblPr>
      <w:tblGrid>
        <w:gridCol w:w="2520"/>
        <w:gridCol w:w="2520"/>
        <w:gridCol w:w="2520"/>
        <w:gridCol w:w="2520"/>
      </w:tblGrid>
      <w:tr>
        <w:tc>
          <w:tcPr>
            <w:tcW w:type="dxa" w:w="2405"/>
            <w:shd w:fill="F7F1E1"/>
            <w:tcBorders>
              <w:left w:val="single" w:sz="4" w:color="D9C58A"/>
              <w:top w:val="single" w:sz="4" w:color="D9C58A"/>
              <w:right w:val="single" w:sz="4" w:color="D9C58A"/>
              <w:bottom w:val="single" w:sz="4" w:color="D9C58A"/>
            </w:tcBorders>
          </w:tcPr>
          <w:p>
            <w:pPr>
              <w:jc w:val="center"/>
            </w:pPr>
            <w:r>
              <w:rPr>
                <w:b/>
                <w:color w:val="181818"/>
                <w:sz w:val="26"/>
              </w:rPr>
              <w:t>£750k</w:t>
            </w:r>
          </w:p>
        </w:tc>
        <w:tc>
          <w:tcPr>
            <w:tcW w:type="dxa" w:w="2405"/>
            <w:shd w:fill="F7F1E1"/>
            <w:tcBorders>
              <w:left w:val="single" w:sz="4" w:color="D9C58A"/>
              <w:top w:val="single" w:sz="4" w:color="D9C58A"/>
              <w:right w:val="single" w:sz="4" w:color="D9C58A"/>
              <w:bottom w:val="single" w:sz="4" w:color="D9C58A"/>
            </w:tcBorders>
          </w:tcPr>
          <w:p>
            <w:pPr>
              <w:jc w:val="center"/>
            </w:pPr>
            <w:r>
              <w:rPr>
                <w:b/>
                <w:color w:val="181818"/>
                <w:sz w:val="26"/>
              </w:rPr>
              <w:t>£900k–£1m</w:t>
            </w:r>
          </w:p>
        </w:tc>
        <w:tc>
          <w:tcPr>
            <w:tcW w:type="dxa" w:w="2405"/>
            <w:shd w:fill="F7F1E1"/>
            <w:tcBorders>
              <w:left w:val="single" w:sz="4" w:color="D9C58A"/>
              <w:top w:val="single" w:sz="4" w:color="D9C58A"/>
              <w:right w:val="single" w:sz="4" w:color="D9C58A"/>
              <w:bottom w:val="single" w:sz="4" w:color="D9C58A"/>
            </w:tcBorders>
          </w:tcPr>
          <w:p>
            <w:pPr>
              <w:jc w:val="center"/>
            </w:pPr>
            <w:r>
              <w:rPr>
                <w:b/>
                <w:color w:val="181818"/>
                <w:sz w:val="26"/>
              </w:rPr>
              <w:t>4</w:t>
            </w:r>
          </w:p>
        </w:tc>
        <w:tc>
          <w:tcPr>
            <w:tcW w:type="dxa" w:w="2405"/>
            <w:shd w:fill="F7F1E1"/>
            <w:tcBorders>
              <w:left w:val="single" w:sz="4" w:color="D9C58A"/>
              <w:top w:val="single" w:sz="4" w:color="D9C58A"/>
              <w:right w:val="single" w:sz="4" w:color="D9C58A"/>
              <w:bottom w:val="single" w:sz="4" w:color="D9C58A"/>
            </w:tcBorders>
          </w:tcPr>
          <w:p>
            <w:pPr>
              <w:jc w:val="center"/>
            </w:pPr>
            <w:r>
              <w:rPr>
                <w:b/>
                <w:color w:val="181818"/>
                <w:sz w:val="26"/>
              </w:rPr>
              <w:t>2028–2032</w:t>
            </w:r>
          </w:p>
        </w:tc>
      </w:tr>
      <w:tr>
        <w:tc>
          <w:tcPr>
            <w:tcW w:type="dxa" w:w="2405"/>
            <w:shd w:fill="FBF8F0"/>
            <w:tcBorders>
              <w:left w:val="single" w:sz="4" w:color="D9C58A"/>
              <w:top w:val="single" w:sz="4" w:color="D9C58A"/>
              <w:right w:val="single" w:sz="4" w:color="D9C58A"/>
              <w:bottom w:val="single" w:sz="4" w:color="D9C58A"/>
            </w:tcBorders>
          </w:tcPr>
          <w:p>
            <w:pPr>
              <w:jc w:val="center"/>
            </w:pPr>
            <w:r>
              <w:rPr>
                <w:color w:val="5A5A5A"/>
                <w:sz w:val="18"/>
              </w:rPr>
              <w:t>Base case (2030)</w:t>
            </w:r>
          </w:p>
        </w:tc>
        <w:tc>
          <w:tcPr>
            <w:tcW w:type="dxa" w:w="2405"/>
            <w:shd w:fill="FBF8F0"/>
            <w:tcBorders>
              <w:left w:val="single" w:sz="4" w:color="D9C58A"/>
              <w:top w:val="single" w:sz="4" w:color="D9C58A"/>
              <w:right w:val="single" w:sz="4" w:color="D9C58A"/>
              <w:bottom w:val="single" w:sz="4" w:color="D9C58A"/>
            </w:tcBorders>
          </w:tcPr>
          <w:p>
            <w:pPr>
              <w:jc w:val="center"/>
            </w:pPr>
            <w:r>
              <w:rPr>
                <w:color w:val="5A5A5A"/>
                <w:sz w:val="18"/>
              </w:rPr>
              <w:t>Upside scenario</w:t>
            </w:r>
          </w:p>
        </w:tc>
        <w:tc>
          <w:tcPr>
            <w:tcW w:type="dxa" w:w="2405"/>
            <w:shd w:fill="FBF8F0"/>
            <w:tcBorders>
              <w:left w:val="single" w:sz="4" w:color="D9C58A"/>
              <w:top w:val="single" w:sz="4" w:color="D9C58A"/>
              <w:right w:val="single" w:sz="4" w:color="D9C58A"/>
              <w:bottom w:val="single" w:sz="4" w:color="D9C58A"/>
            </w:tcBorders>
          </w:tcPr>
          <w:p>
            <w:pPr>
              <w:jc w:val="center"/>
            </w:pPr>
            <w:r>
              <w:rPr>
                <w:color w:val="5A5A5A"/>
                <w:sz w:val="18"/>
              </w:rPr>
              <w:t>Structural advantages</w:t>
            </w:r>
          </w:p>
        </w:tc>
        <w:tc>
          <w:tcPr>
            <w:tcW w:type="dxa" w:w="2405"/>
            <w:shd w:fill="FBF8F0"/>
            <w:tcBorders>
              <w:left w:val="single" w:sz="4" w:color="D9C58A"/>
              <w:top w:val="single" w:sz="4" w:color="D9C58A"/>
              <w:right w:val="single" w:sz="4" w:color="D9C58A"/>
              <w:bottom w:val="single" w:sz="4" w:color="D9C58A"/>
            </w:tcBorders>
          </w:tcPr>
          <w:p>
            <w:pPr>
              <w:jc w:val="center"/>
            </w:pPr>
            <w:r>
              <w:rPr>
                <w:color w:val="5A5A5A"/>
                <w:sz w:val="18"/>
              </w:rPr>
              <w:t>Timeline (upside)</w:t>
            </w:r>
          </w:p>
        </w:tc>
      </w:tr>
    </w:tbl>
    <w:p>
      <w:pPr/>
      <w:r>
        <w:rPr>
          <w:b w:val="0"/>
        </w:rPr>
        <w:t>The main strategic review sets a credible £750,000 revenue target for 2030. That figure is grounded and defensible. But it is also deliberately conservative — built from what is already confirmed. There are four structural advantages embedded in the practice that the base-case model does not fully capture. Together, they represent a realistic path to £1,000,000 of annual revenue, without needing to fundamentally change what the practice is or how it operates.</w:t>
      </w:r>
    </w:p>
    <w:p>
      <w:pPr>
        <w:pStyle w:val="SubsectionHeading"/>
      </w:pPr>
      <w:r>
        <w:rPr>
          <w:b w:val="0"/>
        </w:rPr>
        <w:t>Advantage 1 — Your existing clients are under-expanded, not just underpriced</w:t>
      </w:r>
    </w:p>
    <w:p>
      <w:pPr/>
      <w:r>
        <w:rPr>
          <w:b w:val="0"/>
        </w:rPr>
        <w:t>The report focuses heavily on fee correction. But the deeper opportunity is broader: most of the current 600-client base still buys too few services. Most are mono-service relationships — Ltd accounts only, or payroll only, or SA only. Meaningful revenue growth can come entirely from within the existing base, with no cold acquisition required.</w:t>
      </w:r>
    </w:p>
    <w:p>
      <w:pPr>
        <w:pStyle w:val="SubsectionHeading"/>
      </w:pPr>
      <w:r>
        <w:rPr>
          <w:b w:val="0"/>
        </w:rPr>
        <w:t>Advantage 2 — The hospitality niche has compounding referral geometry</w:t>
      </w:r>
    </w:p>
    <w:p>
      <w:pPr/>
      <w:r>
        <w:rPr>
          <w:b w:val="0"/>
        </w:rPr>
        <w:t>This practice does not operate in a standard competitive market. In most markets, one satisfied client equals one potential referral. In a dense, trust-driven community network — South Asian owner-managed businesses, predominantly in hospitality — referral dynamics behave differently. One strong client relationship can generate a cluster of new clients over years, not a single referral.</w:t>
      </w:r>
    </w:p>
    <w:p>
      <w:pPr>
        <w:pStyle w:val="SubsectionHeading"/>
      </w:pPr>
      <w:r>
        <w:rPr>
          <w:b w:val="0"/>
        </w:rPr>
        <w:t>Advantage 3 — The client base has a built-in maturation curve</w:t>
      </w:r>
    </w:p>
    <w:p>
      <w:pPr/>
      <w:r>
        <w:rPr>
          <w:b w:val="0"/>
        </w:rPr>
        <w:t>The 600 current clients are not a static population. They are businesses at various stages of growth. Many of them — particularly younger or earlier-stage clients — will naturally become more complex, and therefore more valuable, over the next five years. The practice is already positioned as their trusted adviser at the start of that journey.</w:t>
      </w:r>
    </w:p>
    <w:p>
      <w:pPr>
        <w:pStyle w:val="SubsectionHeading"/>
      </w:pPr>
      <w:r>
        <w:rPr>
          <w:b w:val="0"/>
        </w:rPr>
        <w:t>Advantage 4 — Unusually strong trust-to-fee conversion potential</w:t>
      </w:r>
    </w:p>
    <w:p>
      <w:pPr/>
      <w:r>
        <w:rPr>
          <w:b w:val="0"/>
        </w:rPr>
        <w:t>Many firms cannot raise prices, cross-sell services, or migrate clients to direct debit because their client relationships are transactional rather than trusted. The evidence here suggests this practice is significantly above that baseline. 163 of approximately 600 clients (27%) have already agreed to direct debit collection — a behaviour that requires genuine trust. Growth has been almost entirely referral-driven, and retention is strong despite cheaper alternatives being available online.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88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Current relationship</w:t>
            </w:r>
          </w:p>
        </w:tc>
        <w:tc>
          <w:tcPr>
            <w:tcW w:type="dxa" w:w="259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Natural next service</w:t>
            </w:r>
          </w:p>
        </w:tc>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Additional annual fee</w:t>
            </w:r>
          </w:p>
        </w:tc>
        <w:tc>
          <w:tcPr>
            <w:tcW w:type="dxa" w:w="331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Realistic scope</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Ltd accounts only</w:t>
            </w:r>
          </w:p>
        </w:tc>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Ltd + payroll (employer)</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£450/yr</w:t>
            </w:r>
          </w:p>
        </w:tc>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~80 of 307 Ltd clients have staff</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Ltd + payroll only</w:t>
            </w:r>
          </w:p>
        </w:tc>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Add bookkeeping</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£400/yr</w:t>
            </w:r>
          </w:p>
        </w:tc>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~120 eligible — no current bookkeeper</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Ltd accounts only</w:t>
            </w:r>
          </w:p>
        </w:tc>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Add VAT registration</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£600/yr</w:t>
            </w:r>
          </w:p>
        </w:tc>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~50 approaching the VAT threshold</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Director salary only (no SA)</w:t>
            </w:r>
          </w:p>
        </w:tc>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SA return as income grows</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£180/yr</w:t>
            </w:r>
          </w:p>
        </w:tc>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~60 likely to qualify within 3 years</w:t>
            </w:r>
          </w:p>
        </w:tc>
      </w:tr>
      <w:tr>
        <w:tc>
          <w:tcPr>
            <w:tcW w:type="dxa" w:w="288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Compliance only</w:t>
            </w:r>
          </w:p>
        </w:tc>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Management accounts + review</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£900/yr</w:t>
            </w:r>
          </w:p>
        </w:tc>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~30–50 strongest clients</w:t>
            </w:r>
          </w:p>
        </w:tc>
      </w:tr>
      <w:tr>
        <w:tc>
          <w:tcPr>
            <w:tcW w:type="dxa" w:w="288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Single-company director</w:t>
            </w:r>
          </w:p>
        </w:tc>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Second or group company work</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£800+/yr</w:t>
            </w:r>
          </w:p>
        </w:tc>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Natural growth within existing families</w:t>
            </w:r>
          </w:p>
        </w:tc>
      </w:tr>
    </w:tbl>
    <w:p>
      <w:pPr/>
      <w:r>
        <w:rPr>
          <w:b w:val="0"/>
        </w:rPr>
        <w:t>Conservatively, if 30% of the current base deepens their service relationship by even one additional service line over the next four years, the revenue impact from the existing client base alone exceeds £100,000 per year — without a single new client being acquired.</w:t>
      </w:r>
    </w:p>
    <w:p>
      <w:pPr/>
      <w:r>
        <w:rPr>
          <w:b w:val="0"/>
        </w:rPr>
        <w:t>This means the practice's client acquisition cost is structurally lower than a general-market competitor, and the trust barrier for a competitor to displace existing clients is structurally higher. A formalised referral programme could realistically accelerate annual new-client acquisition from 40 new Ltd clients to 50–60 per year — accounting for approximately £50,000–£70,000 of additional annual revenue by 2030.</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Client stage</w:t>
            </w:r>
          </w:p>
        </w:tc>
        <w:tc>
          <w:tcPr>
            <w:tcW w:type="dxa" w:w="331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Emerging service needs</w:t>
            </w:r>
          </w:p>
        </w:tc>
        <w:tc>
          <w:tcPr>
            <w:tcW w:type="dxa" w:w="50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Commercial implication</w:t>
            </w:r>
          </w:p>
        </w:tc>
      </w:tr>
      <w:tr>
        <w:tc>
          <w:tcPr>
            <w:tcW w:type="dxa" w:w="201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Early-stage (year 1–3)</w:t>
            </w:r>
          </w:p>
        </w:tc>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Compliance, payroll setup, annual accounts</w:t>
            </w:r>
          </w:p>
        </w:tc>
        <w:tc>
          <w:tcPr>
            <w:tcW w:type="dxa" w:w="50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Low fee now; long retention ahead; foundation relationship.</w:t>
            </w:r>
          </w:p>
        </w:tc>
      </w:tr>
      <w:tr>
        <w:tc>
          <w:tcPr>
            <w:tcW w:type="dxa" w:w="201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Growing SME (year 3–7)</w:t>
            </w:r>
          </w:p>
        </w:tc>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 bookkeeping, more complex payroll, cash flow</w:t>
            </w:r>
          </w:p>
        </w:tc>
        <w:tc>
          <w:tcPr>
            <w:tcW w:type="dxa" w:w="50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Multi-service engagement becomes natural.</w:t>
            </w:r>
          </w:p>
        </w:tc>
      </w:tr>
      <w:tr>
        <w:tc>
          <w:tcPr>
            <w:tcW w:type="dxa" w:w="201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Established (year 7+)</w:t>
            </w:r>
          </w:p>
        </w:tc>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Management accounts, structuring, property, second companies</w:t>
            </w:r>
          </w:p>
        </w:tc>
        <w:tc>
          <w:tcPr>
            <w:tcW w:type="dxa" w:w="50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High-value advisory; strong fee base; family complexity.</w:t>
            </w:r>
          </w:p>
        </w:tc>
      </w:tr>
      <w:tr>
        <w:tc>
          <w:tcPr>
            <w:tcW w:type="dxa" w:w="201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Director approaching maturity</w:t>
            </w:r>
          </w:p>
        </w:tc>
        <w:tc>
          <w:tcPr>
            <w:tcW w:type="dxa" w:w="331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Dividends, personal tax, pension, exit planning</w:t>
            </w:r>
          </w:p>
        </w:tc>
        <w:tc>
          <w:tcPr>
            <w:tcW w:type="dxa" w:w="50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SA, personal advisory, succession — premium work.</w:t>
            </w:r>
          </w:p>
        </w:tc>
      </w:tr>
      <w:tr>
        <w:tc>
          <w:tcPr>
            <w:tcW w:type="dxa" w:w="201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Multi-entity groups</w:t>
            </w:r>
          </w:p>
        </w:tc>
        <w:tc>
          <w:tcPr>
            <w:tcW w:type="dxa" w:w="331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Group accounts, intercompany, consolidated reporting</w:t>
            </w:r>
          </w:p>
        </w:tc>
        <w:tc>
          <w:tcPr>
            <w:tcW w:type="dxa" w:w="50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Premium compliance plus advisory; £1,500–£3,000+/yr.</w:t>
            </w:r>
          </w:p>
        </w:tc>
      </w:tr>
    </w:tbl>
    <w:p>
      <w:pPr/>
      <w:r>
        <w:rPr>
          <w:b w:val="0"/>
        </w:rPr>
        <w:t>This trust premium is not reflected anywhere in the current fee schedule — but it is real, it is durable, and it is one of the most defensible competitive advantages the practice holds. When fees are raised and communicated properly, acceptance rates will be materially higher than a general-market firm would expect.</w:t>
      </w:r>
    </w:p>
    <w:p>
      <w:pPr>
        <w:pStyle w:val="SubsectionHeading"/>
      </w:pPr>
      <w:r>
        <w:rPr>
          <w:b w:val="0"/>
        </w:rPr>
        <w:t>Upside Revenue Bridge — £314,000 to £1,000,000</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88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Growth lever</w:t>
            </w:r>
          </w:p>
        </w:tc>
        <w:tc>
          <w:tcPr>
            <w:tcW w:type="dxa" w:w="158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Addition</w:t>
            </w:r>
          </w:p>
        </w:tc>
        <w:tc>
          <w:tcPr>
            <w:tcW w:type="dxa" w:w="187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Cumulative</w:t>
            </w:r>
          </w:p>
        </w:tc>
        <w:tc>
          <w:tcPr>
            <w:tcW w:type="dxa" w:w="3024"/>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Basis</w:t>
            </w:r>
          </w:p>
        </w:tc>
      </w:tr>
      <w:tr>
        <w:tc>
          <w:tcPr>
            <w:tcW w:type="dxa" w:w="388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Starting position</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w:t>
            </w:r>
          </w:p>
        </w:tc>
        <w:tc>
          <w:tcPr>
            <w:tcW w:type="dxa" w:w="18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£314,000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Confirmed restated revenue.</w:t>
            </w:r>
          </w:p>
        </w:tc>
      </w:tr>
      <w:tr>
        <w:tc>
          <w:tcPr>
            <w:tcW w:type="dxa" w:w="388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Fee correction</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+£109,340</w:t>
            </w:r>
          </w:p>
        </w:tc>
        <w:tc>
          <w:tcPr>
            <w:tcW w:type="dxa" w:w="18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£423,340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Current base at corrected rates.</w:t>
            </w:r>
          </w:p>
        </w:tc>
      </w:tr>
      <w:tr>
        <w:tc>
          <w:tcPr>
            <w:tcW w:type="dxa" w:w="388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Organic growth (50+ new Ltd/yr × 4yrs)</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+£176,000</w:t>
            </w:r>
          </w:p>
        </w:tc>
        <w:tc>
          <w:tcPr>
            <w:tcW w:type="dxa" w:w="18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£599,340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50 new Ltd/yr at £800 + avg PAYE.</w:t>
            </w:r>
          </w:p>
        </w:tc>
      </w:tr>
      <w:tr>
        <w:tc>
          <w:tcPr>
            <w:tcW w:type="dxa" w:w="388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Service penetration — existing base</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+£120,000</w:t>
            </w:r>
          </w:p>
        </w:tc>
        <w:tc>
          <w:tcPr>
            <w:tcW w:type="dxa" w:w="18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£719,340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30% of base deepens by one service line.</w:t>
            </w:r>
          </w:p>
        </w:tc>
      </w:tr>
      <w:tr>
        <w:tc>
          <w:tcPr>
            <w:tcW w:type="dxa" w:w="388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Management accounts (50 clients)</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+£45,000</w:t>
            </w:r>
          </w:p>
        </w:tc>
        <w:tc>
          <w:tcPr>
            <w:tcW w:type="dxa" w:w="18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£764,340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After pilot; scaled over 3 years.</w:t>
            </w:r>
          </w:p>
        </w:tc>
      </w:tr>
      <w:tr>
        <w:tc>
          <w:tcPr>
            <w:tcW w:type="dxa" w:w="388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Advisory (structuring, planning, review)</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+£60,000</w:t>
            </w:r>
          </w:p>
        </w:tc>
        <w:tc>
          <w:tcPr>
            <w:tcW w:type="dxa" w:w="18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£824,340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10–15 high-value clients at £4–6k/year.</w:t>
            </w:r>
          </w:p>
        </w:tc>
      </w:tr>
      <w:tr>
        <w:tc>
          <w:tcPr>
            <w:tcW w:type="dxa" w:w="388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SA maturation + director complexity</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+£25,000</w:t>
            </w:r>
          </w:p>
        </w:tc>
        <w:tc>
          <w:tcPr>
            <w:tcW w:type="dxa" w:w="18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£849,340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60 new SA + growing director complexity.</w:t>
            </w:r>
          </w:p>
        </w:tc>
      </w:tr>
      <w:tr>
        <w:tc>
          <w:tcPr>
            <w:tcW w:type="dxa" w:w="388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Referral premium + second companies</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+£80,000</w:t>
            </w:r>
          </w:p>
        </w:tc>
        <w:tc>
          <w:tcPr>
            <w:tcW w:type="dxa" w:w="18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£929,340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Compounding community referrals.</w:t>
            </w:r>
          </w:p>
        </w:tc>
      </w:tr>
      <w:tr>
        <w:tc>
          <w:tcPr>
            <w:tcW w:type="dxa" w:w="388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Bookkeeping expansion + payroll depth</w:t>
            </w:r>
          </w:p>
        </w:tc>
        <w:tc>
          <w:tcPr>
            <w:tcW w:type="dxa" w:w="158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+£70,000</w:t>
            </w:r>
          </w:p>
        </w:tc>
        <w:tc>
          <w:tcPr>
            <w:tcW w:type="dxa" w:w="187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£999,340</w:t>
            </w:r>
          </w:p>
        </w:tc>
        <w:tc>
          <w:tcPr>
            <w:tcW w:type="dxa" w:w="3024"/>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 bookkeeping clients; deeper payroll.</w:t>
            </w:r>
          </w:p>
        </w:tc>
      </w:tr>
      <w:tr>
        <w:tc>
          <w:tcPr>
            <w:tcW w:type="dxa" w:w="388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UPSIDE SCENARIO — c.2030–2032</w:t>
            </w:r>
          </w:p>
        </w:tc>
        <w:tc>
          <w:tcPr>
            <w:tcW w:type="dxa" w:w="158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87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~£1,000,000</w:t>
            </w:r>
          </w:p>
        </w:tc>
        <w:tc>
          <w:tcPr>
            <w:tcW w:type="dxa" w:w="3024"/>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Requires all conditions met and correct sequencing.</w:t>
            </w:r>
          </w:p>
        </w:tc>
      </w:tr>
    </w:tbl>
    <w:p>
      <w:pPr>
        <w:pStyle w:val="QuoteLine"/>
        <w:jc w:val="center"/>
      </w:pPr>
      <w:r>
        <w:rPr>
          <w:b/>
        </w:rPr>
        <w:t>"The route to £1,000,000 does not require a different business. It requires the same business — priced correctly, serviced more deeply, referred more systematically, and run with less dependence on one person."</w:t>
      </w:r>
    </w:p>
    <w:p>
      <w:r>
        <w:br w:type="page"/>
      </w:r>
    </w:p>
    <w:p>
      <w:pPr>
        <w:pStyle w:val="SectionHeading"/>
      </w:pPr>
      <w:r>
        <w:t>Appendix — Assumptions and Definitions</w:t>
      </w:r>
    </w:p>
    <w:p/>
    <w:tbl>
      <w:tblPr>
        <w:tblW w:type="auto" w:w="0"/>
        <w:jc w:val="left"/>
        <w:tblLook w:firstColumn="1" w:firstRow="1" w:lastColumn="0" w:lastRow="0" w:noHBand="0" w:noVBand="1" w:val="04A0"/>
      </w:tblPr>
      <w:tblGrid>
        <w:gridCol w:w="10080"/>
      </w:tblGrid>
      <w:tr>
        <w:tc>
          <w:tcPr>
            <w:tcW w:type="dxa" w:w="2592"/>
            <w:shd w:fill="C8A64D"/>
            <w:tcBorders>
              <w:left w:val="nil"/>
              <w:top w:val="nil"/>
              <w:right w:val="nil"/>
              <w:bottom w:val="nil"/>
            </w:tcBorders>
          </w:tcPr>
          <w:p>
            <w:pPr>
              <w:spacing w:after="0"/>
            </w:pPr>
          </w:p>
        </w:tc>
      </w:tr>
    </w:tbl>
    <w:p>
      <w:pPr>
        <w:spacing w:after="0"/>
      </w:pPr>
    </w:p>
    <w:p>
      <w:pPr/>
      <w:r>
        <w:rPr>
          <w:b w:val="0"/>
        </w:rPr>
        <w:t>This appendix sets out the key assumptions, definitions, and caveats underlying the figures in this report. It is intended to support any lender, broker, or adviser reviewing the report.</w:t>
      </w:r>
    </w:p>
    <w:p>
      <w:pPr>
        <w:pStyle w:val="SubsectionHeading"/>
      </w:pPr>
      <w:r>
        <w:rPr>
          <w:b w:val="0"/>
        </w:rPr>
        <w:t>A1. The £109,340 Fee Correction — Calculation Basis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259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Service</w:t>
            </w:r>
          </w:p>
        </w:tc>
        <w:tc>
          <w:tcPr>
            <w:tcW w:type="dxa" w:w="115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Clients</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Current fee</w:t>
            </w:r>
          </w:p>
        </w:tc>
        <w:tc>
          <w:tcPr>
            <w:tcW w:type="dxa" w:w="144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New fee</w:t>
            </w:r>
          </w:p>
        </w:tc>
        <w:tc>
          <w:tcPr>
            <w:tcW w:type="dxa" w:w="1296"/>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Uplift each</w:t>
            </w:r>
          </w:p>
        </w:tc>
        <w:tc>
          <w:tcPr>
            <w:tcW w:type="dxa" w:w="2592"/>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Annual uplift</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Ltd company accounts</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307</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£800</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£200</w:t>
            </w:r>
          </w:p>
        </w:tc>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307 × £200 = £61,400</w:t>
            </w:r>
          </w:p>
        </w:tc>
      </w:tr>
      <w:tr>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PAYE / payroll</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243</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£300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£450</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£150</w:t>
            </w:r>
          </w:p>
        </w:tc>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243 × £150 = £36,450</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Self-assessment</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383</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£150</w:t>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£180</w:t>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£30</w:t>
            </w:r>
          </w:p>
        </w:tc>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383 × £30 = £11,490</w:t>
            </w:r>
          </w:p>
        </w:tc>
      </w:tr>
      <w:tr>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 returns</w:t>
            </w:r>
          </w:p>
        </w:tc>
        <w:tc>
          <w:tcPr>
            <w:tcW w:type="dxa" w:w="115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42</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144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£600</w:t>
            </w:r>
          </w:p>
        </w:tc>
        <w:tc>
          <w:tcPr>
            <w:tcW w:type="dxa" w:w="1296"/>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w:t>
            </w:r>
          </w:p>
        </w:tc>
        <w:tc>
          <w:tcPr>
            <w:tcW w:type="dxa" w:w="2592"/>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No change</w:t>
            </w:r>
          </w:p>
        </w:tc>
      </w:tr>
      <w:tr>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Total</w:t>
            </w:r>
          </w:p>
        </w:tc>
        <w:tc>
          <w:tcPr>
            <w:tcW w:type="dxa" w:w="115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44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1296"/>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r>
          </w:p>
        </w:tc>
        <w:tc>
          <w:tcPr>
            <w:tcW w:type="dxa" w:w="2592"/>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+£109,340</w:t>
            </w:r>
          </w:p>
        </w:tc>
      </w:tr>
    </w:tbl>
    <w:p>
      <w:pPr/>
      <w:r>
        <w:rPr>
          <w:b w:val="0"/>
        </w:rPr>
        <w:t>Qualifications: The uplift is calculated on the full client base at March 2026. In practice, implementation will involve a 90-day notice period, meaning the full uplift phases in over 12–18 months.</w:t>
      </w:r>
    </w:p>
    <w:p>
      <w:pPr/>
      <w:r>
        <w:rPr>
          <w:b w:val="0"/>
        </w:rPr>
        <w:t>A modest level of client attrition should be anticipated. All fees are quoted exclusive of VAT.</w:t>
      </w:r>
    </w:p>
    <w:p>
      <w:pPr>
        <w:pStyle w:val="SubsectionHeading"/>
      </w:pPr>
      <w:r>
        <w:rPr>
          <w:b w:val="0"/>
        </w:rPr>
        <w:t>A2. What "Restated Revenue" Excludes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60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Item excluded</w:t>
            </w:r>
          </w:p>
        </w:tc>
        <w:tc>
          <w:tcPr>
            <w:tcW w:type="dxa" w:w="676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Reason for exclusion</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Intercompany transfers (CPL to TCA)</w:t>
            </w:r>
          </w:p>
        </w:tc>
        <w:tc>
          <w:tcPr>
            <w:tcW w:type="dxa" w:w="67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Transfers between related entities are not trading income.</w:t>
            </w:r>
          </w:p>
        </w:tc>
      </w:tr>
      <w:tr>
        <w:tc>
          <w:tcPr>
            <w:tcW w:type="dxa" w:w="36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 receipts collected on behalf of HMRC</w:t>
            </w:r>
          </w:p>
        </w:tc>
        <w:tc>
          <w:tcPr>
            <w:tcW w:type="dxa" w:w="67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VAT collected from clients is a liability, not revenue.</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Loan proceeds (Lloyds consolidation)</w:t>
            </w:r>
          </w:p>
        </w:tc>
        <w:tc>
          <w:tcPr>
            <w:tcW w:type="dxa" w:w="67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The £45,000 loan draw-down is a financing receipt, not trading income.</w:t>
            </w:r>
          </w:p>
        </w:tc>
      </w:tr>
      <w:tr>
        <w:tc>
          <w:tcPr>
            <w:tcW w:type="dxa" w:w="36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Client disbursements and pass-throughs</w:t>
            </w:r>
          </w:p>
        </w:tc>
        <w:tc>
          <w:tcPr>
            <w:tcW w:type="dxa" w:w="67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Costs collected from clients and paid to third parties (e.g. CH fees) are excluded.</w:t>
            </w:r>
          </w:p>
        </w:tc>
      </w:tr>
      <w:tr>
        <w:tc>
          <w:tcPr>
            <w:tcW w:type="dxa" w:w="36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Non-recurring or exceptional receipts</w:t>
            </w:r>
          </w:p>
        </w:tc>
        <w:tc>
          <w:tcPr>
            <w:tcW w:type="dxa" w:w="67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Any one-off items identified during the bank analysis have been removed.</w:t>
            </w:r>
          </w:p>
        </w:tc>
      </w:tr>
    </w:tbl>
    <w:p>
      <w:pPr>
        <w:pStyle w:val="SubsectionHeading"/>
      </w:pPr>
      <w:r>
        <w:rPr>
          <w:b w:val="0"/>
        </w:rPr>
        <w:t>A3. Valuation Methodology Note</w:t>
      </w:r>
    </w:p>
    <w:p>
      <w:pPr/>
      <w:r>
        <w:rPr>
          <w:b w:val="0"/>
        </w:rPr>
        <w:t>The valuation ranges are indicative estimates only and are not a formal valuation. They should not be relied upon for legal, taxation, or transaction purposes without a formal appraisal by a qualified practice valuation specialist. Estimates are based on the recurring gross fee income (GFI) multiple methodology. Market range estimates are based on management observation and general sector commentary; not derived from a formal third-party survey.</w:t>
      </w:r>
    </w:p>
    <w:p>
      <w:pPr>
        <w:pStyle w:val="SubsectionHeading"/>
      </w:pPr>
      <w:r>
        <w:rPr>
          <w:b w:val="0"/>
        </w:rPr>
        <w:t>A4. Definition of Recurring Revenue (MRR)</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168"/>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Term</w:t>
            </w:r>
          </w:p>
        </w:tc>
        <w:tc>
          <w:tcPr>
            <w:tcW w:type="dxa" w:w="7200"/>
            <w:shd w:fill="1B1B1B"/>
            <w:vAlign w:val="center"/>
            <w:tcBorders>
              <w:left w:val="single" w:sz="4" w:color="D6C189"/>
              <w:top w:val="single" w:sz="6" w:color="C8A64D"/>
              <w:right w:val="single" w:sz="4" w:color="D6C189"/>
              <w:bottom w:val="single" w:sz="6" w:color="C8A64D"/>
            </w:tcBorders>
          </w:tcPr>
          <w:p>
            <w:pPr>
              <w:jc w:val="center"/>
            </w:pPr>
            <w:r>
              <w:rPr>
                <w:b/>
                <w:color w:val="FFFFFF"/>
                <w:sz w:val="18"/>
              </w:rPr>
              <w:t>Definition</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Included — GoCardless direct debit</w:t>
            </w:r>
          </w:p>
        </w:tc>
        <w:tc>
          <w:tcPr>
            <w:tcW w:type="dxa" w:w="72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163 clients. Monthly fees collected via GoCardless. Confirmed from live portal data.</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Included — standing orders</w:t>
            </w:r>
          </w:p>
        </w:tc>
        <w:tc>
          <w:tcPr>
            <w:tcW w:type="dxa" w:w="72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45 clients. Monthly fees via standing order. Confirmed from February 2026 schedule.</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Excluded — ad-hoc fees</w:t>
            </w:r>
          </w:p>
        </w:tc>
        <w:tc>
          <w:tcPr>
            <w:tcW w:type="dxa" w:w="72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One-off fees, irregular invoices, and non-recurring charges are excluded from MRR.</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Excluded — annual invoices</w:t>
            </w:r>
          </w:p>
        </w:tc>
        <w:tc>
          <w:tcPr>
            <w:tcW w:type="dxa" w:w="72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Clients billed annually by invoice (not DD/SO) are not counted within MRR.</w:t>
            </w:r>
          </w:p>
        </w:tc>
      </w:tr>
      <w:tr>
        <w:tc>
          <w:tcPr>
            <w:tcW w:type="dxa" w:w="3168"/>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Combined MRR (March 2026)</w:t>
            </w:r>
          </w:p>
        </w:tc>
        <w:tc>
          <w:tcPr>
            <w:tcW w:type="dxa" w:w="7200"/>
            <w:vAlign w:val="center"/>
            <w:shd w:fill="FCFBF8"/>
            <w:tcBorders>
              <w:left w:val="single" w:sz="3" w:color="E0D3AE"/>
              <w:top w:val="single" w:sz="3" w:color="E0D3AE"/>
              <w:right w:val="single" w:sz="3" w:color="E0D3AE"/>
              <w:bottom w:val="single" w:sz="3" w:color="E0D3AE"/>
            </w:tcBorders>
          </w:tcPr>
          <w:p>
            <w:pPr>
              <w:spacing w:after="0" w:before="0" w:line="252" w:lineRule="auto"/>
            </w:pPr>
            <w:r>
              <w:rPr>
                <w:sz w:val="18"/>
              </w:rPr>
              <w:t>£19,579/month — equivalent to £234,945 annualised run-rate.</w:t>
            </w:r>
          </w:p>
        </w:tc>
      </w:tr>
      <w:tr>
        <w:tc>
          <w:tcPr>
            <w:tcW w:type="dxa" w:w="3168"/>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Target MRR (Vision 2030)</w:t>
            </w:r>
          </w:p>
        </w:tc>
        <w:tc>
          <w:tcPr>
            <w:tcW w:type="dxa" w:w="7200"/>
            <w:vAlign w:val="center"/>
            <w:shd w:fill="F6F1E5"/>
            <w:tcBorders>
              <w:left w:val="single" w:sz="3" w:color="E0D3AE"/>
              <w:top w:val="single" w:sz="3" w:color="E0D3AE"/>
              <w:right w:val="single" w:sz="3" w:color="E0D3AE"/>
              <w:bottom w:val="single" w:sz="3" w:color="E0D3AE"/>
            </w:tcBorders>
          </w:tcPr>
          <w:p>
            <w:pPr>
              <w:spacing w:after="0" w:before="0" w:line="252" w:lineRule="auto"/>
            </w:pPr>
            <w:r>
              <w:rPr>
                <w:sz w:val="18"/>
              </w:rPr>
              <w:t>£25,000/month — gap of £5,421 from the March 2026 confirmed position.</w:t>
            </w:r>
          </w:p>
        </w:tc>
      </w:tr>
    </w:tbl>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Prepared for internal strategic use only  •  The Chowdury Accountants Ltd  •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7"/>
      </w:rPr>
      <w:t>STRICTLY CONFIDENTIAL  •  THE CHOWDURY ACCOUNTANTS LTD  •  STRATEGIC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spacing w:after="80"/>
    </w:pPr>
    <w:rPr>
      <w:rFonts w:ascii="Aptos Display" w:hAnsi="Aptos Display" w:eastAsia="Aptos Display"/>
      <w:b/>
      <w:color w:val="181818"/>
      <w:sz w:val="48"/>
    </w:rPr>
  </w:style>
  <w:style w:type="paragraph" w:customStyle="1" w:styleId="ReportSubtitle">
    <w:name w:val="Report Subtitle"/>
    <w:basedOn w:val="Normal"/>
    <w:pPr>
      <w:spacing w:after="120"/>
    </w:pPr>
    <w:rPr>
      <w:rFonts w:ascii="Aptos" w:hAnsi="Aptos"/>
      <w:color w:val="5A5A5A"/>
      <w:sz w:val="23"/>
    </w:rPr>
  </w:style>
  <w:style w:type="paragraph" w:customStyle="1" w:styleId="SectionHeading">
    <w:name w:val="Section Heading"/>
    <w:basedOn w:val="Normal"/>
    <w:pPr>
      <w:spacing w:before="200" w:after="120"/>
    </w:pPr>
    <w:rPr>
      <w:rFonts w:ascii="Aptos Display" w:hAnsi="Aptos Display"/>
      <w:b/>
      <w:color w:val="181818"/>
      <w:sz w:val="32"/>
    </w:rPr>
  </w:style>
  <w:style w:type="paragraph" w:customStyle="1" w:styleId="SubsectionHeading">
    <w:name w:val="Subsection Heading"/>
    <w:basedOn w:val="Normal"/>
    <w:pPr>
      <w:spacing w:before="160" w:after="80"/>
    </w:pPr>
    <w:rPr>
      <w:rFonts w:ascii="Aptos" w:hAnsi="Aptos"/>
      <w:b/>
      <w:color w:val="181818"/>
      <w:sz w:val="23"/>
    </w:rPr>
  </w:style>
  <w:style w:type="paragraph" w:customStyle="1" w:styleId="SmallCaps">
    <w:name w:val="Small Caps"/>
    <w:basedOn w:val="Normal"/>
    <w:pPr>
      <w:spacing w:after="40"/>
    </w:pPr>
    <w:rPr>
      <w:rFonts w:ascii="Aptos" w:hAnsi="Aptos"/>
      <w:b/>
      <w:color w:val="B08F36"/>
      <w:sz w:val="18"/>
    </w:rPr>
  </w:style>
  <w:style w:type="paragraph" w:customStyle="1" w:styleId="QuoteLine">
    <w:name w:val="QuoteLine"/>
    <w:basedOn w:val="Normal"/>
    <w:pPr>
      <w:spacing w:before="80" w:after="160"/>
      <w:ind w:left="288" w:right="288"/>
    </w:pPr>
    <w:rPr>
      <w:rFonts w:ascii="Aptos" w:hAnsi="Aptos"/>
      <w:i/>
      <w:color w:val="18181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