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7" w:rsidRPr="001D19B2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A167B7" w:rsidRPr="00952D7A" w:rsidRDefault="0097008F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52D7A">
        <w:rPr>
          <w:rFonts w:ascii="Times New Roman" w:hAnsi="Times New Roman" w:cs="Times New Roman"/>
          <w:b/>
          <w:sz w:val="48"/>
          <w:szCs w:val="48"/>
          <w:u w:val="single"/>
        </w:rPr>
        <w:t>CONTRATO DE PRESTACIÓN DE SERVICIOS</w:t>
      </w:r>
    </w:p>
    <w:p w:rsidR="00A167B7" w:rsidRPr="00952D7A" w:rsidRDefault="00A167B7" w:rsidP="00952D7A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167B7" w:rsidRPr="00952D7A" w:rsidRDefault="0097008F" w:rsidP="00952D7A">
      <w:pPr>
        <w:spacing w:before="10" w:line="480" w:lineRule="auto"/>
        <w:ind w:left="3526" w:hanging="3092"/>
        <w:rPr>
          <w:rFonts w:ascii="Times New Roman" w:hAnsi="Times New Roman" w:cs="Times New Roman"/>
          <w:b/>
          <w:sz w:val="32"/>
          <w:szCs w:val="32"/>
        </w:rPr>
      </w:pPr>
      <w:r w:rsidRPr="00952D7A">
        <w:rPr>
          <w:rFonts w:ascii="Times New Roman" w:hAnsi="Times New Roman" w:cs="Times New Roman"/>
          <w:b/>
          <w:sz w:val="32"/>
          <w:szCs w:val="32"/>
        </w:rPr>
        <w:t>SERVICIOS DE SOPORTE</w:t>
      </w:r>
      <w:r w:rsidR="00952D7A" w:rsidRPr="00952D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2D7A">
        <w:rPr>
          <w:rFonts w:ascii="Times New Roman" w:hAnsi="Times New Roman" w:cs="Times New Roman"/>
          <w:b/>
          <w:sz w:val="32"/>
          <w:szCs w:val="32"/>
        </w:rPr>
        <w:t>TECNICO Y MANTENCION DE EQUIPOS</w:t>
      </w:r>
    </w:p>
    <w:p w:rsidR="00A167B7" w:rsidRPr="00952D7A" w:rsidRDefault="00A167B7" w:rsidP="00952D7A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167B7" w:rsidRPr="00952D7A" w:rsidRDefault="0097008F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  <w:r w:rsidRPr="00952D7A">
        <w:rPr>
          <w:rFonts w:ascii="Times New Roman" w:hAnsi="Times New Roman" w:cs="Times New Roman"/>
          <w:b/>
          <w:sz w:val="48"/>
          <w:szCs w:val="48"/>
          <w:highlight w:val="white"/>
        </w:rPr>
        <w:t>ENABLE S.A</w:t>
      </w:r>
    </w:p>
    <w:p w:rsidR="00A167B7" w:rsidRDefault="00A167B7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952D7A" w:rsidRDefault="00952D7A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952D7A" w:rsidRP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Integrantes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: </w:t>
      </w: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Katiuska</w:t>
      </w:r>
      <w:proofErr w:type="spellEnd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meza</w:t>
      </w:r>
      <w:proofErr w:type="spellEnd"/>
    </w:p>
    <w:p w:rsidR="00952D7A" w:rsidRP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Renzo Villegas</w:t>
      </w:r>
    </w:p>
    <w:p w:rsid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Jorge Bravo</w:t>
      </w:r>
    </w:p>
    <w:p w:rsid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white"/>
        </w:rPr>
        <w:t>Sección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>: 004-D</w:t>
      </w:r>
    </w:p>
    <w:p w:rsidR="00952D7A" w:rsidRDefault="00ED2A65" w:rsidP="00A93B13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white"/>
        </w:rPr>
        <w:t>Profesor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>: Julio Tapia</w:t>
      </w:r>
    </w:p>
    <w:p w:rsidR="00952D7A" w:rsidRPr="001D19B2" w:rsidRDefault="00952D7A" w:rsidP="00D76FA5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A167B7" w:rsidRPr="001D19B2" w:rsidRDefault="0097008F" w:rsidP="00D76FA5">
      <w:pPr>
        <w:spacing w:before="10" w:line="480" w:lineRule="auto"/>
        <w:ind w:left="17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En Santiago, a 2</w:t>
      </w:r>
      <w:r w:rsidR="00C943DB" w:rsidRPr="001D19B2">
        <w:rPr>
          <w:rFonts w:ascii="Times New Roman" w:hAnsi="Times New Roman" w:cs="Times New Roman"/>
          <w:sz w:val="24"/>
          <w:szCs w:val="24"/>
        </w:rPr>
        <w:t>7</w:t>
      </w:r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noviembre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2019, entre </w:t>
      </w:r>
      <w:r w:rsidRPr="001D19B2">
        <w:rPr>
          <w:rFonts w:ascii="Times New Roman" w:hAnsi="Times New Roman" w:cs="Times New Roman"/>
          <w:b/>
          <w:sz w:val="24"/>
          <w:szCs w:val="24"/>
        </w:rPr>
        <w:t>LICEO POLIVALENTE ANITA ALVARADO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RUT Nº </w:t>
      </w:r>
      <w:r w:rsidRPr="001D19B2">
        <w:rPr>
          <w:rFonts w:ascii="Times New Roman" w:hAnsi="Times New Roman" w:cs="Times New Roman"/>
          <w:sz w:val="24"/>
          <w:szCs w:val="24"/>
        </w:rPr>
        <w:t>69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19B2">
        <w:rPr>
          <w:rFonts w:ascii="Times New Roman" w:hAnsi="Times New Roman" w:cs="Times New Roman"/>
          <w:sz w:val="24"/>
          <w:szCs w:val="24"/>
        </w:rPr>
        <w:t>422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19B2">
        <w:rPr>
          <w:rFonts w:ascii="Times New Roman" w:hAnsi="Times New Roman" w:cs="Times New Roman"/>
          <w:sz w:val="24"/>
          <w:szCs w:val="24"/>
        </w:rPr>
        <w:t>666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-0,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Ejecutiva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doña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ANA MARCELA ESTER ALVARADO MUÑOZ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cédula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identidad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N°</w:t>
      </w:r>
      <w:r w:rsidRPr="001D19B2">
        <w:rPr>
          <w:rFonts w:ascii="Times New Roman" w:eastAsia="Roboto" w:hAnsi="Times New Roman" w:cs="Times New Roman"/>
          <w:color w:val="424242"/>
          <w:sz w:val="24"/>
          <w:szCs w:val="24"/>
          <w:highlight w:val="white"/>
        </w:rPr>
        <w:t>12.354.291-5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ambas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Alonso Ovalle Nº 11</w:t>
      </w:r>
      <w:r w:rsidRPr="001D19B2">
        <w:rPr>
          <w:rFonts w:ascii="Times New Roman" w:hAnsi="Times New Roman" w:cs="Times New Roman"/>
          <w:sz w:val="24"/>
          <w:szCs w:val="24"/>
        </w:rPr>
        <w:t>92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Santiago,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adelante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1D19B2">
        <w:rPr>
          <w:rFonts w:ascii="Times New Roman" w:hAnsi="Times New Roman" w:cs="Times New Roman"/>
          <w:sz w:val="24"/>
          <w:szCs w:val="24"/>
        </w:rPr>
        <w:t xml:space="preserve">Colegio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 o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“</w:t>
      </w:r>
      <w:r w:rsidRPr="001D19B2">
        <w:rPr>
          <w:rFonts w:ascii="Times New Roman" w:hAnsi="Times New Roman" w:cs="Times New Roman"/>
          <w:sz w:val="24"/>
          <w:szCs w:val="24"/>
        </w:rPr>
        <w:t>Ana Marcela Ester Alvarado Muñoz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”; y el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PROVEEDOR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, RUT Nº</w:t>
      </w:r>
      <w:r w:rsidRPr="001D19B2">
        <w:rPr>
          <w:rFonts w:ascii="Times New Roman" w:hAnsi="Times New Roman" w:cs="Times New Roman"/>
          <w:sz w:val="24"/>
          <w:szCs w:val="24"/>
        </w:rPr>
        <w:t>66.666.666.6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</w:t>
      </w:r>
      <w:r w:rsidRPr="001D19B2">
        <w:rPr>
          <w:rFonts w:ascii="Times New Roman" w:hAnsi="Times New Roman" w:cs="Times New Roman"/>
          <w:sz w:val="24"/>
          <w:szCs w:val="24"/>
        </w:rPr>
        <w:t xml:space="preserve"> Renzo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Piñera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Pinochet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cédula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identidad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Nº</w:t>
      </w:r>
      <w:r w:rsidRPr="001D19B2">
        <w:rPr>
          <w:rFonts w:ascii="Times New Roman" w:hAnsi="Times New Roman" w:cs="Times New Roman"/>
          <w:sz w:val="24"/>
          <w:szCs w:val="24"/>
        </w:rPr>
        <w:t>18.666.696’9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ambos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Av.Los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justos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#654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adelante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“E</w:t>
      </w:r>
      <w:r w:rsidRPr="001D19B2">
        <w:rPr>
          <w:rFonts w:ascii="Times New Roman" w:hAnsi="Times New Roman" w:cs="Times New Roman"/>
          <w:sz w:val="24"/>
          <w:szCs w:val="24"/>
        </w:rPr>
        <w:t>NABLE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”, se ha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convenido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67B7" w:rsidRPr="001D19B2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7B7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19B2" w:rsidRPr="001D19B2" w:rsidRDefault="001D19B2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7B7" w:rsidRPr="001D19B2" w:rsidRDefault="0097008F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PRIMERO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GENERALIDADES.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Alvarado,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una persona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jurídica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derecho privado, sin fines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lucro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lograr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desarrollo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adolescentes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entre </w:t>
      </w:r>
      <w:r w:rsidR="00C943DB" w:rsidRPr="001D19B2">
        <w:rPr>
          <w:rFonts w:ascii="Times New Roman" w:hAnsi="Times New Roman" w:cs="Times New Roman"/>
          <w:sz w:val="24"/>
          <w:szCs w:val="24"/>
        </w:rPr>
        <w:t>1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18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años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viven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situación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vulnerabilidad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social.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atiende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alrededor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73.000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adolescentes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1.046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educacionales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jardines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infantiles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sz w:val="24"/>
          <w:szCs w:val="24"/>
        </w:rPr>
        <w:t xml:space="preserve">colegios,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situados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regiones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país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entrada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 y hardware 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especial, para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Jefaturas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idóneo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Forman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licitatorio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Este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Anexo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écnico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aclaraciones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proponente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adjudicado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proponentes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Bases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1D19B2">
        <w:rPr>
          <w:rFonts w:ascii="Times New Roman" w:hAnsi="Times New Roman" w:cs="Times New Roman"/>
          <w:sz w:val="24"/>
          <w:szCs w:val="24"/>
        </w:rPr>
        <w:t>Técnico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Anexos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Bases;</w:t>
      </w:r>
    </w:p>
    <w:p w:rsidR="00C943DB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antecedentes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prevalecerán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orden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principal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regulan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contradicción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prevalecerá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texto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SEGUNDO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OBJETO DEL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entrada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 y hardware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aspectos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pretende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profesores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puedan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actividades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diarias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tanto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aprendi</w:t>
      </w:r>
      <w:r w:rsidRPr="001D19B2">
        <w:rPr>
          <w:rFonts w:ascii="Times New Roman" w:hAnsi="Times New Roman" w:cs="Times New Roman"/>
          <w:sz w:val="24"/>
          <w:szCs w:val="24"/>
        </w:rPr>
        <w:t>zaje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procesador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i3 de 5ta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generacion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mouse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teclados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incluyendo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licencias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correspondiente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Direcciones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Jefaturas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idóneo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devolverán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buen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adeudados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Fundación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entreguen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funcionamiento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Pr="001D19B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software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Técnico, que forma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ítems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elementos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2D7A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utilizará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1D19B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sistemas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necesarios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logro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exigidas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</w:t>
      </w: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TERCERO: PRECIO DEL CONTRATO.</w:t>
      </w:r>
    </w:p>
    <w:p w:rsidR="00C943DB" w:rsidRDefault="00C943DB" w:rsidP="00D76F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0" w:line="480" w:lineRule="auto"/>
        <w:ind w:right="217"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S.A.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denominará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”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incluye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2D7A" w:rsidRPr="001D19B2" w:rsidRDefault="00952D7A" w:rsidP="00952D7A">
      <w:p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0" w:line="480" w:lineRule="auto"/>
        <w:ind w:left="603" w:right="217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tabs>
          <w:tab w:val="left" w:pos="1395"/>
          <w:tab w:val="left" w:pos="9612"/>
        </w:tabs>
        <w:spacing w:before="10" w:line="480" w:lineRule="auto"/>
        <w:ind w:left="14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  <w:u w:val="none"/>
          <w:shd w:val="clear" w:color="auto" w:fill="BEBEBE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  <w:highlight w:val="white"/>
          <w:u w:val="none"/>
        </w:rPr>
        <w:t>PRECIO ANUAL DEL CONTRATO: $ 29.010.000</w:t>
      </w:r>
      <w:r w:rsidRPr="001D19B2">
        <w:rPr>
          <w:rFonts w:ascii="Times New Roman" w:hAnsi="Times New Roman" w:cs="Times New Roman"/>
          <w:sz w:val="24"/>
          <w:szCs w:val="24"/>
          <w:u w:val="none"/>
          <w:shd w:val="clear" w:color="auto" w:fill="BEBEBE"/>
        </w:rPr>
        <w:tab/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3"/>
          <w:tab w:val="left" w:pos="604"/>
        </w:tabs>
        <w:spacing w:before="10" w:line="480" w:lineRule="auto"/>
        <w:ind w:hanging="42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DETALLE DE PRECIOS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  <w:sectPr w:rsidR="00C943DB" w:rsidRPr="001D19B2" w:rsidSect="001D19B2">
          <w:pgSz w:w="12240" w:h="15840"/>
          <w:pgMar w:top="1440" w:right="1440" w:bottom="1440" w:left="1440" w:header="760" w:footer="1276" w:gutter="0"/>
          <w:cols w:space="720" w:equalWidth="0">
            <w:col w:w="8598"/>
          </w:cols>
        </w:sect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anterior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5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01"/>
        <w:gridCol w:w="2127"/>
        <w:gridCol w:w="1421"/>
        <w:gridCol w:w="1416"/>
        <w:gridCol w:w="1560"/>
      </w:tblGrid>
      <w:tr w:rsidR="00C943DB" w:rsidRPr="001D19B2" w:rsidTr="00352A48">
        <w:trPr>
          <w:trHeight w:val="920"/>
        </w:trPr>
        <w:tc>
          <w:tcPr>
            <w:tcW w:w="53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8" w:right="3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  <w:proofErr w:type="spellEnd"/>
          </w:p>
        </w:tc>
        <w:tc>
          <w:tcPr>
            <w:tcW w:w="2501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20" w:right="25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Suministro</w:t>
            </w:r>
            <w:proofErr w:type="spellEnd"/>
          </w:p>
        </w:tc>
        <w:tc>
          <w:tcPr>
            <w:tcW w:w="2127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0" w:right="1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1421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8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416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3" w:right="10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Unitario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(c/IVA)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UF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3" w:right="29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Total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</w:t>
            </w: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10" w:right="1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(c/IVA)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05" w:right="78" w:hanging="64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Adobe Flash PDF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Paquete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Herramientas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6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0,616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3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17003</w:t>
            </w:r>
          </w:p>
        </w:tc>
      </w:tr>
      <w:tr w:rsidR="00C943DB" w:rsidRPr="001D19B2" w:rsidTr="00352A48">
        <w:trPr>
          <w:trHeight w:val="52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729" w:right="172" w:hanging="4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Antivirus Panda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51" w:right="24" w:hanging="4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Protección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Software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0,180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4957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729" w:right="172" w:hanging="4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Office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Paquete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Herramientas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0,130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3583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I3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0,454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225666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I5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376063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I7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1,362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676714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apuntador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interactuar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con una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computadora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0,00248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3686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Teclado</w:t>
            </w:r>
            <w:proofErr w:type="spellEnd"/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presenta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el conjunto de las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teclas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diversos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aparatos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instrumentos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0,00351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5245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Mousepad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alfombrilla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ratón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0,00151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2268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Impresora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Multifuncional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Láser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Monocromática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Wi-Fi DCP-L2540 DW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periférico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1,908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105320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Impresora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Multifuncional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HP Deskjet Ink Advantage 3775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periférico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Baja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0,163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22538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mantención</w:t>
            </w:r>
            <w:proofErr w:type="spellEnd"/>
          </w:p>
        </w:tc>
        <w:tc>
          <w:tcPr>
            <w:tcW w:w="2127" w:type="dxa"/>
          </w:tcPr>
          <w:p w:rsidR="00C943DB" w:rsidRPr="001D19B2" w:rsidRDefault="00387D76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Mantenimiento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2,249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745002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reparación</w:t>
            </w:r>
            <w:proofErr w:type="spellEnd"/>
          </w:p>
        </w:tc>
        <w:tc>
          <w:tcPr>
            <w:tcW w:w="2127" w:type="dxa"/>
          </w:tcPr>
          <w:p w:rsidR="00C943DB" w:rsidRPr="001D19B2" w:rsidRDefault="00387D76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Reparar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defectuosos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0,692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229455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5" w:type="dxa"/>
            <w:gridSpan w:val="4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right="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TOTALES ($)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2417500</w:t>
            </w:r>
          </w:p>
        </w:tc>
      </w:tr>
    </w:tbl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numPr>
          <w:ilvl w:val="0"/>
          <w:numId w:val="3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  <w:u w:val="none"/>
        </w:rPr>
        <w:t>PRECIOS COMPLEMENTARIOS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Brutos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incluídos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3009"/>
        <w:gridCol w:w="3398"/>
        <w:gridCol w:w="993"/>
        <w:gridCol w:w="1444"/>
      </w:tblGrid>
      <w:tr w:rsidR="00C943DB" w:rsidRPr="001D19B2" w:rsidTr="00352A48">
        <w:trPr>
          <w:trHeight w:val="820"/>
        </w:trPr>
        <w:tc>
          <w:tcPr>
            <w:tcW w:w="547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7" w:right="5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  <w:proofErr w:type="spellEnd"/>
          </w:p>
        </w:tc>
        <w:tc>
          <w:tcPr>
            <w:tcW w:w="3009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Suministro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Accesorio</w:t>
            </w:r>
            <w:proofErr w:type="spellEnd"/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44" w:right="17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Componente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Funcionalidad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Complementarios</w:t>
            </w:r>
            <w:proofErr w:type="spellEnd"/>
          </w:p>
        </w:tc>
        <w:tc>
          <w:tcPr>
            <w:tcW w:w="3398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41" w:right="21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99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5" w:right="4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444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36" w:right="108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Unitario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 (*)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63" w:right="267" w:hanging="66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I3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4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0,454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993" w:right="266" w:hanging="79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I5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6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I7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1,362</w:t>
            </w:r>
          </w:p>
        </w:tc>
      </w:tr>
    </w:tbl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sancionado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formalmente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antes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 “Acta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debidamente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firmada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ambas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décimo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sexta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controles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cambio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Bases Técnico-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acta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firmada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r w:rsidRPr="001D19B2">
        <w:rPr>
          <w:rFonts w:ascii="Times New Roman" w:hAnsi="Times New Roman" w:cs="Times New Roman"/>
          <w:sz w:val="24"/>
          <w:szCs w:val="24"/>
        </w:rPr>
        <w:t>la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161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CUARTO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FORMA DE PAGO.</w:t>
      </w:r>
    </w:p>
    <w:p w:rsidR="00C943DB" w:rsidRPr="001D19B2" w:rsidRDefault="00C943DB" w:rsidP="00D76FA5">
      <w:pPr>
        <w:spacing w:before="10" w:line="480" w:lineRule="auto"/>
        <w:ind w:left="175" w:right="222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vencido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se </w:t>
      </w:r>
      <w:proofErr w:type="spellStart"/>
      <w:r w:rsidR="005F0B66" w:rsidRPr="001D19B2">
        <w:rPr>
          <w:rFonts w:ascii="Times New Roman" w:hAnsi="Times New Roman" w:cs="Times New Roman"/>
          <w:sz w:val="24"/>
          <w:szCs w:val="24"/>
        </w:rPr>
        <w:t>cursará</w:t>
      </w:r>
      <w:proofErr w:type="spellEnd"/>
      <w:r w:rsidR="005F0B66" w:rsidRPr="001D19B2">
        <w:rPr>
          <w:rFonts w:ascii="Times New Roman" w:hAnsi="Times New Roman" w:cs="Times New Roman"/>
          <w:sz w:val="24"/>
          <w:szCs w:val="24"/>
        </w:rPr>
        <w:t>, previa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emisión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envío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del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REPORTE DE USO DEL SERVICIO </w:t>
      </w:r>
      <w:r w:rsidRPr="001D19B2">
        <w:rPr>
          <w:rFonts w:ascii="Times New Roman" w:hAnsi="Times New Roman" w:cs="Times New Roman"/>
          <w:sz w:val="24"/>
          <w:szCs w:val="24"/>
        </w:rPr>
        <w:t xml:space="preserve">y el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INFORME MENSUAL DE ESTADO DEL SERVICIO </w:t>
      </w:r>
      <w:r w:rsidRPr="001D19B2">
        <w:rPr>
          <w:rFonts w:ascii="Times New Roman" w:hAnsi="Times New Roman" w:cs="Times New Roman"/>
          <w:sz w:val="24"/>
          <w:szCs w:val="24"/>
        </w:rPr>
        <w:t xml:space="preserve">a  los que se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alude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Bases Técnico-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 Informe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anteriores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adjunto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valor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Agregado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(IVA), y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2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sobre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volúmenes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base, con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unitarios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SLA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descuentos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 y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otra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45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luego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esté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Aquellas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recibidas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superior,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afectas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décima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tributos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general,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causa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fines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Sólo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hubieran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vencido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En particular, el primer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efectuará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plenamente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habilitado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cursado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ha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rezagos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ítems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asociada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forma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oportuna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convienen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30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recepción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reclamar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No obstante lo anterior,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derecho 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vencimiento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alegaciones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indebidos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injustificados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161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QUINTO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GASTOS DE IMPLEMENTACIÓN, IMPUESTOS Y TASAS.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derechos,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aprobaciones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licencias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concesiones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autorizaciones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requeridas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causa o con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ocasión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 w:hanging="1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tributos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general, que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devenguen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 causa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fines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también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SEXTO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PLAZO DEL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18 </w:t>
      </w:r>
      <w:proofErr w:type="spellStart"/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MESES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,contados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similar,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cuyo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mínima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incrementar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principal. No obstante,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ajustes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mutuo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tecnológicas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posventa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volumen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pudiendo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variar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hasta un 20%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anterior,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especificaciones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nuevos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ajustadas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características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funcionalidades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abrir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PERIODO DE TRANSICIÓN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 un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modificación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migración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vigentes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manteniendo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SÉPTIMO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TERMINO ANTICIPADO DE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derecho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TÉRMINO ANTICIPADO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expresión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causa y sin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indemnización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comunicándose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certificada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remitida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mínima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cancelará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indemnizaciones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recargos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párrafo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precedente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aviso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dado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treinta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antelación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situaciones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declarado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quiebra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notoria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insolvencia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23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giro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liquidación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empresa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tales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hechos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dentro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10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18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da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impartidas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tengan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24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vulnera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prohibición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ceder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transferir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salvo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posea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consentimiento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19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reiteradas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convienen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Nº 6,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trámite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título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penal,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pudieren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período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90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Como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consecuencia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subsisten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él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lapso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contenidas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facilidades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facilitar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Como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percibir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alguna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impone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distinta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facultará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pleno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derecho 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previa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sentido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enviada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30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fijada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OCTAVO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OBLIGACIONES DEL PROVEEDOR.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oferta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acceden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disposiciones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autorizaciones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coordinar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acatar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correcta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ocasión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ejecución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convenio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pertinentes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asume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absoluta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profesionales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bajo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lo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desarrollar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trabajo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NOVENO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COMPROMISOS DE SERVICIO.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sigla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Inglés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),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exigibles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describe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habilitación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20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(*)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Técnico: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 4 horas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 24 horas</w:t>
      </w:r>
    </w:p>
    <w:p w:rsidR="00C943DB" w:rsidRPr="00A93B13" w:rsidRDefault="00C943DB" w:rsidP="003009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Tiempo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respuesta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reporte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(ticket) de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problema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operación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4 horas</w:t>
      </w: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SLA de Control y Gestión: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left="896" w:hanging="43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pactada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left="896" w:right="231" w:hanging="43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Asistencia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reunión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Estado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pactada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DECIMO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MULTAS.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imputables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sancionado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 las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circunstancias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calificadas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alguna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justificado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lastRenderedPageBreak/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Habilitación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Servicio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(MIHS):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6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41005" wp14:editId="5D577FAF">
                <wp:simplePos x="0" y="0"/>
                <wp:positionH relativeFrom="column">
                  <wp:posOffset>422275</wp:posOffset>
                </wp:positionH>
                <wp:positionV relativeFrom="paragraph">
                  <wp:posOffset>467360</wp:posOffset>
                </wp:positionV>
                <wp:extent cx="5843270" cy="285750"/>
                <wp:effectExtent l="0" t="0" r="24130" b="1905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MIHS = Días de Atraso * Valor Total del Contrato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1005" id="Forma libre: forma 5" o:spid="_x0000_s1026" style="position:absolute;left:0;text-align:left;margin-left:33.25pt;margin-top:36.8pt;width:460.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MIHS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Total del </w:t>
                      </w:r>
                      <w:proofErr w:type="spellStart"/>
                      <w:r>
                        <w:rPr>
                          <w:color w:val="000000"/>
                        </w:rPr>
                        <w:t>Contrato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cumpla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los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plazos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para  la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habilitación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0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oferta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entregue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operando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criterios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Técnico.</w:t>
      </w:r>
    </w:p>
    <w:p w:rsidR="00C943DB" w:rsidRPr="001D19B2" w:rsidRDefault="00C943DB" w:rsidP="00D76F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Total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total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18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sólo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imputable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no se debe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fuerza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mayor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fortuito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unilateralmente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hacer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pertinente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protección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sus derechos.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E2B651" wp14:editId="7F794077">
                <wp:simplePos x="0" y="0"/>
                <wp:positionH relativeFrom="column">
                  <wp:posOffset>422275</wp:posOffset>
                </wp:positionH>
                <wp:positionV relativeFrom="paragraph">
                  <wp:posOffset>516890</wp:posOffset>
                </wp:positionV>
                <wp:extent cx="5843270" cy="334645"/>
                <wp:effectExtent l="0" t="0" r="24130" b="27305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MIST = Horas </w:t>
                            </w:r>
                            <w:r>
                              <w:rPr>
                                <w:color w:val="000000"/>
                              </w:rPr>
                              <w:t>totales de Atraso * Valor Mensual del Servicio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B651" id="Forma libre: forma 7" o:spid="_x0000_s1027" style="position:absolute;margin-left:33.25pt;margin-top:40.7pt;width:460.1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MIST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Soporte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Técnico (MIST):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0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el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tickets que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Técnico.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2.1.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886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2.2.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2.3.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problema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horas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AB0120" wp14:editId="6057180B">
                <wp:simplePos x="0" y="0"/>
                <wp:positionH relativeFrom="column">
                  <wp:posOffset>422275</wp:posOffset>
                </wp:positionH>
                <wp:positionV relativeFrom="paragraph">
                  <wp:posOffset>475615</wp:posOffset>
                </wp:positionV>
                <wp:extent cx="5843270" cy="379095"/>
                <wp:effectExtent l="0" t="0" r="24130" b="20955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MICD = </w:t>
                            </w:r>
                            <w:r>
                              <w:rPr>
                                <w:color w:val="000000"/>
                              </w:rPr>
                              <w:t>Días de Atraso * Valor Mensual del Servicio * 0,0035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0120" id="Forma libre: forma 3" o:spid="_x0000_s1028" style="position:absolute;margin-left:33.25pt;margin-top:37.45pt;width:460.1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MICD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Cobertura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Disponibilidad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(MICD):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1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solicitudes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investigación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los SLAs: 3.1.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inspección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3.2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problema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31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sitio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cubierto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descontar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 modo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con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móvil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alternativo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un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6/1000 del valor Total del </w:t>
      </w:r>
      <w:proofErr w:type="spellStart"/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previamente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D76FA5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423BA9" wp14:editId="6FF777D1">
                <wp:simplePos x="0" y="0"/>
                <wp:positionH relativeFrom="column">
                  <wp:posOffset>422275</wp:posOffset>
                </wp:positionH>
                <wp:positionV relativeFrom="paragraph">
                  <wp:posOffset>228600</wp:posOffset>
                </wp:positionV>
                <wp:extent cx="5843270" cy="342900"/>
                <wp:effectExtent l="0" t="0" r="24130" b="1905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MIPV = Horas </w:t>
                            </w:r>
                            <w:r>
                              <w:rPr>
                                <w:color w:val="000000"/>
                              </w:rPr>
                              <w:t>totales de Demora * Valor Mensual del Servicio * 0,0002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3BA9" id="Forma libre: forma 6" o:spid="_x0000_s1029" style="position:absolute;left:0;text-align:left;margin-left:33.25pt;margin-top:18pt;width:460.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MIPV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Demora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Posventa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(MIPV):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horas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tickets que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Posventa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4.1.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solicitudes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cambio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4.2.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chips (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reemplazo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nuevos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horas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0" w:line="480" w:lineRule="auto"/>
        <w:ind w:left="953"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48016" wp14:editId="1A72D198">
                <wp:simplePos x="0" y="0"/>
                <wp:positionH relativeFrom="column">
                  <wp:posOffset>422275</wp:posOffset>
                </wp:positionH>
                <wp:positionV relativeFrom="paragraph">
                  <wp:posOffset>641985</wp:posOffset>
                </wp:positionV>
                <wp:extent cx="5843270" cy="323850"/>
                <wp:effectExtent l="0" t="0" r="24130" b="1905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MICG = Dias de </w:t>
                            </w:r>
                            <w:r>
                              <w:rPr>
                                <w:color w:val="000000"/>
                              </w:rPr>
                              <w:t>retraso * Valor Mensual del Servicio * 0,004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8016" id="Forma libre: forma 4" o:spid="_x0000_s1030" style="position:absolute;margin-left:33.25pt;margin-top:50.55pt;width:460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MICG = Dias de </w:t>
                      </w:r>
                      <w:proofErr w:type="spellStart"/>
                      <w:r>
                        <w:rPr>
                          <w:color w:val="000000"/>
                        </w:rPr>
                        <w:t>retraso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Control y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Gestión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 (MICG):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Control y Gestión.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5.1.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5.2.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Asistencia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reunión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Estado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cargo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hacerse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cargo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eventuales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DF6299" wp14:editId="31D67222">
                <wp:simplePos x="0" y="0"/>
                <wp:positionH relativeFrom="column">
                  <wp:posOffset>422275</wp:posOffset>
                </wp:positionH>
                <wp:positionV relativeFrom="paragraph">
                  <wp:posOffset>644525</wp:posOffset>
                </wp:positionV>
                <wp:extent cx="5843270" cy="314325"/>
                <wp:effectExtent l="0" t="0" r="24130" b="28575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MAF = </w:t>
                            </w:r>
                            <w:r>
                              <w:rPr>
                                <w:color w:val="000000"/>
                              </w:rPr>
                              <w:t>Días de Atraso * Valor Mensual del Servicio * 0,0025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6299" id="Forma libre: forma 2" o:spid="_x0000_s1031" style="position:absolute;margin-left:33.25pt;margin-top:50.75pt;width:460.1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MAF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Atraso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Facturación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(MAF):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right="227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luego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UNDÉCIMO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GARANTÍA DE FIEL CUMPLIMIENTO.</w:t>
      </w:r>
    </w:p>
    <w:p w:rsidR="00C943DB" w:rsidRPr="001D19B2" w:rsidRDefault="00C943DB" w:rsidP="00D76FA5">
      <w:pPr>
        <w:spacing w:before="10" w:line="480" w:lineRule="auto"/>
        <w:ind w:left="175" w:right="21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consistirá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 vale vista o una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boleta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bancaria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la vista por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equivalente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10% del valor total del </w:t>
      </w:r>
      <w:proofErr w:type="spellStart"/>
      <w:r w:rsidRPr="001D19B2">
        <w:rPr>
          <w:rFonts w:ascii="Times New Roman" w:hAnsi="Times New Roman" w:cs="Times New Roman"/>
          <w:b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90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extendida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“</w:t>
      </w:r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garantizar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Licitación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”.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extenderse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sexta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boleta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devuelta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dado total 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íntegro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contraídas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virtud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previa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dentro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45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terminado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</w:t>
      </w:r>
      <w:r w:rsidRPr="001D19B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dejan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procederá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hacer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sin forma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y con cargo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ella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cobrarán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indemnizaciones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pendientes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ejercer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pudieren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DUODÉCIMO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PROHIBICIONES.</w:t>
      </w:r>
    </w:p>
    <w:p w:rsidR="00C943DB" w:rsidRPr="001D19B2" w:rsidRDefault="00C943DB" w:rsidP="00D76FA5">
      <w:pPr>
        <w:spacing w:before="10" w:line="480" w:lineRule="auto"/>
        <w:ind w:left="175" w:right="224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ninguna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imagen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corporativa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para fines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ajenos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previa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autorización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ésta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4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ceder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transferir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total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parcialmente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tercero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consentimiento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infracción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prohibición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autorizará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inmediata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haciendo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DÉCIMO TERCERO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PROPIEDAD Y CONFIDENCIALIDAD DE LA INFORMACIÓN.</w:t>
      </w:r>
    </w:p>
    <w:p w:rsidR="00C943DB" w:rsidRPr="001D19B2" w:rsidRDefault="00C943DB" w:rsidP="00D76FA5">
      <w:pPr>
        <w:spacing w:before="10" w:line="480" w:lineRule="auto"/>
        <w:ind w:left="175" w:right="21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contenida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generados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recabados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propiedad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exclusiva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medidas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conducentes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manejo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relacionada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obligándose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propio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beneficio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lastRenderedPageBreak/>
        <w:t>propósito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distinto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establecidos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; a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revelar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terceros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excepto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aquellos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o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asesores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requieran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conocer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fin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referido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; y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medidas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conducentes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proteger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evitar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divulgación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indebido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0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no hay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señaladas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precedentemente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es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público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conocimiento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antelación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divulgada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públicamente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Integra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exigencia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 una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judicial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administrativa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8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duración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indefinida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="005F0B66" w:rsidRPr="001D19B2">
        <w:rPr>
          <w:rFonts w:ascii="Times New Roman" w:hAnsi="Times New Roman" w:cs="Times New Roman"/>
          <w:sz w:val="24"/>
          <w:szCs w:val="24"/>
        </w:rPr>
        <w:t>de la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right="222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DÉCIMO CUARTO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PERSONAL QUE TRABAJA EN LOS SERVICIOS.</w:t>
      </w:r>
    </w:p>
    <w:p w:rsidR="00C943DB" w:rsidRPr="001D19B2" w:rsidRDefault="00C943DB" w:rsidP="00D76FA5">
      <w:pPr>
        <w:spacing w:before="10" w:line="480" w:lineRule="auto"/>
        <w:ind w:left="175" w:right="221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personal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exclusiva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dependencia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integrado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profesionales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técnicos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área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suficientemente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especializados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y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experiencia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2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Enable S.A.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ningún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vínculo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contractual con  el personal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con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previsionales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comerciales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tributarias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establezca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legislación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régimen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right="220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bookmarkStart w:id="0" w:name="_heading=h.f0aoec2ecd4g" w:colFirst="0" w:colLast="0"/>
      <w:bookmarkEnd w:id="0"/>
      <w:r w:rsidRPr="001D19B2">
        <w:rPr>
          <w:rFonts w:ascii="Times New Roman" w:hAnsi="Times New Roman" w:cs="Times New Roman"/>
          <w:sz w:val="24"/>
          <w:szCs w:val="24"/>
        </w:rPr>
        <w:t>DÉCIMO QUINTO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INSPECCIÓN DE LOS SERVICIOS.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asegurar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las personas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él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designe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asesores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expertos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inspeccionar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involucrados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licitación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lo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estimen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conveniente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previa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coordinación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entre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requerir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relativa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estime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correcto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responder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requerimientos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5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hábiles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salvo que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justificadas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solicite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mayor.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heading=h.1oh4w2b8fa0d" w:colFirst="0" w:colLast="0"/>
      <w:bookmarkEnd w:id="1"/>
      <w:r w:rsidRPr="001D19B2">
        <w:rPr>
          <w:rFonts w:ascii="Times New Roman" w:hAnsi="Times New Roman" w:cs="Times New Roman"/>
          <w:sz w:val="24"/>
          <w:szCs w:val="24"/>
        </w:rPr>
        <w:t>DÉCIMO SEXTO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DOMICILIO Y COMPETENCIA.</w:t>
      </w:r>
    </w:p>
    <w:p w:rsidR="005F0B66" w:rsidRDefault="00C943DB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fijan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domicilio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ciudad de Santiago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prorrogan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competencia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ante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Tribunales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Justicia</w:t>
      </w:r>
      <w:r w:rsidR="005F0B66" w:rsidRPr="001D19B2">
        <w:rPr>
          <w:rFonts w:ascii="Times New Roman" w:hAnsi="Times New Roman" w:cs="Times New Roman"/>
          <w:sz w:val="24"/>
          <w:szCs w:val="24"/>
        </w:rPr>
        <w:t>.</w:t>
      </w:r>
    </w:p>
    <w:p w:rsidR="00D76FA5" w:rsidRDefault="00D76FA5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D76FA5" w:rsidRDefault="00D76FA5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A93B13" w:rsidRPr="001D19B2" w:rsidRDefault="00A93B13" w:rsidP="00541C8E">
      <w:pPr>
        <w:spacing w:before="10" w:line="480" w:lineRule="auto"/>
        <w:ind w:right="266"/>
        <w:rPr>
          <w:rFonts w:ascii="Times New Roman" w:hAnsi="Times New Roman" w:cs="Times New Roman"/>
          <w:sz w:val="24"/>
          <w:szCs w:val="24"/>
        </w:rPr>
      </w:pP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DÉCIMO SÉPTIMO: GLOSARIO.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Proveedor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67F7">
        <w:rPr>
          <w:rFonts w:ascii="Times New Roman" w:hAnsi="Times New Roman" w:cs="Times New Roman"/>
          <w:sz w:val="24"/>
          <w:szCs w:val="24"/>
        </w:rPr>
        <w:t xml:space="preserve">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dedica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proveer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abastecer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necesarios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persona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Periféricos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entrada: </w:t>
      </w:r>
      <w:r w:rsidRPr="001267F7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aquellos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introducir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lastRenderedPageBreak/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ésta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ordene</w:t>
      </w:r>
      <w:proofErr w:type="spellEnd"/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-Software: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programas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rutinas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determinadas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tareas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-Hardware: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físicos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materiales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constituyen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Servicio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>:</w:t>
      </w:r>
      <w:r w:rsidRPr="001267F7">
        <w:rPr>
          <w:rFonts w:ascii="Times New Roman" w:hAnsi="Times New Roman" w:cs="Times New Roman"/>
          <w:sz w:val="24"/>
          <w:szCs w:val="24"/>
        </w:rPr>
        <w:t xml:space="preserve">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buscan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satisfacer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necesidades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Ordenadores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escritorio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Es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tipo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ordenador</w:t>
      </w:r>
      <w:proofErr w:type="spellEnd"/>
      <w:r w:rsidRPr="001267F7">
        <w:rPr>
          <w:rStyle w:val="e24kjd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personal,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diseñada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fabricada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para ser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instalada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ubicación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fija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como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escritorio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o mesa.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Periféricos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salida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electrónico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es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capaz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representar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ordenador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gráficos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dibujos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fotografías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espacios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tridimensionales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virtuales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esquemas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un largo etc.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Licencias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software: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Es un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permisos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desarrollador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otorgar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los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posibilidad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distribuir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usar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modificar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producto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bajo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licencia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determinada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Procesador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somete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introducida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-Mouse: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maneja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con una sola mano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dirigir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movimiento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puntero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transmitir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órdenes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diversas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Teclado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presenta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conjunto de las </w:t>
      </w:r>
      <w:proofErr w:type="spellStart"/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teclas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diversos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aparatos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máquinas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instrumentos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. Por lo general,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teclado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control</w:t>
      </w:r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mando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aparato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cuestión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Soporte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>ervicio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mediante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cual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especialistas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apoyo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informático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proporcionan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asistencia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técnica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soporte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remoto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asesoramiento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individuos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organizaciones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lastRenderedPageBreak/>
        <w:t>dependen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tecnología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Mantencion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Acciones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tienen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como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preservar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artículo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restaurarlo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estado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cual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pueda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llevar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cabo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alguna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función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requerida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-Sistema: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almacenar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; es el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interrelacionadas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: hardware, software y personal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-Mousepad: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Soporte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apoyar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mouse de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Impresora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Máquina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electrónica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sirve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imprimir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seleccionada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contenida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-Antivirus: </w:t>
      </w:r>
      <w:r w:rsidRPr="001267F7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presencia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un virus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disquete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lo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-Pdf: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creados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editados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formato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destinado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almacenar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tipos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hyperlink r:id="rId8" w:history="1">
        <w:proofErr w:type="spellStart"/>
        <w:r w:rsidRPr="001267F7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datos</w:t>
        </w:r>
        <w:proofErr w:type="spellEnd"/>
      </w:hyperlink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virtuales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complejos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imágenes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sonidos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mapas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bits,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…).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-Factura: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detallan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mercancías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compradas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los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recibidos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junto con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cantidad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importe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y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quien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debe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pagarla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Default="00E41826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541C8E" w:rsidRDefault="00541C8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952D7A" w:rsidRPr="001D19B2" w:rsidRDefault="005F0B66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 xml:space="preserve">DÉCIMO </w:t>
      </w:r>
      <w:r w:rsidR="00E41826">
        <w:rPr>
          <w:rFonts w:ascii="Times New Roman" w:hAnsi="Times New Roman" w:cs="Times New Roman"/>
          <w:sz w:val="24"/>
          <w:szCs w:val="24"/>
        </w:rPr>
        <w:t>OCTAVO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FIRM</w:t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>A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S.</w:t>
      </w:r>
    </w:p>
    <w:p w:rsidR="00256D80" w:rsidRPr="001D19B2" w:rsidRDefault="005F0B66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Elaborado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por:</w:t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</w:t>
      </w:r>
      <w:proofErr w:type="spellStart"/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>Revisado</w:t>
      </w:r>
      <w:proofErr w:type="spellEnd"/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por:      </w:t>
      </w:r>
    </w:p>
    <w:p w:rsidR="005F0B66" w:rsidRPr="001D19B2" w:rsidRDefault="005F0B66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114300" distB="114300" distL="114300" distR="114300" wp14:anchorId="782AA9A7" wp14:editId="17BB5DF0">
            <wp:extent cx="2095500" cy="140684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                </w:t>
      </w:r>
      <w:r w:rsidR="00256D80" w:rsidRPr="001D19B2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114300" distB="114300" distL="114300" distR="114300" wp14:anchorId="55B3620B" wp14:editId="5DC52E5D">
            <wp:extent cx="2364068" cy="1567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750" cy="16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D80" w:rsidRPr="001D19B2" w:rsidRDefault="00B34A60" w:rsidP="00D76FA5">
      <w:pPr>
        <w:spacing w:before="10" w:line="480" w:lineRule="auto"/>
        <w:ind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KATIUSKA ARLETTE MEZA ALVEAR</w:t>
      </w:r>
      <w:r w:rsidR="00256D80" w:rsidRPr="001D19B2">
        <w:rPr>
          <w:rFonts w:ascii="Times New Roman" w:hAnsi="Times New Roman" w:cs="Times New Roman"/>
          <w:sz w:val="24"/>
          <w:szCs w:val="24"/>
        </w:rPr>
        <w:t xml:space="preserve">     </w:t>
      </w:r>
      <w:r w:rsidRPr="001D19B2">
        <w:rPr>
          <w:rFonts w:ascii="Times New Roman" w:hAnsi="Times New Roman" w:cs="Times New Roman"/>
          <w:sz w:val="24"/>
          <w:szCs w:val="24"/>
        </w:rPr>
        <w:t xml:space="preserve">   </w:t>
      </w:r>
      <w:r w:rsidR="00256D80"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JORGE ESTEBAN BRAVO VÁSQUEZ</w:t>
      </w:r>
    </w:p>
    <w:p w:rsidR="005F0B66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0B66" w:rsidRPr="001D19B2">
        <w:rPr>
          <w:rFonts w:ascii="Times New Roman" w:hAnsi="Times New Roman" w:cs="Times New Roman"/>
          <w:b/>
          <w:sz w:val="24"/>
          <w:szCs w:val="24"/>
        </w:rPr>
        <w:t>CEO y CMO,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B66" w:rsidRPr="001D19B2">
        <w:rPr>
          <w:rFonts w:ascii="Times New Roman" w:hAnsi="Times New Roman" w:cs="Times New Roman"/>
          <w:b/>
          <w:sz w:val="24"/>
          <w:szCs w:val="24"/>
        </w:rPr>
        <w:t>Enable S.A.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COO y CTO, Enable S.A.</w:t>
      </w:r>
    </w:p>
    <w:p w:rsidR="005F0B66" w:rsidRPr="001D19B2" w:rsidRDefault="005F0B66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5F0B66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4CE0A4">
            <wp:simplePos x="0" y="0"/>
            <wp:positionH relativeFrom="column">
              <wp:posOffset>2670175</wp:posOffset>
            </wp:positionH>
            <wp:positionV relativeFrom="paragraph">
              <wp:posOffset>99695</wp:posOffset>
            </wp:positionV>
            <wp:extent cx="29006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0" y="21228"/>
                <wp:lineTo x="21420" y="0"/>
                <wp:lineTo x="0" y="0"/>
              </wp:wrapPolygon>
            </wp:wrapTight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0B66" w:rsidRPr="001D19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EBDB322" wp14:editId="6E8DEE53">
            <wp:extent cx="1743075" cy="11382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9B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F0B66" w:rsidRPr="001D19B2" w:rsidRDefault="00256D80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__________________________</w:t>
      </w:r>
      <w:r w:rsidR="00B34A60" w:rsidRPr="001D19B2">
        <w:rPr>
          <w:rFonts w:ascii="Times New Roman" w:hAnsi="Times New Roman" w:cs="Times New Roman"/>
          <w:sz w:val="24"/>
          <w:szCs w:val="24"/>
        </w:rPr>
        <w:t xml:space="preserve">                _______________________________              </w:t>
      </w:r>
    </w:p>
    <w:p w:rsidR="00B34A60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RENZO PAOLO VILLEGAS JARA          ANA MARCELA MALDONADO MUÑOZ</w:t>
      </w:r>
    </w:p>
    <w:p w:rsidR="00256D80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CFO, CIO y CCO, Enable S.A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DIRECTORA LICEO POLIVALENTE               </w:t>
      </w:r>
    </w:p>
    <w:p w:rsidR="00A93B13" w:rsidRDefault="00B34A60" w:rsidP="00952D7A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ANITA ALVARADO S.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A</w:t>
      </w:r>
    </w:p>
    <w:p w:rsidR="00256D80" w:rsidRPr="001D19B2" w:rsidRDefault="00A93B13" w:rsidP="00A93B13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probado</w:t>
      </w:r>
      <w:proofErr w:type="spellEnd"/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por: </w:t>
      </w:r>
    </w:p>
    <w:p w:rsidR="00256D80" w:rsidRPr="001D19B2" w:rsidRDefault="00A46911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256D80" w:rsidRPr="00D76FA5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JULIO MANUEL TAPIA ACEVEDO</w:t>
      </w:r>
      <w:r w:rsidR="00A93B1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93B13" w:rsidRPr="001D19B2">
        <w:rPr>
          <w:rFonts w:ascii="Times New Roman" w:hAnsi="Times New Roman" w:cs="Times New Roman"/>
          <w:b/>
          <w:sz w:val="24"/>
          <w:szCs w:val="24"/>
        </w:rPr>
        <w:t xml:space="preserve">DOCENTE </w:t>
      </w:r>
      <w:r w:rsidR="00541C8E" w:rsidRPr="001D19B2">
        <w:rPr>
          <w:rFonts w:ascii="Times New Roman" w:hAnsi="Times New Roman" w:cs="Times New Roman"/>
          <w:b/>
          <w:sz w:val="24"/>
          <w:szCs w:val="24"/>
        </w:rPr>
        <w:t>APROBACIÓN)</w:t>
      </w:r>
      <w:r w:rsidR="00A93B13"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A46911"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56D80" w:rsidRPr="00D76FA5" w:rsidSect="00C943DB">
      <w:footerReference w:type="default" r:id="rId13"/>
      <w:pgSz w:w="12240" w:h="15840"/>
      <w:pgMar w:top="1620" w:right="1200" w:bottom="1460" w:left="1240" w:header="758" w:footer="1274" w:gutter="0"/>
      <w:cols w:space="720" w:equalWidth="0">
        <w:col w:w="8838" w:space="5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EB0" w:rsidRDefault="002F1EB0">
      <w:r>
        <w:separator/>
      </w:r>
    </w:p>
  </w:endnote>
  <w:endnote w:type="continuationSeparator" w:id="0">
    <w:p w:rsidR="002F1EB0" w:rsidRDefault="002F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7B7" w:rsidRDefault="00A167B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EB0" w:rsidRDefault="002F1EB0">
      <w:r>
        <w:separator/>
      </w:r>
    </w:p>
  </w:footnote>
  <w:footnote w:type="continuationSeparator" w:id="0">
    <w:p w:rsidR="002F1EB0" w:rsidRDefault="002F1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0C"/>
    <w:multiLevelType w:val="multilevel"/>
    <w:tmpl w:val="1370FC18"/>
    <w:lvl w:ilvl="0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1">
      <w:numFmt w:val="bullet"/>
      <w:lvlText w:val="•"/>
      <w:lvlJc w:val="left"/>
      <w:pPr>
        <w:ind w:left="1772" w:hanging="284"/>
      </w:pPr>
    </w:lvl>
    <w:lvl w:ilvl="2">
      <w:numFmt w:val="bullet"/>
      <w:lvlText w:val="•"/>
      <w:lvlJc w:val="left"/>
      <w:pPr>
        <w:ind w:left="2664" w:hanging="284"/>
      </w:pPr>
    </w:lvl>
    <w:lvl w:ilvl="3">
      <w:numFmt w:val="bullet"/>
      <w:lvlText w:val="•"/>
      <w:lvlJc w:val="left"/>
      <w:pPr>
        <w:ind w:left="3556" w:hanging="283"/>
      </w:pPr>
    </w:lvl>
    <w:lvl w:ilvl="4">
      <w:numFmt w:val="bullet"/>
      <w:lvlText w:val="•"/>
      <w:lvlJc w:val="left"/>
      <w:pPr>
        <w:ind w:left="4448" w:hanging="284"/>
      </w:pPr>
    </w:lvl>
    <w:lvl w:ilvl="5">
      <w:numFmt w:val="bullet"/>
      <w:lvlText w:val="•"/>
      <w:lvlJc w:val="left"/>
      <w:pPr>
        <w:ind w:left="5340" w:hanging="284"/>
      </w:pPr>
    </w:lvl>
    <w:lvl w:ilvl="6">
      <w:numFmt w:val="bullet"/>
      <w:lvlText w:val="•"/>
      <w:lvlJc w:val="left"/>
      <w:pPr>
        <w:ind w:left="6232" w:hanging="283"/>
      </w:pPr>
    </w:lvl>
    <w:lvl w:ilvl="7">
      <w:numFmt w:val="bullet"/>
      <w:lvlText w:val="•"/>
      <w:lvlJc w:val="left"/>
      <w:pPr>
        <w:ind w:left="7124" w:hanging="284"/>
      </w:pPr>
    </w:lvl>
    <w:lvl w:ilvl="8">
      <w:numFmt w:val="bullet"/>
      <w:lvlText w:val="•"/>
      <w:lvlJc w:val="left"/>
      <w:pPr>
        <w:ind w:left="8016" w:hanging="284"/>
      </w:pPr>
    </w:lvl>
  </w:abstractNum>
  <w:abstractNum w:abstractNumId="1" w15:restartNumberingAfterBreak="0">
    <w:nsid w:val="52A5564A"/>
    <w:multiLevelType w:val="multilevel"/>
    <w:tmpl w:val="595C7648"/>
    <w:lvl w:ilvl="0">
      <w:start w:val="1"/>
      <w:numFmt w:val="lowerLetter"/>
      <w:lvlText w:val="%1)"/>
      <w:lvlJc w:val="left"/>
      <w:pPr>
        <w:ind w:left="886" w:hanging="35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72" w:hanging="351"/>
      </w:pPr>
    </w:lvl>
    <w:lvl w:ilvl="2">
      <w:numFmt w:val="bullet"/>
      <w:lvlText w:val="•"/>
      <w:lvlJc w:val="left"/>
      <w:pPr>
        <w:ind w:left="2664" w:hanging="351"/>
      </w:pPr>
    </w:lvl>
    <w:lvl w:ilvl="3">
      <w:numFmt w:val="bullet"/>
      <w:lvlText w:val="•"/>
      <w:lvlJc w:val="left"/>
      <w:pPr>
        <w:ind w:left="3556" w:hanging="351"/>
      </w:pPr>
    </w:lvl>
    <w:lvl w:ilvl="4">
      <w:numFmt w:val="bullet"/>
      <w:lvlText w:val="•"/>
      <w:lvlJc w:val="left"/>
      <w:pPr>
        <w:ind w:left="4448" w:hanging="351"/>
      </w:pPr>
    </w:lvl>
    <w:lvl w:ilvl="5">
      <w:numFmt w:val="bullet"/>
      <w:lvlText w:val="•"/>
      <w:lvlJc w:val="left"/>
      <w:pPr>
        <w:ind w:left="5340" w:hanging="351"/>
      </w:pPr>
    </w:lvl>
    <w:lvl w:ilvl="6">
      <w:numFmt w:val="bullet"/>
      <w:lvlText w:val="•"/>
      <w:lvlJc w:val="left"/>
      <w:pPr>
        <w:ind w:left="6232" w:hanging="351"/>
      </w:pPr>
    </w:lvl>
    <w:lvl w:ilvl="7">
      <w:numFmt w:val="bullet"/>
      <w:lvlText w:val="•"/>
      <w:lvlJc w:val="left"/>
      <w:pPr>
        <w:ind w:left="7124" w:hanging="351"/>
      </w:pPr>
    </w:lvl>
    <w:lvl w:ilvl="8">
      <w:numFmt w:val="bullet"/>
      <w:lvlText w:val="•"/>
      <w:lvlJc w:val="left"/>
      <w:pPr>
        <w:ind w:left="8016" w:hanging="351"/>
      </w:pPr>
    </w:lvl>
  </w:abstractNum>
  <w:abstractNum w:abstractNumId="2" w15:restartNumberingAfterBreak="0">
    <w:nsid w:val="5C932F98"/>
    <w:multiLevelType w:val="multilevel"/>
    <w:tmpl w:val="51BADE84"/>
    <w:lvl w:ilvl="0">
      <w:start w:val="1"/>
      <w:numFmt w:val="decimal"/>
      <w:lvlText w:val="%1."/>
      <w:lvlJc w:val="left"/>
      <w:pPr>
        <w:ind w:left="603" w:hanging="428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2">
      <w:numFmt w:val="bullet"/>
      <w:lvlText w:val="•"/>
      <w:lvlJc w:val="left"/>
      <w:pPr>
        <w:ind w:left="1871" w:hanging="284"/>
      </w:pPr>
    </w:lvl>
    <w:lvl w:ilvl="3">
      <w:numFmt w:val="bullet"/>
      <w:lvlText w:val="•"/>
      <w:lvlJc w:val="left"/>
      <w:pPr>
        <w:ind w:left="2862" w:hanging="284"/>
      </w:pPr>
    </w:lvl>
    <w:lvl w:ilvl="4">
      <w:numFmt w:val="bullet"/>
      <w:lvlText w:val="•"/>
      <w:lvlJc w:val="left"/>
      <w:pPr>
        <w:ind w:left="3853" w:hanging="283"/>
      </w:pPr>
    </w:lvl>
    <w:lvl w:ilvl="5">
      <w:numFmt w:val="bullet"/>
      <w:lvlText w:val="•"/>
      <w:lvlJc w:val="left"/>
      <w:pPr>
        <w:ind w:left="4844" w:hanging="284"/>
      </w:pPr>
    </w:lvl>
    <w:lvl w:ilvl="6">
      <w:numFmt w:val="bullet"/>
      <w:lvlText w:val="•"/>
      <w:lvlJc w:val="left"/>
      <w:pPr>
        <w:ind w:left="5835" w:hanging="284"/>
      </w:pPr>
    </w:lvl>
    <w:lvl w:ilvl="7">
      <w:numFmt w:val="bullet"/>
      <w:lvlText w:val="•"/>
      <w:lvlJc w:val="left"/>
      <w:pPr>
        <w:ind w:left="6826" w:hanging="284"/>
      </w:pPr>
    </w:lvl>
    <w:lvl w:ilvl="8">
      <w:numFmt w:val="bullet"/>
      <w:lvlText w:val="•"/>
      <w:lvlJc w:val="left"/>
      <w:pPr>
        <w:ind w:left="7817" w:hanging="283"/>
      </w:pPr>
    </w:lvl>
  </w:abstractNum>
  <w:abstractNum w:abstractNumId="3" w15:restartNumberingAfterBreak="0">
    <w:nsid w:val="65AA6B88"/>
    <w:multiLevelType w:val="multilevel"/>
    <w:tmpl w:val="2C22A3C2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394" w:hanging="284"/>
      </w:pPr>
    </w:lvl>
    <w:lvl w:ilvl="2">
      <w:numFmt w:val="bullet"/>
      <w:lvlText w:val="•"/>
      <w:lvlJc w:val="left"/>
      <w:pPr>
        <w:ind w:left="2328" w:hanging="284"/>
      </w:pPr>
    </w:lvl>
    <w:lvl w:ilvl="3">
      <w:numFmt w:val="bullet"/>
      <w:lvlText w:val="•"/>
      <w:lvlJc w:val="left"/>
      <w:pPr>
        <w:ind w:left="3262" w:hanging="284"/>
      </w:pPr>
    </w:lvl>
    <w:lvl w:ilvl="4">
      <w:numFmt w:val="bullet"/>
      <w:lvlText w:val="•"/>
      <w:lvlJc w:val="left"/>
      <w:pPr>
        <w:ind w:left="4196" w:hanging="283"/>
      </w:pPr>
    </w:lvl>
    <w:lvl w:ilvl="5">
      <w:numFmt w:val="bullet"/>
      <w:lvlText w:val="•"/>
      <w:lvlJc w:val="left"/>
      <w:pPr>
        <w:ind w:left="5130" w:hanging="284"/>
      </w:pPr>
    </w:lvl>
    <w:lvl w:ilvl="6">
      <w:numFmt w:val="bullet"/>
      <w:lvlText w:val="•"/>
      <w:lvlJc w:val="left"/>
      <w:pPr>
        <w:ind w:left="6064" w:hanging="284"/>
      </w:pPr>
    </w:lvl>
    <w:lvl w:ilvl="7">
      <w:numFmt w:val="bullet"/>
      <w:lvlText w:val="•"/>
      <w:lvlJc w:val="left"/>
      <w:pPr>
        <w:ind w:left="6998" w:hanging="284"/>
      </w:pPr>
    </w:lvl>
    <w:lvl w:ilvl="8">
      <w:numFmt w:val="bullet"/>
      <w:lvlText w:val="•"/>
      <w:lvlJc w:val="left"/>
      <w:pPr>
        <w:ind w:left="7932" w:hanging="283"/>
      </w:pPr>
    </w:lvl>
  </w:abstractNum>
  <w:abstractNum w:abstractNumId="4" w15:restartNumberingAfterBreak="0">
    <w:nsid w:val="66ED7041"/>
    <w:multiLevelType w:val="multilevel"/>
    <w:tmpl w:val="6F0A5F84"/>
    <w:lvl w:ilvl="0">
      <w:start w:val="1"/>
      <w:numFmt w:val="lowerLetter"/>
      <w:lvlText w:val="%1)"/>
      <w:lvlJc w:val="left"/>
      <w:pPr>
        <w:ind w:left="603" w:hanging="428"/>
      </w:pPr>
    </w:lvl>
    <w:lvl w:ilvl="1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862" w:hanging="360"/>
      </w:pPr>
    </w:lvl>
    <w:lvl w:ilvl="4">
      <w:numFmt w:val="bullet"/>
      <w:lvlText w:val="•"/>
      <w:lvlJc w:val="left"/>
      <w:pPr>
        <w:ind w:left="3853" w:hanging="360"/>
      </w:pPr>
    </w:lvl>
    <w:lvl w:ilvl="5">
      <w:numFmt w:val="bullet"/>
      <w:lvlText w:val="•"/>
      <w:lvlJc w:val="left"/>
      <w:pPr>
        <w:ind w:left="4844" w:hanging="360"/>
      </w:pPr>
    </w:lvl>
    <w:lvl w:ilvl="6">
      <w:numFmt w:val="bullet"/>
      <w:lvlText w:val="•"/>
      <w:lvlJc w:val="left"/>
      <w:pPr>
        <w:ind w:left="5835" w:hanging="360"/>
      </w:pPr>
    </w:lvl>
    <w:lvl w:ilvl="7">
      <w:numFmt w:val="bullet"/>
      <w:lvlText w:val="•"/>
      <w:lvlJc w:val="left"/>
      <w:pPr>
        <w:ind w:left="6826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5" w15:restartNumberingAfterBreak="0">
    <w:nsid w:val="74913164"/>
    <w:multiLevelType w:val="multilevel"/>
    <w:tmpl w:val="EEC81D8C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886" w:hanging="428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256" w:hanging="720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60" w:hanging="720"/>
      </w:pPr>
    </w:lvl>
    <w:lvl w:ilvl="4">
      <w:numFmt w:val="bullet"/>
      <w:lvlText w:val="•"/>
      <w:lvlJc w:val="left"/>
      <w:pPr>
        <w:ind w:left="2480" w:hanging="720"/>
      </w:pPr>
    </w:lvl>
    <w:lvl w:ilvl="5">
      <w:numFmt w:val="bullet"/>
      <w:lvlText w:val="•"/>
      <w:lvlJc w:val="left"/>
      <w:pPr>
        <w:ind w:left="3700" w:hanging="720"/>
      </w:pPr>
    </w:lvl>
    <w:lvl w:ilvl="6">
      <w:numFmt w:val="bullet"/>
      <w:lvlText w:val="•"/>
      <w:lvlJc w:val="left"/>
      <w:pPr>
        <w:ind w:left="4920" w:hanging="720"/>
      </w:pPr>
    </w:lvl>
    <w:lvl w:ilvl="7">
      <w:numFmt w:val="bullet"/>
      <w:lvlText w:val="•"/>
      <w:lvlJc w:val="left"/>
      <w:pPr>
        <w:ind w:left="6140" w:hanging="720"/>
      </w:pPr>
    </w:lvl>
    <w:lvl w:ilvl="8">
      <w:numFmt w:val="bullet"/>
      <w:lvlText w:val="•"/>
      <w:lvlJc w:val="left"/>
      <w:pPr>
        <w:ind w:left="736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7"/>
    <w:rsid w:val="001267F7"/>
    <w:rsid w:val="001A5895"/>
    <w:rsid w:val="001D19B2"/>
    <w:rsid w:val="00256D80"/>
    <w:rsid w:val="002F1EB0"/>
    <w:rsid w:val="00387D76"/>
    <w:rsid w:val="00480374"/>
    <w:rsid w:val="00541C8E"/>
    <w:rsid w:val="005F0B66"/>
    <w:rsid w:val="008957A4"/>
    <w:rsid w:val="00952D7A"/>
    <w:rsid w:val="009626E4"/>
    <w:rsid w:val="0097008F"/>
    <w:rsid w:val="00A02653"/>
    <w:rsid w:val="00A167B7"/>
    <w:rsid w:val="00A46911"/>
    <w:rsid w:val="00A93B13"/>
    <w:rsid w:val="00B34A60"/>
    <w:rsid w:val="00B46A4E"/>
    <w:rsid w:val="00C943DB"/>
    <w:rsid w:val="00D76FA5"/>
    <w:rsid w:val="00E41826"/>
    <w:rsid w:val="00E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7210"/>
  <w15:docId w15:val="{CAA73572-3796-4148-B853-6CE424C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5"/>
      <w:jc w:val="both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1"/>
      <w:ind w:left="886" w:hanging="28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43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DB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Fuentedeprrafopredeter"/>
    <w:rsid w:val="00E41826"/>
  </w:style>
  <w:style w:type="character" w:styleId="Textoennegrita">
    <w:name w:val="Strong"/>
    <w:basedOn w:val="Fuentedeprrafopredeter"/>
    <w:uiPriority w:val="22"/>
    <w:qFormat/>
    <w:rsid w:val="00E418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1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definicion.de/datos/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o/jFKMlox7+AuupXpMduTJtdw==">AMUW2mX29zUazHxlDDmqbRhCZhBeOttBTLOj8Dik60eCabpsyivS7OhFgot7W9n6TQJolCKB7V6PDXXfwqjJLXoYFEOHs2gEqNAr0mGBoTn1zdnjgY6Al3mwQ+uP7T2jrAwCqEH4JmX3GNbVznlYmDbJDVPiui6RRw==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DE5F15ACC9D4C81AE45D2E5E6062C" ma:contentTypeVersion="6" ma:contentTypeDescription="Crear nuevo documento." ma:contentTypeScope="" ma:versionID="fe35d43a8a4ce065259b27b0d282921f">
  <xsd:schema xmlns:xsd="http://www.w3.org/2001/XMLSchema" xmlns:xs="http://www.w3.org/2001/XMLSchema" xmlns:p="http://schemas.microsoft.com/office/2006/metadata/properties" xmlns:ns2="fd1dbdeb-6cf3-4bc3-84bb-7963f24efb7d" targetNamespace="http://schemas.microsoft.com/office/2006/metadata/properties" ma:root="true" ma:fieldsID="cdddd7a782bc3e948b5ae5458db2aa81" ns2:_="">
    <xsd:import namespace="fd1dbdeb-6cf3-4bc3-84bb-7963f24ef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dbdeb-6cf3-4bc3-84bb-7963f24e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8A1E4A-5FA9-4A6A-92F5-020131DE9627}"/>
</file>

<file path=customXml/itemProps3.xml><?xml version="1.0" encoding="utf-8"?>
<ds:datastoreItem xmlns:ds="http://schemas.openxmlformats.org/officeDocument/2006/customXml" ds:itemID="{37ED9605-3017-47B3-AEFB-8CE3BE9B93DE}"/>
</file>

<file path=customXml/itemProps4.xml><?xml version="1.0" encoding="utf-8"?>
<ds:datastoreItem xmlns:ds="http://schemas.openxmlformats.org/officeDocument/2006/customXml" ds:itemID="{52A4A581-E5AD-4059-A0E8-2740F0FA7D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4544</Words>
  <Characters>24998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bravov.jo@outlook.com</cp:lastModifiedBy>
  <cp:revision>14</cp:revision>
  <dcterms:created xsi:type="dcterms:W3CDTF">2019-11-27T01:21:00Z</dcterms:created>
  <dcterms:modified xsi:type="dcterms:W3CDTF">2019-11-28T01:57:00Z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2014-08-20T00:00:00Z</vt:filetime>
  </property>
  <property fmtid="{D5CDD505-2E9C-101B-9397-08002B2CF9AE}" pid="3" name="LastSaved">
    <vt:filetime>2019-11-27T00:00:00Z</vt:filetime>
  </property>
  <property fmtid="{D5CDD505-2E9C-101B-9397-08002B2CF9AE}" pid="4" name="ContentTypeId">
    <vt:lpwstr>0x01010069CDE5F15ACC9D4C81AE45D2E5E6062C</vt:lpwstr>
  </property>
</Properties>
</file>