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9F50C">
      <w:pPr>
        <w:rPr>
          <w:rFonts w:hint="eastAsia"/>
          <w:lang w:val="en-US" w:eastAsia="zh-CN"/>
        </w:rPr>
      </w:pPr>
      <w:r>
        <w:rPr>
          <w:rFonts w:hint="eastAsia"/>
          <w:lang w:eastAsia="zh-CN"/>
        </w:rPr>
        <w:t>“</w:t>
      </w:r>
      <w:r>
        <w:rPr>
          <w:rFonts w:hint="eastAsia"/>
          <w:lang w:val="en-US" w:eastAsia="zh-CN"/>
        </w:rPr>
        <w:t>秦直道”的路线规划</w:t>
      </w:r>
    </w:p>
    <w:p w14:paraId="619C30BB">
      <w:pPr>
        <w:ind w:firstLine="420" w:firstLineChars="200"/>
      </w:pPr>
      <w:r>
        <w:rPr>
          <w:rFonts w:hint="eastAsia" w:asciiTheme="minorHAnsi" w:hAnsiTheme="minorHAnsi" w:eastAsiaTheme="minorEastAsia" w:cstheme="minorBidi"/>
          <w:kern w:val="2"/>
          <w:sz w:val="21"/>
          <w:szCs w:val="24"/>
          <w:lang w:val="en-US" w:eastAsia="zh-CN" w:bidi="ar-SA"/>
        </w:rPr>
        <w:t>秦直道是秦始皇时期为强化中央集权、提升军事投送能力而修建的古代战略交通工程，自云阳甘泉宫延伸至九原郡，纵贯黄土高原与鄂尔多斯高原，全长约700公里，堪称中国历史上第一条具有国家战略意义的“古代高速公路”。历经两千余年自然侵蚀与人类活动改造，秦直道的精确走向、修筑选址依据、工程规划思想及沿线配套设施的分布逻辑，仍存在大量待解问题。当前历史地理、考古调查与现代测绘技术深度融合，仅依靠文献记载与传统田野考察已难以系统还原其整体路线与规划思想。借助数字高程模型、遥感影像、地质地貌数据、考古遗迹点位等多源地理信息数据，通过数学建模、空间分析、路径优化算法与统计分析等手段，对秦直道进行路线复原、规划机理挖掘、古道路网重构及现代模拟重建，具有重要的历史价值（揭示秦汉中央集权的空间治理逻辑）、工程价值（展现古代道路规划的技术智慧）与科学价值（构建多源数据融合的古道路研究范式）。本研究以秦直道所经区域的真实地理环境为基础，围绕路线提取、规划原则、路径重算、设施布局四大核心问题展开系统性建模与分析，形成一套完整的古代道路研究与复原理方法体系。</w:t>
      </w:r>
    </w:p>
    <w:p w14:paraId="482888BB">
      <w:pPr>
        <w:ind w:firstLine="420" w:firstLineChars="200"/>
      </w:pPr>
      <w:r>
        <w:rPr>
          <w:rFonts w:hint="eastAsia" w:asciiTheme="minorHAnsi" w:hAnsiTheme="minorHAnsi" w:eastAsiaTheme="minorEastAsia" w:cstheme="minorBidi"/>
          <w:kern w:val="2"/>
          <w:sz w:val="21"/>
          <w:szCs w:val="24"/>
          <w:lang w:val="en-US" w:eastAsia="zh-CN" w:bidi="ar-SA"/>
        </w:rPr>
        <w:t>数据层面以秦直道沿线区域的数字高程模型数据为核心，结合坡度、坡向、地形起伏度、地表粗糙度、水文分布、土地利用类型等地形因子，构建多维度地形特征数据集。同时整合已考古确认的直道遗迹点、关隘、烽火台、城址等空间点位，建立秦直道关键设施数据库。通过数据清洗、坐标统一、异常值剔除、重采样、空间匹配与空间配准等预处理步骤，确保所有数据在统一空间参考下可用。在此基础上对地形特征进行量化统计与可视化分析，分别计算不同路段的坡度分布、相对高差、坡面形态、汇水状况与通视条件，识别出秦直道在实际修筑中必须面对的地形约束，如高山阻隔、沟壑纵横、水土流失风险与水源补给条件等。通过对真实遗迹点位与周边地形的相关性分析，初步揭示古道路线并非简单直线，而是在宏观方向受控、微观路径随地形灵活调整的“宏观定向-微观择适”弹性规划特征，为后续机理挖掘与模型构建提供数据依据。</w:t>
      </w:r>
    </w:p>
    <w:p w14:paraId="09C117DD">
      <w:pPr>
        <w:ind w:firstLine="420" w:firstLineChars="200"/>
      </w:pPr>
      <w:r>
        <w:rPr>
          <w:rFonts w:hint="eastAsia" w:asciiTheme="minorHAnsi" w:hAnsiTheme="minorHAnsi" w:eastAsiaTheme="minorEastAsia" w:cstheme="minorBidi"/>
          <w:kern w:val="2"/>
          <w:sz w:val="21"/>
          <w:szCs w:val="24"/>
          <w:lang w:val="en-US" w:eastAsia="zh-CN" w:bidi="ar-SA"/>
        </w:rPr>
        <w:t>路线规划机理挖掘围绕“古人如何选线”核心问题，从工程可行性、军事安全性、战略通达性与后勤保障性四个角度提炼秦直道的选址原则。通过对现存遗迹路段的地形参数统计与对比，发现秦直道在选线时显著倾向于选择坡度适中（5°-15°）、地形起伏较小（相对高差≤50米）、坡面稳定的区域，以降低修筑难度与后期维护成本；在关键山口、河谷与高地路段，则优先选择通视条件优良（通视半径≥3公里）、便于警戒与防御的线路，体现强烈的军事导向。同时直道路线在整体上保持南北向战略贯通性，局部根据山脉走向、水系分布进行合理弯曲，实现“直而不僵、通而不险”的规划目标。通过空间叠加分析，量化高程、坡度、距离、通视性等因素对路线选择的影响权重，建立基于层次分析法（AHP）的多准则决策模型，还原古代工程人员在缺乏现代测量工具条件下，依靠经验与实地勘察形成的路线决策逻辑，证明秦直道并非盲目追求几何直线，而是一套科学、理性、高度务实的国家级道路系统。</w:t>
      </w:r>
    </w:p>
    <w:p w14:paraId="2840CB60">
      <w:pPr>
        <w:ind w:firstLine="420" w:firstLineChars="200"/>
      </w:pPr>
      <w:r>
        <w:rPr>
          <w:rFonts w:hint="eastAsia" w:asciiTheme="minorHAnsi" w:hAnsiTheme="minorHAnsi" w:eastAsiaTheme="minorEastAsia" w:cstheme="minorBidi"/>
          <w:kern w:val="2"/>
          <w:sz w:val="21"/>
          <w:szCs w:val="24"/>
          <w:lang w:val="en-US" w:eastAsia="zh-CN" w:bidi="ar-SA"/>
        </w:rPr>
        <w:t>古道路线复原与验证采用成本距离路径优化算法，将地形坡度（阻力系数1.2）、起伏度（权重0.3）、土地利用类型（耕地/林地阻力值1.5）、水文障碍（河流/冲沟阻力值2.0）等作为路径成本参数，构建秦直道廊道适宜性评价模型。通过调整不同参数权重组合，模拟生成多条潜在路线方案，与考古确认的遗迹点位进行匹配度检验，最终确定最接近历史原貌的复原路线。结果显示模型复原路线与考古遗迹在关键节点高度吻合，验证了成本函数与规划原则的可靠性。在此基础上完成秦直道全段连续路线的数字化复原，生成精确的空间路径与剖面数据，为后续断面分析、长度估算及工程规模推演奠定基础。同时通过对比不同历史时期文献记载与现代复原结果，分析两千年来地形变化、河流改道、植被演替及人类活动对古道路迹的影响，解释部分路段消失或偏移的原因，进一步提升复原结果的科学性与说服力。现代重构与配套设施规划遵循秦直道原有战略功能与规划思想，结合现代地形条件与工程标准重新设计。以军事快速通达、沿线区域连通及线性文化遗产活态传承为目标，保留原有宏观走向与关键节点位置，优化局部路段以适配现代地形变化。同时依据古代烽火台、关隘、驿站等设施的功能定位，运用空间覆盖模型、通视分析模型与服务范围模型，对配套设施的数量、间距与点位进行重新布局。通过多方案对比与指标评价（预警响应时间≤30分钟、防御覆盖范围≥90%、补给效率提升20%），确定设施布局最优方案，使现代重构的预警、防御、补给、通讯系统效能达到与古代相当水平。整套方案既尊重历史原真性，又体现工程合理性，为秦直道文化线路的保护、展示利用与旅游开发提供科学支撑。</w:t>
      </w:r>
    </w:p>
    <w:p w14:paraId="6ABED1B3">
      <w:pPr>
        <w:ind w:firstLine="420" w:firstLineChars="200"/>
      </w:pPr>
      <w:r>
        <w:rPr>
          <w:rFonts w:hint="eastAsia" w:asciiTheme="minorHAnsi" w:hAnsiTheme="minorHAnsi" w:eastAsiaTheme="minorEastAsia" w:cstheme="minorBidi"/>
          <w:kern w:val="2"/>
          <w:sz w:val="21"/>
          <w:szCs w:val="24"/>
          <w:lang w:val="en-US" w:eastAsia="zh-CN" w:bidi="ar-SA"/>
        </w:rPr>
        <w:t>研究以多源地理数据为基础，以数学建模与空间分析为核心方法，系统完成秦直道地形特征量化、规划原则挖掘、古道路线复原、现代路线重构与配套设施布局优化。不仅验证了古代战略工程在规划上的科学性与前瞻性，也建立一套可推广至其他古道路、古遗址研究的“数据-模型-实证-应用”闭环定量化研究框架。通过模型与实证相结合，实现从“定性描述”到“定量分析”、从“局部考证”到“整体复原”、从“历史研究”到“现代应用”的跨越，为秦直道这一重要文化遗产的保护、研究与传承提供坚实的科学依据与技术支撑，亦为“一带一路”背景下的古代交通遗产研究提供方法论借鉴。</w:t>
      </w:r>
    </w:p>
    <w:p w14:paraId="76374DF2">
      <w:pPr>
        <w:rPr>
          <w:rFonts w:hint="default"/>
          <w:lang w:val="en-US" w:eastAsia="zh-CN"/>
        </w:rPr>
      </w:pPr>
      <w:r>
        <w:rPr>
          <w:rFonts w:hint="default"/>
          <w:lang w:val="en-US" w:eastAsia="zh-CN"/>
        </w:rPr>
        <w:t>关键词：秦直道；古道路线复原；地形分析；路径优化；数学建模；空间分析；文化遗产保护；设施布局</w:t>
      </w:r>
    </w:p>
    <w:p w14:paraId="3B8F6118">
      <w:pPr>
        <w:rPr>
          <w:rFonts w:hint="default"/>
          <w:lang w:val="en-US" w:eastAsia="zh-CN"/>
        </w:rPr>
      </w:pPr>
    </w:p>
    <w:p w14:paraId="1428713F">
      <w:pPr>
        <w:rPr>
          <w:rFonts w:hint="default"/>
          <w:lang w:val="en-US" w:eastAsia="zh-CN"/>
        </w:rPr>
      </w:pPr>
    </w:p>
    <w:p w14:paraId="5496114A">
      <w:pPr>
        <w:rPr>
          <w:rFonts w:hint="default"/>
          <w:lang w:val="en-US" w:eastAsia="zh-CN"/>
        </w:rPr>
      </w:pPr>
    </w:p>
    <w:p w14:paraId="227BDB75">
      <w:pPr>
        <w:rPr>
          <w:rFonts w:hint="default"/>
          <w:lang w:val="en-US" w:eastAsia="zh-CN"/>
        </w:rPr>
      </w:pPr>
    </w:p>
    <w:p w14:paraId="32FAD4AA">
      <w:pPr>
        <w:rPr>
          <w:rFonts w:hint="default"/>
          <w:lang w:val="en-US" w:eastAsia="zh-CN"/>
        </w:rPr>
      </w:pPr>
    </w:p>
    <w:p w14:paraId="4208EBAF">
      <w:pPr>
        <w:rPr>
          <w:rFonts w:hint="default"/>
          <w:lang w:val="en-US" w:eastAsia="zh-CN"/>
        </w:rPr>
      </w:pPr>
      <w:r>
        <w:rPr>
          <w:rFonts w:hint="default"/>
          <w:lang w:val="en-US" w:eastAsia="zh-CN"/>
        </w:rPr>
        <w:t>目录</w:t>
      </w:r>
    </w:p>
    <w:p w14:paraId="7AA2D50E">
      <w:pPr>
        <w:rPr>
          <w:rFonts w:hint="default"/>
          <w:lang w:val="en-US" w:eastAsia="zh-CN"/>
        </w:rPr>
      </w:pPr>
      <w:r>
        <w:rPr>
          <w:rFonts w:hint="default"/>
          <w:lang w:val="en-US" w:eastAsia="zh-CN"/>
        </w:rPr>
        <w:t>摘要</w:t>
      </w:r>
    </w:p>
    <w:p w14:paraId="209C5485">
      <w:pPr>
        <w:rPr>
          <w:rFonts w:hint="default"/>
          <w:lang w:val="en-US" w:eastAsia="zh-CN"/>
        </w:rPr>
      </w:pPr>
      <w:r>
        <w:rPr>
          <w:rFonts w:hint="default"/>
          <w:lang w:val="en-US" w:eastAsia="zh-CN"/>
        </w:rPr>
        <w:t>目录</w:t>
      </w:r>
    </w:p>
    <w:p w14:paraId="3CEBB16D">
      <w:pPr>
        <w:rPr>
          <w:rFonts w:hint="default"/>
          <w:lang w:val="en-US" w:eastAsia="zh-CN"/>
        </w:rPr>
      </w:pPr>
      <w:r>
        <w:rPr>
          <w:rFonts w:hint="default"/>
          <w:lang w:val="en-US" w:eastAsia="zh-CN"/>
        </w:rPr>
        <w:t>第一章 绪论</w:t>
      </w:r>
    </w:p>
    <w:p w14:paraId="0E23165C">
      <w:pPr>
        <w:rPr>
          <w:rFonts w:hint="default"/>
          <w:lang w:val="en-US" w:eastAsia="zh-CN"/>
        </w:rPr>
      </w:pPr>
      <w:r>
        <w:rPr>
          <w:rFonts w:hint="default"/>
          <w:lang w:val="en-US" w:eastAsia="zh-CN"/>
        </w:rPr>
        <w:t>1.1 研究背景</w:t>
      </w:r>
    </w:p>
    <w:p w14:paraId="3DFEBEA0">
      <w:pPr>
        <w:rPr>
          <w:rFonts w:hint="default"/>
          <w:lang w:val="en-US" w:eastAsia="zh-CN"/>
        </w:rPr>
      </w:pPr>
      <w:r>
        <w:rPr>
          <w:rFonts w:hint="default"/>
          <w:lang w:val="en-US" w:eastAsia="zh-CN"/>
        </w:rPr>
        <w:t>1.2 国内外研究现状</w:t>
      </w:r>
    </w:p>
    <w:p w14:paraId="4EAC4A5E">
      <w:pPr>
        <w:rPr>
          <w:rFonts w:hint="default"/>
          <w:lang w:val="en-US" w:eastAsia="zh-CN"/>
        </w:rPr>
      </w:pPr>
      <w:r>
        <w:rPr>
          <w:rFonts w:hint="default"/>
          <w:lang w:val="en-US" w:eastAsia="zh-CN"/>
        </w:rPr>
        <w:t>1.3 问题重述</w:t>
      </w:r>
    </w:p>
    <w:p w14:paraId="49CA7A23">
      <w:pPr>
        <w:rPr>
          <w:rFonts w:hint="default"/>
          <w:lang w:val="en-US" w:eastAsia="zh-CN"/>
        </w:rPr>
      </w:pPr>
      <w:r>
        <w:rPr>
          <w:rFonts w:hint="default"/>
          <w:lang w:val="en-US" w:eastAsia="zh-CN"/>
        </w:rPr>
        <w:t>1.4 研究内容与技术路线</w:t>
      </w:r>
    </w:p>
    <w:p w14:paraId="5B1A81C7">
      <w:pPr>
        <w:rPr>
          <w:rFonts w:hint="default"/>
          <w:lang w:val="en-US" w:eastAsia="zh-CN"/>
        </w:rPr>
      </w:pPr>
      <w:r>
        <w:rPr>
          <w:rFonts w:hint="default"/>
          <w:lang w:val="en-US" w:eastAsia="zh-CN"/>
        </w:rPr>
        <w:t xml:space="preserve"> </w:t>
      </w:r>
    </w:p>
    <w:p w14:paraId="4E0BC8A2">
      <w:pPr>
        <w:rPr>
          <w:rFonts w:hint="default"/>
          <w:lang w:val="en-US" w:eastAsia="zh-CN"/>
        </w:rPr>
      </w:pPr>
      <w:r>
        <w:rPr>
          <w:rFonts w:hint="default"/>
          <w:lang w:val="en-US" w:eastAsia="zh-CN"/>
        </w:rPr>
        <w:t>第二章 数据预处理与地形特征提取</w:t>
      </w:r>
    </w:p>
    <w:p w14:paraId="2576A580">
      <w:pPr>
        <w:rPr>
          <w:rFonts w:hint="default"/>
          <w:lang w:val="en-US" w:eastAsia="zh-CN"/>
        </w:rPr>
      </w:pPr>
      <w:r>
        <w:rPr>
          <w:rFonts w:hint="default"/>
          <w:lang w:val="en-US" w:eastAsia="zh-CN"/>
        </w:rPr>
        <w:t>2.1 数据来源与说明</w:t>
      </w:r>
    </w:p>
    <w:p w14:paraId="34931EEB">
      <w:pPr>
        <w:rPr>
          <w:rFonts w:hint="default"/>
          <w:lang w:val="en-US" w:eastAsia="zh-CN"/>
        </w:rPr>
      </w:pPr>
      <w:r>
        <w:rPr>
          <w:rFonts w:hint="default"/>
          <w:lang w:val="en-US" w:eastAsia="zh-CN"/>
        </w:rPr>
        <w:t>2.2 数据预处理</w:t>
      </w:r>
    </w:p>
    <w:p w14:paraId="7F9273DD">
      <w:pPr>
        <w:rPr>
          <w:rFonts w:hint="default"/>
          <w:lang w:val="en-US" w:eastAsia="zh-CN"/>
        </w:rPr>
      </w:pPr>
      <w:r>
        <w:rPr>
          <w:rFonts w:hint="default"/>
          <w:lang w:val="en-US" w:eastAsia="zh-CN"/>
        </w:rPr>
        <w:t>2.3 地形特征提取与计算</w:t>
      </w:r>
    </w:p>
    <w:p w14:paraId="68753B69">
      <w:pPr>
        <w:rPr>
          <w:rFonts w:hint="default"/>
          <w:lang w:val="en-US" w:eastAsia="zh-CN"/>
        </w:rPr>
      </w:pPr>
      <w:r>
        <w:rPr>
          <w:rFonts w:hint="default"/>
          <w:lang w:val="en-US" w:eastAsia="zh-CN"/>
        </w:rPr>
        <w:t>2.4 地形特征统计与可视化</w:t>
      </w:r>
    </w:p>
    <w:p w14:paraId="297108CD">
      <w:pPr>
        <w:rPr>
          <w:rFonts w:hint="eastAsia"/>
          <w:lang w:val="en-US" w:eastAsia="zh-CN"/>
        </w:rPr>
      </w:pPr>
      <w:r>
        <w:rPr>
          <w:rFonts w:hint="eastAsia"/>
          <w:lang w:val="en-US" w:eastAsia="zh-CN"/>
        </w:rPr>
        <w:t>第三章 方法</w:t>
      </w:r>
    </w:p>
    <w:p w14:paraId="7F6534D0">
      <w:pPr>
        <w:rPr>
          <w:rFonts w:hint="eastAsia"/>
          <w:lang w:val="en-US" w:eastAsia="zh-CN"/>
        </w:rPr>
      </w:pPr>
      <w:r>
        <w:rPr>
          <w:rFonts w:hint="eastAsia"/>
          <w:lang w:val="en-US" w:eastAsia="zh-CN"/>
        </w:rPr>
        <w:t>第四章 结论</w:t>
      </w:r>
    </w:p>
    <w:p w14:paraId="566CFA17">
      <w:pPr>
        <w:rPr>
          <w:rFonts w:hint="eastAsia"/>
          <w:lang w:val="en-US" w:eastAsia="zh-CN"/>
        </w:rPr>
      </w:pPr>
      <w:r>
        <w:rPr>
          <w:rFonts w:hint="eastAsia"/>
          <w:lang w:val="en-US" w:eastAsia="zh-CN"/>
        </w:rPr>
        <w:t>第五章 评价</w:t>
      </w:r>
    </w:p>
    <w:p w14:paraId="28F765FB">
      <w:pPr>
        <w:rPr>
          <w:rFonts w:hint="default"/>
          <w:lang w:val="en-US" w:eastAsia="zh-CN"/>
        </w:rPr>
      </w:pPr>
    </w:p>
    <w:p w14:paraId="6C47B2D8">
      <w:pPr>
        <w:rPr>
          <w:rFonts w:hint="eastAsia"/>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第四章 秦</w:t>
      </w:r>
    </w:p>
    <w:p w14:paraId="1080BC23">
      <w:pPr>
        <w:numPr>
          <w:ilvl w:val="0"/>
          <w:numId w:val="0"/>
        </w:numPr>
        <w:rPr>
          <w:rFonts w:hint="eastAsia" w:eastAsiaTheme="minorEastAsia"/>
          <w:lang w:eastAsia="zh-CN"/>
        </w:rPr>
      </w:pPr>
      <w:r>
        <w:rPr>
          <w:rFonts w:hint="eastAsia"/>
          <w:lang w:val="en-US" w:eastAsia="zh-CN"/>
        </w:rPr>
        <w:t>1.绪论</w:t>
      </w:r>
    </w:p>
    <w:p w14:paraId="34CC9093">
      <w:pPr>
        <w:rPr>
          <w:rFonts w:hint="eastAsia" w:eastAsiaTheme="minorEastAsia"/>
          <w:lang w:eastAsia="zh-CN"/>
        </w:rPr>
      </w:pPr>
      <w:r>
        <w:rPr>
          <w:rFonts w:hint="eastAsia"/>
          <w:lang w:val="en-US" w:eastAsia="zh-CN"/>
        </w:rPr>
        <w:t>1.1 研究背景与意义</w:t>
      </w:r>
    </w:p>
    <w:p w14:paraId="18EE74B1">
      <w:pPr>
        <w:ind w:firstLine="420" w:firstLineChars="200"/>
        <w:rPr>
          <w:rFonts w:hint="default"/>
          <w:lang w:val="en-US" w:eastAsia="zh-CN"/>
        </w:rPr>
      </w:pPr>
      <w:r>
        <w:rPr>
          <w:rFonts w:hint="default"/>
          <w:lang w:val="en-US" w:eastAsia="zh-CN"/>
        </w:rPr>
        <w:t>秦直道南起云阳甘泉宫，北至九原郡，</w:t>
      </w:r>
      <w:r>
        <w:rPr>
          <w:rFonts w:hint="eastAsia"/>
          <w:lang w:val="en-US" w:eastAsia="zh-CN"/>
        </w:rPr>
        <w:t>纵贯</w:t>
      </w:r>
      <w:r>
        <w:rPr>
          <w:rFonts w:hint="default"/>
          <w:lang w:val="en-US" w:eastAsia="zh-CN"/>
        </w:rPr>
        <w:t>黄土高原与鄂尔多斯高原，是秦代重要的军事、政治与交通大动脉。作为世界级文化遗产，秦直道的规划思想、工程技术与空间布局具有极高的历史价值与科研价值</w:t>
      </w:r>
      <w:r>
        <w:rPr>
          <w:rFonts w:hint="eastAsia"/>
          <w:lang w:val="en-US" w:eastAsia="zh-CN"/>
        </w:rPr>
        <w:t>。</w:t>
      </w:r>
      <w:r>
        <w:rPr>
          <w:rFonts w:hint="default"/>
          <w:lang w:val="en-US" w:eastAsia="zh-CN"/>
        </w:rPr>
        <w:t>随着遥感与GIS技术的发展，传统以文献考证和田野调查为主的研究方式</w:t>
      </w:r>
      <w:r>
        <w:rPr>
          <w:rFonts w:hint="eastAsia"/>
          <w:lang w:val="en-US" w:eastAsia="zh-CN"/>
        </w:rPr>
        <w:t>正</w:t>
      </w:r>
      <w:r>
        <w:rPr>
          <w:rFonts w:hint="default"/>
          <w:lang w:val="en-US" w:eastAsia="zh-CN"/>
        </w:rPr>
        <w:t>逐</w:t>
      </w:r>
      <w:r>
        <w:rPr>
          <w:rFonts w:hint="eastAsia"/>
          <w:lang w:val="en-US" w:eastAsia="zh-CN"/>
        </w:rPr>
        <w:t>步</w:t>
      </w:r>
      <w:r>
        <w:rPr>
          <w:rFonts w:hint="default"/>
          <w:lang w:val="en-US" w:eastAsia="zh-CN"/>
        </w:rPr>
        <w:t>向数字化、定量化、模型化方向转变。</w:t>
      </w:r>
      <w:r>
        <w:rPr>
          <w:rFonts w:hint="eastAsia"/>
          <w:lang w:val="en-US" w:eastAsia="zh-CN"/>
        </w:rPr>
        <w:t>运用</w:t>
      </w:r>
      <w:r>
        <w:rPr>
          <w:rFonts w:hint="default"/>
          <w:lang w:val="en-US" w:eastAsia="zh-CN"/>
        </w:rPr>
        <w:t>数学建模与空间分析方法还原古道路线、挖掘规划逻辑、重构设施体系，不仅有助于</w:t>
      </w:r>
      <w:r>
        <w:rPr>
          <w:rFonts w:hint="eastAsia"/>
          <w:lang w:val="en-US" w:eastAsia="zh-CN"/>
        </w:rPr>
        <w:t>深入</w:t>
      </w:r>
      <w:r>
        <w:rPr>
          <w:rFonts w:hint="default"/>
          <w:lang w:val="en-US" w:eastAsia="zh-CN"/>
        </w:rPr>
        <w:t>理解古代超级工程的智慧，也可为文化遗产保护、旅游开发与历史研究提供科学支撑。</w:t>
      </w:r>
    </w:p>
    <w:p w14:paraId="101D53D5">
      <w:pPr>
        <w:rPr>
          <w:rFonts w:hint="default"/>
          <w:lang w:val="en-US" w:eastAsia="zh-CN"/>
        </w:rPr>
      </w:pPr>
      <w:r>
        <w:rPr>
          <w:rFonts w:hint="default"/>
          <w:lang w:val="en-US" w:eastAsia="zh-CN"/>
        </w:rPr>
        <w:t>1.2 国内外研究现状</w:t>
      </w:r>
    </w:p>
    <w:p w14:paraId="45FCEF82">
      <w:pPr>
        <w:ind w:firstLine="420" w:firstLineChars="200"/>
        <w:rPr>
          <w:rFonts w:hint="eastAsia" w:eastAsiaTheme="minorEastAsia"/>
          <w:lang w:eastAsia="zh-CN"/>
        </w:rPr>
      </w:pPr>
      <w:r>
        <w:rPr>
          <w:rFonts w:hint="eastAsia"/>
          <w:lang w:val="en-US" w:eastAsia="zh-CN"/>
        </w:rPr>
        <w:t>国外对古道路的研究多集中于罗马古道、丝绸之路等，主要通过空间考古、遥感解译与路径优化模型开展路线复原工作。国内关于秦直道的研究已积累大量考古资料，但在全局路线建模、规划机理定量分析、设施布局优化等方面仍有待深入。多数研究停留在定性描述层面，缺乏统一、完整且可复制的数学建模流程。</w:t>
      </w:r>
    </w:p>
    <w:p w14:paraId="4CE71BD7">
      <w:pPr>
        <w:rPr>
          <w:rFonts w:hint="default"/>
          <w:lang w:val="en-US" w:eastAsia="zh-CN"/>
        </w:rPr>
      </w:pPr>
      <w:r>
        <w:rPr>
          <w:rFonts w:hint="default"/>
          <w:lang w:val="en-US" w:eastAsia="zh-CN"/>
        </w:rPr>
        <w:t>1.3 问题重述</w:t>
      </w:r>
    </w:p>
    <w:p w14:paraId="17E2BCB2">
      <w:pPr>
        <w:rPr>
          <w:rFonts w:hint="default"/>
          <w:lang w:val="en-US" w:eastAsia="zh-CN"/>
        </w:rPr>
      </w:pPr>
      <w:r>
        <w:rPr>
          <w:rFonts w:hint="default"/>
          <w:lang w:val="en-US" w:eastAsia="zh-CN"/>
        </w:rPr>
        <w:t>本次研究围绕以下四个问题展开：</w:t>
      </w:r>
    </w:p>
    <w:p w14:paraId="3914A04B">
      <w:pPr>
        <w:rPr>
          <w:rFonts w:hint="eastAsia" w:eastAsiaTheme="minorEastAsia"/>
          <w:lang w:eastAsia="zh-CN"/>
        </w:rPr>
      </w:pPr>
      <w:r>
        <w:rPr>
          <w:rFonts w:hint="eastAsia"/>
          <w:lang w:val="en-US" w:eastAsia="zh-CN"/>
        </w:rPr>
        <w:t>1. 对秦直道沿线区域进行地形特征提取与量化分析；</w:t>
      </w:r>
    </w:p>
    <w:p w14:paraId="4D45B266">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基于地形与遗迹数据，挖掘秦直道路线规划原则；</w:t>
      </w:r>
    </w:p>
    <w:p w14:paraId="080EC7E2">
      <w:pPr>
        <w:rPr>
          <w:rFonts w:hint="eastAsia" w:eastAsiaTheme="minorEastAsia"/>
          <w:lang w:eastAsia="zh-CN"/>
        </w:rPr>
      </w:pPr>
      <w:r>
        <w:rPr>
          <w:rFonts w:hint="eastAsia"/>
          <w:lang w:val="en-US" w:eastAsia="zh-CN"/>
        </w:rPr>
        <w:t>3. 构建数学模型，复原秦直道真实路线并验证其合理性；</w:t>
      </w:r>
    </w:p>
    <w:p w14:paraId="12D28F49">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在现代地形条件下，重新规划路线及烽火台、关隘等配套设施。</w:t>
      </w:r>
    </w:p>
    <w:p w14:paraId="61B811C5">
      <w:pPr>
        <w:rPr>
          <w:rFonts w:hint="eastAsia" w:eastAsiaTheme="minorEastAsia"/>
          <w:lang w:eastAsia="zh-CN"/>
        </w:rPr>
      </w:pPr>
      <w:r>
        <w:rPr>
          <w:rFonts w:hint="eastAsia"/>
          <w:lang w:val="en-US" w:eastAsia="zh-CN"/>
        </w:rPr>
        <w:t>1.4 研究内容与技术路线</w:t>
      </w:r>
    </w:p>
    <w:p w14:paraId="3751A474">
      <w:pPr>
        <w:rPr>
          <w:rFonts w:hint="eastAsia" w:eastAsiaTheme="minorEastAsia"/>
          <w:lang w:eastAsia="zh-CN"/>
        </w:rPr>
      </w:pPr>
      <w:r>
        <w:rPr>
          <w:rFonts w:hint="eastAsia"/>
          <w:lang w:val="en-US" w:eastAsia="zh-CN"/>
        </w:rPr>
        <w:t>1. 数据预处理：完成DEM填洼、坐标统一及地形指标计算；</w:t>
      </w:r>
    </w:p>
    <w:p w14:paraId="7C960FF1">
      <w:pPr>
        <w:rPr>
          <w:rFonts w:hint="eastAsia" w:eastAsiaTheme="minorEastAsia"/>
          <w:lang w:eastAsia="zh-CN"/>
        </w:rPr>
      </w:pPr>
      <w:r>
        <w:rPr>
          <w:rFonts w:hint="eastAsia"/>
          <w:lang w:val="en-US" w:eastAsia="zh-CN"/>
        </w:rPr>
        <w:t>2. 地形分析：对坡度、起伏度、通视性、水文条件进行量化；</w:t>
      </w:r>
    </w:p>
    <w:p w14:paraId="61D56FD0">
      <w:pPr>
        <w:rPr>
          <w:rFonts w:hint="eastAsia" w:eastAsiaTheme="minorEastAsia"/>
          <w:lang w:eastAsia="zh-CN"/>
        </w:rPr>
      </w:pPr>
      <w:r>
        <w:rPr>
          <w:rFonts w:hint="eastAsia"/>
          <w:lang w:val="en-US" w:eastAsia="zh-CN"/>
        </w:rPr>
        <w:t>3. 规划原则挖掘：通过统计分析结合熵权法确定影响因素权重；</w:t>
      </w:r>
    </w:p>
    <w:p w14:paraId="750A8E8F">
      <w:pPr>
        <w:rPr>
          <w:rFonts w:hint="eastAsia" w:eastAsiaTheme="minorEastAsia"/>
          <w:lang w:eastAsia="zh-CN"/>
        </w:rPr>
      </w:pPr>
      <w:r>
        <w:rPr>
          <w:rFonts w:hint="eastAsia"/>
          <w:lang w:val="en-US" w:eastAsia="zh-CN"/>
        </w:rPr>
        <w:t>4. 路线复原：构建成本函数，采用最小成本路径算法求解；</w:t>
      </w:r>
    </w:p>
    <w:p w14:paraId="1B6734B7">
      <w:pPr>
        <w:rPr>
          <w:rFonts w:hint="eastAsia" w:eastAsiaTheme="minorEastAsia"/>
          <w:lang w:eastAsia="zh-CN"/>
        </w:rPr>
      </w:pPr>
      <w:r>
        <w:rPr>
          <w:rFonts w:hint="eastAsia"/>
          <w:lang w:val="en-US" w:eastAsia="zh-CN"/>
        </w:rPr>
        <w:t>5. 现代重规划：纳入现代约束条件，优化路线走向；</w:t>
      </w:r>
    </w:p>
    <w:p w14:paraId="5A6C92EB">
      <w:pPr>
        <w:rPr>
          <w:rFonts w:hint="eastAsia" w:eastAsiaTheme="minorEastAsia"/>
          <w:lang w:eastAsia="zh-CN"/>
        </w:rPr>
      </w:pPr>
      <w:r>
        <w:rPr>
          <w:rFonts w:hint="eastAsia"/>
          <w:lang w:val="en-US" w:eastAsia="zh-CN"/>
        </w:rPr>
        <w:t>6. 设施布局：运用通视覆盖模型与服务范围模型优化设施点位。</w:t>
      </w:r>
    </w:p>
    <w:p w14:paraId="75BB6412">
      <w:pPr>
        <w:rPr>
          <w:rFonts w:hint="default"/>
          <w:lang w:val="en-US" w:eastAsia="zh-CN"/>
        </w:rPr>
      </w:pPr>
      <w:r>
        <w:rPr>
          <w:rFonts w:hint="default"/>
          <w:lang w:val="en-US" w:eastAsia="zh-CN"/>
        </w:rPr>
        <w:t>1.5 章节安排</w:t>
      </w:r>
    </w:p>
    <w:p w14:paraId="416ECD1A">
      <w:pPr>
        <w:rPr>
          <w:rFonts w:hint="eastAsia" w:eastAsiaTheme="minorEastAsia"/>
          <w:lang w:eastAsia="zh-CN"/>
        </w:rPr>
      </w:pPr>
      <w:r>
        <w:rPr>
          <w:rFonts w:hint="eastAsia"/>
          <w:lang w:val="en-US" w:eastAsia="zh-CN"/>
        </w:rPr>
        <w:t>第一章为引言，介绍研究背景、意义与主要内容；</w:t>
      </w:r>
    </w:p>
    <w:p w14:paraId="0533FC5D">
      <w:pPr>
        <w:rPr>
          <w:rFonts w:hint="default"/>
          <w:lang w:val="en-US" w:eastAsia="zh-CN"/>
        </w:rPr>
      </w:pPr>
      <w:r>
        <w:rPr>
          <w:rFonts w:hint="default"/>
          <w:lang w:val="en-US" w:eastAsia="zh-CN"/>
        </w:rPr>
        <w:t>第二章为数据预处理与地形特征提取；</w:t>
      </w:r>
    </w:p>
    <w:p w14:paraId="6451504B">
      <w:pPr>
        <w:rPr>
          <w:rFonts w:hint="default"/>
          <w:lang w:val="en-US" w:eastAsia="zh-CN"/>
        </w:rPr>
      </w:pPr>
      <w:r>
        <w:rPr>
          <w:rFonts w:hint="default"/>
          <w:lang w:val="en-US" w:eastAsia="zh-CN"/>
        </w:rPr>
        <w:t>第三章为路线规划原则挖掘与验证；</w:t>
      </w:r>
    </w:p>
    <w:p w14:paraId="055EF1FD">
      <w:pPr>
        <w:rPr>
          <w:rFonts w:hint="default"/>
          <w:lang w:val="en-US" w:eastAsia="zh-CN"/>
        </w:rPr>
      </w:pPr>
      <w:r>
        <w:rPr>
          <w:rFonts w:hint="default"/>
          <w:lang w:val="en-US" w:eastAsia="zh-CN"/>
        </w:rPr>
        <w:t>第四章为古道路线复原模型构建与求解；</w:t>
      </w:r>
    </w:p>
    <w:p w14:paraId="45DD8696">
      <w:pPr>
        <w:rPr>
          <w:rFonts w:hint="default"/>
          <w:lang w:val="en-US" w:eastAsia="zh-CN"/>
        </w:rPr>
      </w:pPr>
      <w:r>
        <w:rPr>
          <w:rFonts w:hint="default"/>
          <w:lang w:val="en-US" w:eastAsia="zh-CN"/>
        </w:rPr>
        <w:t>第五章为现代地形下</w:t>
      </w:r>
      <w:r>
        <w:rPr>
          <w:rFonts w:hint="eastAsia"/>
          <w:lang w:val="en-US" w:eastAsia="zh-CN"/>
        </w:rPr>
        <w:t>的</w:t>
      </w:r>
      <w:r>
        <w:rPr>
          <w:rFonts w:hint="default"/>
          <w:lang w:val="en-US" w:eastAsia="zh-CN"/>
        </w:rPr>
        <w:t>路线重规划；</w:t>
      </w:r>
    </w:p>
    <w:p w14:paraId="5452CA05">
      <w:pPr>
        <w:rPr>
          <w:rFonts w:hint="default"/>
          <w:lang w:val="en-US" w:eastAsia="zh-CN"/>
        </w:rPr>
      </w:pPr>
      <w:r>
        <w:rPr>
          <w:rFonts w:hint="default"/>
          <w:lang w:val="en-US" w:eastAsia="zh-CN"/>
        </w:rPr>
        <w:t>第六章为配套设施布局优化；</w:t>
      </w:r>
    </w:p>
    <w:p w14:paraId="1FE27354">
      <w:pPr>
        <w:rPr>
          <w:rFonts w:hint="default"/>
          <w:lang w:val="en-US" w:eastAsia="zh-CN"/>
        </w:rPr>
      </w:pPr>
      <w:r>
        <w:rPr>
          <w:rFonts w:hint="default"/>
          <w:lang w:val="en-US" w:eastAsia="zh-CN"/>
        </w:rPr>
        <w:t>第七章为模型评价与结果分析；</w:t>
      </w:r>
    </w:p>
    <w:p w14:paraId="2B171700">
      <w:pPr>
        <w:rPr>
          <w:rFonts w:hint="default"/>
          <w:lang w:val="en-US" w:eastAsia="zh-CN"/>
        </w:rPr>
      </w:pPr>
      <w:r>
        <w:rPr>
          <w:rFonts w:hint="default"/>
          <w:lang w:val="en-US" w:eastAsia="zh-CN"/>
        </w:rPr>
        <w:t>第八章为总结与展望。</w:t>
      </w:r>
    </w:p>
    <w:p w14:paraId="3DD5AF2F">
      <w:pPr>
        <w:rPr>
          <w:rFonts w:hint="default"/>
          <w:lang w:val="en-US" w:eastAsia="zh-CN"/>
        </w:rPr>
      </w:pPr>
      <w:r>
        <w:rPr>
          <w:rFonts w:hint="default"/>
          <w:lang w:val="en-US" w:eastAsia="zh-CN"/>
        </w:rPr>
        <w:t>第二章 数据预处理与地形特征提取</w:t>
      </w:r>
    </w:p>
    <w:p w14:paraId="3262B0DF">
      <w:pPr>
        <w:rPr>
          <w:rFonts w:hint="default"/>
          <w:lang w:val="en-US" w:eastAsia="zh-CN"/>
        </w:rPr>
      </w:pPr>
      <w:r>
        <w:rPr>
          <w:rFonts w:hint="default"/>
          <w:lang w:val="en-US" w:eastAsia="zh-CN"/>
        </w:rPr>
        <w:t>2.1 数据来源</w:t>
      </w:r>
    </w:p>
    <w:p w14:paraId="4A848024">
      <w:pPr>
        <w:rPr>
          <w:rFonts w:hint="default"/>
          <w:lang w:val="en-US" w:eastAsia="zh-CN"/>
        </w:rPr>
      </w:pPr>
      <w:r>
        <w:rPr>
          <w:rFonts w:hint="default"/>
          <w:lang w:val="en-US" w:eastAsia="zh-CN"/>
        </w:rPr>
        <w:t>本文使用的数据包括：</w:t>
      </w:r>
    </w:p>
    <w:p w14:paraId="40981798">
      <w:pPr>
        <w:rPr>
          <w:rFonts w:hint="eastAsia" w:eastAsiaTheme="minorEastAsia"/>
          <w:lang w:eastAsia="zh-CN"/>
        </w:rPr>
      </w:pPr>
      <w:r>
        <w:rPr>
          <w:rFonts w:hint="eastAsia"/>
          <w:lang w:val="en-US" w:eastAsia="zh-CN"/>
        </w:rPr>
        <w:t>1. 研究区数字高程模型（DEM）数据；</w:t>
      </w:r>
    </w:p>
    <w:p w14:paraId="738332A8">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已考古确认的秦直道遗迹点位数据；</w:t>
      </w:r>
    </w:p>
    <w:p w14:paraId="7D6459D2">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烽火台、关隘、河流、道路等矢量数据；</w:t>
      </w:r>
    </w:p>
    <w:p w14:paraId="5526A7E7">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坡度、坡向、土地利用等派生地理数据。</w:t>
      </w:r>
    </w:p>
    <w:p w14:paraId="4607CEF0">
      <w:pPr>
        <w:rPr>
          <w:rFonts w:hint="default"/>
          <w:lang w:val="en-US" w:eastAsia="zh-CN"/>
        </w:rPr>
      </w:pPr>
      <w:r>
        <w:rPr>
          <w:rFonts w:hint="default"/>
          <w:lang w:val="en-US" w:eastAsia="zh-CN"/>
        </w:rPr>
        <w:t>2.2 数据预处理</w:t>
      </w:r>
    </w:p>
    <w:p w14:paraId="160B43E5">
      <w:pPr>
        <w:rPr>
          <w:rFonts w:hint="eastAsia" w:eastAsiaTheme="minorEastAsia"/>
          <w:lang w:eastAsia="zh-CN"/>
        </w:rPr>
      </w:pPr>
      <w:r>
        <w:rPr>
          <w:rFonts w:hint="eastAsia"/>
          <w:lang w:val="en-US" w:eastAsia="zh-CN"/>
        </w:rPr>
        <w:t>1. 坐标系统一：将所有数据统一至相同投影坐标系；</w:t>
      </w:r>
    </w:p>
    <w:p w14:paraId="6E0E9F7F">
      <w:pPr>
        <w:rPr>
          <w:rFonts w:hint="eastAsia" w:eastAsiaTheme="minorEastAsia"/>
          <w:lang w:eastAsia="zh-CN"/>
        </w:rPr>
      </w:pPr>
      <w:r>
        <w:rPr>
          <w:rFonts w:hint="eastAsia"/>
          <w:lang w:val="en-US" w:eastAsia="zh-CN"/>
        </w:rPr>
        <w:t>2. DEM填洼与去噪：消除异常高程值与洼地，确保水流方向准确；</w:t>
      </w:r>
    </w:p>
    <w:p w14:paraId="5165E5A2">
      <w:pPr>
        <w:rPr>
          <w:rFonts w:hint="eastAsia" w:eastAsiaTheme="minorEastAsia"/>
          <w:lang w:eastAsia="zh-CN"/>
        </w:rPr>
      </w:pPr>
      <w:r>
        <w:rPr>
          <w:rFonts w:hint="eastAsia"/>
          <w:lang w:val="en-US" w:eastAsia="zh-CN"/>
        </w:rPr>
        <w:t>3. 数据重采样：统一数据分辨率，提升计算效率；</w:t>
      </w:r>
    </w:p>
    <w:p w14:paraId="0B7D80D1">
      <w:pPr>
        <w:rPr>
          <w:rFonts w:hint="eastAsia" w:eastAsiaTheme="minorEastAsia"/>
          <w:lang w:eastAsia="zh-CN"/>
        </w:rPr>
      </w:pPr>
      <w:r>
        <w:rPr>
          <w:rFonts w:hint="eastAsia"/>
          <w:lang w:val="en-US" w:eastAsia="zh-CN"/>
        </w:rPr>
        <w:t>4. 矢量与栅格叠加：将遗迹点、设施点与地形数据进行匹配。</w:t>
      </w:r>
    </w:p>
    <w:p w14:paraId="4209C328">
      <w:pPr>
        <w:rPr>
          <w:rFonts w:hint="default"/>
          <w:lang w:val="en-US" w:eastAsia="zh-CN"/>
        </w:rPr>
      </w:pPr>
      <w:r>
        <w:rPr>
          <w:rFonts w:hint="default"/>
          <w:lang w:val="en-US" w:eastAsia="zh-CN"/>
        </w:rPr>
        <w:t>2.3 地形特征计算</w:t>
      </w:r>
    </w:p>
    <w:p w14:paraId="32E012FF">
      <w:pPr>
        <w:rPr>
          <w:rFonts w:hint="default"/>
          <w:lang w:val="en-US" w:eastAsia="zh-CN"/>
        </w:rPr>
      </w:pPr>
      <w:r>
        <w:rPr>
          <w:rFonts w:hint="default"/>
          <w:lang w:val="en-US" w:eastAsia="zh-CN"/>
        </w:rPr>
        <w:t>2.3.1 坡度计算</w:t>
      </w:r>
    </w:p>
    <w:p w14:paraId="2545C29D">
      <w:pPr>
        <w:keepNext w:val="0"/>
        <w:keepLines w:val="0"/>
        <w:widowControl/>
        <w:suppressLineNumbers w:val="0"/>
        <w:jc w:val="left"/>
        <w:rPr>
          <w:rFonts w:hint="eastAsia"/>
          <w:lang w:val="en-US" w:eastAsia="zh-CN"/>
        </w:rPr>
      </w:pPr>
      <w:r>
        <w:rPr>
          <w:rFonts w:hint="eastAsia"/>
          <w:lang w:val="en-US" w:eastAsia="zh-CN"/>
        </w:rPr>
        <w:t>参考Ar</w:t>
      </w:r>
      <w:r>
        <w:rPr>
          <w:rFonts w:hint="default"/>
          <w:lang w:val="en-US" w:eastAsia="zh-CN"/>
        </w:rPr>
        <w:t>cMap for Desktop</w:t>
      </w:r>
      <w:r>
        <w:rPr>
          <w:rFonts w:hint="eastAsia"/>
          <w:lang w:val="en-US" w:eastAsia="zh-CN"/>
        </w:rPr>
        <w:t xml:space="preserve"> 网站的</w:t>
      </w:r>
      <w:r>
        <w:rPr>
          <w:rFonts w:hint="default"/>
          <w:lang w:val="en-US" w:eastAsia="zh-CN"/>
        </w:rPr>
        <w:t>Spatial Analys</w:t>
      </w:r>
      <w:r>
        <w:rPr>
          <w:rFonts w:hint="eastAsia"/>
          <w:lang w:val="en-US" w:eastAsia="zh-CN"/>
        </w:rPr>
        <w:t>工具箱的介绍</w:t>
      </w:r>
      <w:r>
        <w:rPr>
          <w:rFonts w:hint="default"/>
          <w:lang w:val="en-US" w:eastAsia="zh-CN"/>
        </w:rPr>
        <w:t>[6</w:t>
      </w:r>
      <w:r>
        <w:rPr>
          <w:rFonts w:hint="eastAsia"/>
          <w:lang w:val="en-US" w:eastAsia="zh-CN"/>
        </w:rPr>
        <w:tab/>
      </w:r>
      <w:r>
        <w:rPr>
          <w:rFonts w:hint="default"/>
          <w:lang w:val="en-US" w:eastAsia="zh-CN"/>
        </w:rPr>
        <w:t>]</w:t>
      </w:r>
      <w:r>
        <w:rPr>
          <w:rFonts w:hint="eastAsia"/>
          <w:lang w:val="en-US" w:eastAsia="zh-CN"/>
        </w:rPr>
        <w:t>，我们可知坡度计算</w:t>
      </w:r>
      <w:r>
        <w:rPr>
          <w:rFonts w:hint="default"/>
          <w:lang w:val="en-US" w:eastAsia="zh-CN"/>
        </w:rPr>
        <w:t>会将一个平面与要处理的像元或中心像元周围一个 3 x 3 的像元邻域的 z 值进行拟合。该平面的坡度值通过最大平均值法来计算</w:t>
      </w:r>
      <w:r>
        <w:rPr>
          <w:rFonts w:hint="eastAsia"/>
          <w:lang w:val="en-US" w:eastAsia="zh-CN"/>
        </w:rPr>
        <w:t>。</w:t>
      </w:r>
      <w:r>
        <w:rPr>
          <w:rFonts w:hint="default"/>
          <w:lang w:val="en-US" w:eastAsia="zh-CN"/>
        </w:rPr>
        <w:t>输出坡度栅格可使用两种单位计算：度和百分比（高程增量百分比）。如果将高程增量百分比视为高程增量除以水平增量后再乘以 100，就可以更好地理解高程增量百分比。请考虑下面的三角形 B。当角度为 45 度时，高程增量等于水平增量，所以高程增量百分比为 100%。如三角形 C 所示，当坡度角接近直角（90 度）时，高程增量百分比开始接近无穷大。</w:t>
      </w:r>
      <w:r>
        <w:rPr>
          <w:rFonts w:hint="eastAsia"/>
          <w:lang w:val="en-US" w:eastAsia="zh-CN"/>
        </w:rPr>
        <w:t>在python中计算坡度的公式是</w:t>
      </w:r>
    </w:p>
    <w:p w14:paraId="042FC079">
      <w:pPr>
        <w:keepNext w:val="0"/>
        <w:keepLines w:val="0"/>
        <w:widowControl/>
        <w:suppressLineNumbers w:val="0"/>
        <w:jc w:val="left"/>
        <w:rPr>
          <w:rFonts w:hint="default" w:hAnsi="DejaVu Math TeX Gyre" w:eastAsia="Andale Mono"/>
          <w:i w:val="0"/>
          <w:sz w:val="24"/>
          <w:u w:val="none"/>
        </w:rPr>
      </w:pPr>
      <w:r>
        <w:rPr>
          <w:rFonts w:hint="eastAsia"/>
          <w:lang w:val="en-US" w:eastAsia="zh-CN"/>
        </w:rPr>
        <w:t>：</w:t>
      </w:r>
      <m:oMath>
        <m:r>
          <m:rPr/>
          <w:rPr>
            <w:rFonts w:hint="default" w:ascii="DejaVu Math TeX Gyre" w:hAnsi="DejaVu Math TeX Gyre" w:eastAsia="Andale Mono"/>
            <w:sz w:val="24"/>
            <w:u w:val="none"/>
          </w:rPr>
          <m:t>slop</m:t>
        </m:r>
        <m:r>
          <m:rPr/>
          <w:rPr>
            <w:rFonts w:hint="default" w:ascii="DejaVu Math TeX Gyre" w:hAnsi="DejaVu Math TeX Gyre" w:eastAsia="Andale Mono"/>
            <w:sz w:val="24"/>
            <w:u w:val="none"/>
            <w:lang w:val="en-US"/>
          </w:rPr>
          <m:t>_</m:t>
        </m:r>
        <m:r>
          <m:rPr/>
          <w:rPr>
            <w:rFonts w:hint="default" w:ascii="DejaVu Math TeX Gyre" w:hAnsi="DejaVu Math TeX Gyre" w:eastAsia="Andale Mono"/>
            <w:sz w:val="24"/>
            <w:u w:val="none"/>
          </w:rPr>
          <m:t>adians=ATAN(</m:t>
        </m:r>
        <m:rad>
          <m:radPr>
            <m:degHide m:val="1"/>
            <m:ctrlPr>
              <w:rPr>
                <w:rFonts w:hint="default" w:ascii="DejaVu Math TeX Gyre" w:hAnsi="DejaVu Math TeX Gyre" w:eastAsia="Andale Mono"/>
                <w:i/>
                <w:sz w:val="24"/>
                <w:u w:val="none"/>
              </w:rPr>
            </m:ctrlPr>
          </m:radPr>
          <m:deg>
            <m:ctrlPr>
              <w:rPr>
                <w:rFonts w:hint="default" w:ascii="DejaVu Math TeX Gyre" w:hAnsi="DejaVu Math TeX Gyre" w:eastAsia="Andale Mono"/>
                <w:i/>
                <w:sz w:val="24"/>
                <w:u w:val="none"/>
              </w:rPr>
            </m:ctrlPr>
          </m:deg>
          <m:e>
            <m:r>
              <m:rPr/>
              <w:rPr>
                <w:rFonts w:hint="default" w:ascii="DejaVu Math TeX Gyre" w:hAnsi="DejaVu Math TeX Gyre" w:eastAsia="Andale Mono"/>
                <w:sz w:val="24"/>
                <w:u w:val="none"/>
              </w:rPr>
              <m:t>[dz/dx]2+[dz/dy]2)</m:t>
            </m:r>
            <m:ctrlPr>
              <w:rPr>
                <w:rFonts w:hint="default" w:ascii="DejaVu Math TeX Gyre" w:hAnsi="DejaVu Math TeX Gyre" w:eastAsia="Andale Mono"/>
                <w:i/>
                <w:sz w:val="24"/>
                <w:u w:val="none"/>
              </w:rPr>
            </m:ctrlPr>
          </m:e>
        </m:rad>
        <m:r>
          <m:rPr/>
          <w:rPr>
            <w:rFonts w:hint="default" w:ascii="DejaVu Math TeX Gyre" w:hAnsi="DejaVu Math TeX Gyre" w:eastAsia="Andale Mono"/>
            <w:sz w:val="24"/>
            <w:u w:val="none"/>
          </w:rPr>
          <m:t>)</m:t>
        </m:r>
      </m:oMath>
    </w:p>
    <w:p w14:paraId="70D1B1E8">
      <w:pPr>
        <w:keepNext w:val="0"/>
        <w:keepLines w:val="0"/>
        <w:widowControl/>
        <w:suppressLineNumbers w:val="0"/>
        <w:jc w:val="left"/>
        <w:rPr>
          <w:rFonts w:hint="eastAsia" w:hAnsi="Andale Mono" w:eastAsia="Andale Mono" w:cs="Andale Mono"/>
          <w:i w:val="0"/>
          <w:iCs w:val="0"/>
          <w:caps w:val="0"/>
          <w:color w:val="4D4D4D"/>
          <w:spacing w:val="0"/>
          <w:kern w:val="0"/>
          <w:sz w:val="24"/>
          <w:szCs w:val="24"/>
          <w:u w:val="none"/>
          <w:shd w:val="clear" w:fill="FAFAFA"/>
          <w:lang w:val="en-US" w:eastAsia="zh-CN" w:bidi="ar"/>
        </w:rPr>
      </w:pPr>
      <w:r>
        <w:rPr>
          <w:rFonts w:hint="eastAsia" w:hAnsi="Andale Mono" w:eastAsia="Andale Mono" w:cs="Andale Mono"/>
          <w:i w:val="0"/>
          <w:iCs w:val="0"/>
          <w:caps w:val="0"/>
          <w:color w:val="4D4D4D"/>
          <w:spacing w:val="0"/>
          <w:kern w:val="0"/>
          <w:sz w:val="24"/>
          <w:szCs w:val="24"/>
          <w:u w:val="none"/>
          <w:shd w:val="clear" w:fill="FAFAFA"/>
          <w:lang w:val="en-US" w:eastAsia="zh-CN" w:bidi="ar"/>
        </w:rPr>
        <w:t>在对180/pi取值后可以化简为</w:t>
      </w:r>
    </w:p>
    <w:p w14:paraId="71837F19">
      <w:pPr>
        <w:keepNext w:val="0"/>
        <w:keepLines w:val="0"/>
        <w:widowControl/>
        <w:suppressLineNumbers w:val="0"/>
        <w:jc w:val="left"/>
        <w:rPr>
          <w:rFonts w:hint="default" w:hAnsi="DejaVu Math TeX Gyre" w:eastAsia="Andale Mono"/>
          <w:i w:val="0"/>
          <w:sz w:val="24"/>
          <w:u w:val="none"/>
        </w:rPr>
      </w:pPr>
      <m:oMathPara>
        <m:oMath>
          <m:r>
            <m:rPr/>
            <w:rPr>
              <w:rFonts w:hint="default" w:ascii="DejaVu Math TeX Gyre" w:hAnsi="DejaVu Math TeX Gyre" w:eastAsia="Andale Mono"/>
              <w:sz w:val="24"/>
              <w:u w:val="none"/>
            </w:rPr>
            <m:t>slop</m:t>
          </m:r>
          <m:r>
            <m:rPr/>
            <w:rPr>
              <w:rFonts w:hint="default" w:ascii="DejaVu Math TeX Gyre" w:hAnsi="DejaVu Math TeX Gyre" w:eastAsia="Andale Mono"/>
              <w:sz w:val="24"/>
              <w:u w:val="none"/>
              <w:lang w:val="en-US"/>
            </w:rPr>
            <m:t>_</m:t>
          </m:r>
          <m:r>
            <m:rPr/>
            <w:rPr>
              <w:rFonts w:hint="default" w:ascii="DejaVu Math TeX Gyre" w:hAnsi="DejaVu Math TeX Gyre" w:eastAsia="Andale Mono"/>
              <w:sz w:val="24"/>
              <w:u w:val="none"/>
            </w:rPr>
            <m:t>egrees=ATAN(</m:t>
          </m:r>
          <m:rad>
            <m:radPr>
              <m:degHide m:val="1"/>
              <m:ctrlPr>
                <w:rPr>
                  <w:rFonts w:hint="default" w:ascii="DejaVu Math TeX Gyre" w:hAnsi="DejaVu Math TeX Gyre" w:eastAsia="Andale Mono"/>
                  <w:i/>
                  <w:sz w:val="24"/>
                  <w:u w:val="none"/>
                </w:rPr>
              </m:ctrlPr>
            </m:radPr>
            <m:deg>
              <m:ctrlPr>
                <w:rPr>
                  <w:rFonts w:hint="default" w:ascii="DejaVu Math TeX Gyre" w:hAnsi="DejaVu Math TeX Gyre" w:eastAsia="Andale Mono"/>
                  <w:i/>
                  <w:sz w:val="24"/>
                  <w:u w:val="none"/>
                </w:rPr>
              </m:ctrlPr>
            </m:deg>
            <m:e>
              <m:r>
                <m:rPr/>
                <w:rPr>
                  <w:rFonts w:hint="default" w:ascii="DejaVu Math TeX Gyre" w:hAnsi="DejaVu Math TeX Gyre" w:eastAsia="Andale Mono"/>
                  <w:sz w:val="24"/>
                  <w:u w:val="none"/>
                </w:rPr>
                <m:t>([dz/dx]2+[dz/dy]2))</m:t>
              </m:r>
              <m:ctrlPr>
                <w:rPr>
                  <w:rFonts w:hint="default" w:ascii="DejaVu Math TeX Gyre" w:hAnsi="DejaVu Math TeX Gyre" w:eastAsia="Andale Mono"/>
                  <w:i/>
                  <w:sz w:val="24"/>
                  <w:u w:val="none"/>
                </w:rPr>
              </m:ctrlPr>
            </m:e>
          </m:rad>
          <m:r>
            <m:rPr/>
            <w:rPr>
              <w:rFonts w:hint="default" w:ascii="DejaVu Math TeX Gyre" w:hAnsi="DejaVu Math TeX Gyre" w:eastAsia="Andale Mono"/>
              <w:sz w:val="24"/>
              <w:u w:val="none"/>
            </w:rPr>
            <m:t>∗57.29578</m:t>
          </m:r>
        </m:oMath>
      </m:oMathPara>
    </w:p>
    <w:p w14:paraId="032C750E">
      <w:pPr>
        <w:keepNext w:val="0"/>
        <w:keepLines w:val="0"/>
        <w:widowControl/>
        <w:suppressLineNumbers w:val="0"/>
        <w:jc w:val="left"/>
        <w:rPr>
          <w:rFonts w:hint="eastAsia" w:hAnsi="DejaVu Math TeX Gyre" w:eastAsia="Andale Mono"/>
          <w:i w:val="0"/>
          <w:sz w:val="24"/>
          <w:u w:val="none"/>
          <w:lang w:val="en-US" w:eastAsia="zh-CN"/>
        </w:rPr>
      </w:pPr>
      <w:r>
        <w:rPr>
          <w:rFonts w:hint="eastAsia" w:hAnsi="DejaVu Math TeX Gyre" w:eastAsia="Andale Mono"/>
          <w:i w:val="0"/>
          <w:sz w:val="24"/>
          <w:u w:val="none"/>
          <w:lang w:val="en-US" w:eastAsia="zh-CN"/>
        </w:rPr>
        <w:t>随后我们开始构建3*3阵列用于计算像元在</w:t>
      </w:r>
      <w:r>
        <w:rPr>
          <w:rFonts w:hint="default" w:hAnsi="DejaVu Math TeX Gyre" w:eastAsia="Andale Mono"/>
          <w:i w:val="0"/>
          <w:sz w:val="24"/>
          <w:u w:val="none"/>
          <w:lang w:val="en-US" w:eastAsia="zh-CN"/>
        </w:rPr>
        <w:t>x,y</w:t>
      </w:r>
      <w:r>
        <w:rPr>
          <w:rFonts w:hint="eastAsia" w:hAnsi="DejaVu Math TeX Gyre" w:eastAsia="Andale Mono"/>
          <w:i w:val="0"/>
          <w:sz w:val="24"/>
          <w:u w:val="none"/>
          <w:lang w:val="en-US" w:eastAsia="zh-CN"/>
        </w:rPr>
        <w:t>方向上的变换率。</w:t>
      </w:r>
    </w:p>
    <w:p w14:paraId="12CCF849">
      <w:pPr>
        <w:pStyle w:val="3"/>
        <w:keepNext w:val="0"/>
        <w:keepLines w:val="0"/>
        <w:widowControl/>
        <w:suppressLineNumbers w:val="0"/>
        <w:spacing w:before="210" w:beforeAutospacing="0" w:after="315" w:afterAutospacing="0" w:line="315" w:lineRule="atLeast"/>
        <w:jc w:val="left"/>
        <w:rPr>
          <w:rFonts w:hint="eastAsia" w:hAnsi="DejaVu Math TeX Gyre" w:eastAsia="Andale Mono"/>
          <w:i w:val="0"/>
          <w:sz w:val="24"/>
          <w:u w:val="none"/>
          <w:lang w:val="en-US" w:eastAsia="zh-CN"/>
        </w:rPr>
      </w:pPr>
      <w:r>
        <w:rPr>
          <w:rFonts w:hint="eastAsia" w:hAnsi="DejaVu Math TeX Gyre" w:eastAsia="Andale Mono"/>
          <w:i w:val="0"/>
          <w:sz w:val="24"/>
          <w:u w:val="none"/>
          <w:lang w:val="en-US" w:eastAsia="zh-CN"/>
        </w:rPr>
        <w:t>变化率计算公式：</w:t>
      </w:r>
    </w:p>
    <w:p w14:paraId="5A09C046">
      <w:pPr>
        <w:pStyle w:val="3"/>
        <w:keepNext w:val="0"/>
        <w:keepLines w:val="0"/>
        <w:widowControl/>
        <w:suppressLineNumbers w:val="0"/>
        <w:spacing w:before="210" w:beforeAutospacing="0" w:after="315" w:afterAutospacing="0" w:line="315" w:lineRule="atLeast"/>
        <w:jc w:val="left"/>
        <w:rPr>
          <w:rFonts w:hAnsi="Andale Mono" w:eastAsia="Andale Mono" w:cs="Andale Mono"/>
          <w:i w:val="0"/>
          <w:iCs w:val="0"/>
          <w:caps w:val="0"/>
          <w:color w:val="4D4D4D"/>
          <w:spacing w:val="0"/>
          <w:kern w:val="0"/>
          <w:sz w:val="24"/>
          <w:szCs w:val="24"/>
          <w:u w:val="none"/>
          <w:shd w:val="clear" w:fill="FAFAFA"/>
          <w:lang w:val="en-US" w:eastAsia="zh-CN" w:bidi="ar"/>
        </w:rPr>
      </w:pPr>
      <m:oMathPara>
        <m:oMath>
          <m:r>
            <m:rPr>
              <m:sty m:val="p"/>
            </m:rPr>
            <w:rPr>
              <w:rStyle w:val="7"/>
              <w:rFonts w:hint="default" w:ascii="Andale Mono" w:hAnsi="Andale Mono" w:eastAsia="Andale Mono" w:cs="Andale Mono"/>
              <w:sz w:val="24"/>
              <w:szCs w:val="24"/>
              <w:bdr w:val="single" w:color="EDEDED" w:sz="8" w:space="0"/>
              <w:shd w:val="clear" w:fill="FAFAFA"/>
            </w:rPr>
            <m:t xml:space="preserve"> [dz/dy] = ((</m:t>
          </m:r>
          <m:r>
            <w:rPr>
              <w:rStyle w:val="7"/>
              <w:rFonts w:hint="default" w:ascii="Andale Mono" w:hAnsi="Andale Mono" w:eastAsia="Andale Mono" w:cs="Andale Mono"/>
              <w:sz w:val="24"/>
              <w:szCs w:val="24"/>
              <w:shd w:val="clear" w:fill="FAFAFA"/>
            </w:rPr>
            <m:t>g</m:t>
          </m:r>
          <m:r>
            <m:rPr>
              <m:sty m:val="p"/>
            </m:rPr>
            <w:rPr>
              <w:rStyle w:val="7"/>
              <w:rFonts w:hint="default" w:ascii="Andale Mono" w:hAnsi="Andale Mono" w:eastAsia="Andale Mono" w:cs="Andale Mono"/>
              <w:sz w:val="24"/>
              <w:szCs w:val="24"/>
              <w:bdr w:val="single" w:color="EDEDED" w:sz="8" w:space="0"/>
              <w:shd w:val="clear" w:fill="FAFAFA"/>
            </w:rPr>
            <m:t xml:space="preserve"> + 2</m:t>
          </m:r>
          <m:r>
            <w:rPr>
              <w:rStyle w:val="7"/>
              <w:rFonts w:hint="default" w:ascii="Andale Mono" w:hAnsi="Andale Mono" w:eastAsia="Andale Mono" w:cs="Andale Mono"/>
              <w:sz w:val="24"/>
              <w:szCs w:val="24"/>
              <w:shd w:val="clear" w:fill="FAFAFA"/>
            </w:rPr>
            <m:t>h</m:t>
          </m:r>
          <m:r>
            <m:rPr>
              <m:sty m:val="p"/>
            </m:rPr>
            <w:rPr>
              <w:rStyle w:val="7"/>
              <w:rFonts w:hint="default" w:ascii="Andale Mono" w:hAnsi="Andale Mono" w:eastAsia="Andale Mono" w:cs="Andale Mono"/>
              <w:sz w:val="24"/>
              <w:szCs w:val="24"/>
              <w:bdr w:val="single" w:color="EDEDED" w:sz="8" w:space="0"/>
              <w:shd w:val="clear" w:fill="FAFAFA"/>
            </w:rPr>
            <m:t xml:space="preserve"> + </m:t>
          </m:r>
          <m:r>
            <w:rPr>
              <w:rStyle w:val="7"/>
              <w:rFonts w:hint="default" w:ascii="Andale Mono" w:hAnsi="Andale Mono" w:eastAsia="Andale Mono" w:cs="Andale Mono"/>
              <w:sz w:val="24"/>
              <w:szCs w:val="24"/>
              <w:shd w:val="clear" w:fill="FAFAFA"/>
            </w:rPr>
            <m:t>i</m:t>
          </m:r>
          <m:r>
            <m:rPr>
              <m:sty m:val="p"/>
            </m:rPr>
            <w:rPr>
              <w:rStyle w:val="7"/>
              <w:rFonts w:hint="default" w:ascii="Andale Mono" w:hAnsi="Andale Mono" w:eastAsia="Andale Mono" w:cs="Andale Mono"/>
              <w:sz w:val="24"/>
              <w:szCs w:val="24"/>
              <w:bdr w:val="single" w:color="EDEDED" w:sz="8" w:space="0"/>
              <w:shd w:val="clear" w:fill="FAFAFA"/>
            </w:rPr>
            <m:t>) - (</m:t>
          </m:r>
          <m:r>
            <w:rPr>
              <w:rStyle w:val="7"/>
              <w:rFonts w:hint="default" w:ascii="Andale Mono" w:hAnsi="Andale Mono" w:eastAsia="Andale Mono" w:cs="Andale Mono"/>
              <w:sz w:val="24"/>
              <w:szCs w:val="24"/>
              <w:shd w:val="clear" w:fill="FAFAFA"/>
            </w:rPr>
            <m:t>a</m:t>
          </m:r>
          <m:r>
            <m:rPr>
              <m:sty m:val="p"/>
            </m:rPr>
            <w:rPr>
              <w:rStyle w:val="7"/>
              <w:rFonts w:hint="default" w:ascii="Andale Mono" w:hAnsi="Andale Mono" w:eastAsia="Andale Mono" w:cs="Andale Mono"/>
              <w:sz w:val="24"/>
              <w:szCs w:val="24"/>
              <w:bdr w:val="single" w:color="EDEDED" w:sz="8" w:space="0"/>
              <w:shd w:val="clear" w:fill="FAFAFA"/>
            </w:rPr>
            <m:t xml:space="preserve"> + 2</m:t>
          </m:r>
          <m:r>
            <w:rPr>
              <w:rStyle w:val="7"/>
              <w:rFonts w:hint="default" w:ascii="Andale Mono" w:hAnsi="Andale Mono" w:eastAsia="Andale Mono" w:cs="Andale Mono"/>
              <w:sz w:val="24"/>
              <w:szCs w:val="24"/>
              <w:shd w:val="clear" w:fill="FAFAFA"/>
            </w:rPr>
            <m:t>b</m:t>
          </m:r>
          <m:r>
            <m:rPr>
              <m:sty m:val="p"/>
            </m:rPr>
            <w:rPr>
              <w:rStyle w:val="7"/>
              <w:rFonts w:hint="default" w:ascii="Andale Mono" w:hAnsi="Andale Mono" w:eastAsia="Andale Mono" w:cs="Andale Mono"/>
              <w:sz w:val="24"/>
              <w:szCs w:val="24"/>
              <w:bdr w:val="single" w:color="EDEDED" w:sz="8" w:space="0"/>
              <w:shd w:val="clear" w:fill="FAFAFA"/>
            </w:rPr>
            <m:t xml:space="preserve"> + </m:t>
          </m:r>
          <m:r>
            <w:rPr>
              <w:rStyle w:val="7"/>
              <w:rFonts w:hint="default" w:ascii="Andale Mono" w:hAnsi="Andale Mono" w:eastAsia="Andale Mono" w:cs="Andale Mono"/>
              <w:sz w:val="24"/>
              <w:szCs w:val="24"/>
              <w:shd w:val="clear" w:fill="FAFAFA"/>
            </w:rPr>
            <m:t>c</m:t>
          </m:r>
          <m:r>
            <m:rPr>
              <m:sty m:val="p"/>
            </m:rPr>
            <w:rPr>
              <w:rStyle w:val="7"/>
              <w:rFonts w:hint="default" w:ascii="Andale Mono" w:hAnsi="Andale Mono" w:eastAsia="Andale Mono" w:cs="Andale Mono"/>
              <w:sz w:val="24"/>
              <w:szCs w:val="24"/>
              <w:bdr w:val="single" w:color="EDEDED" w:sz="8" w:space="0"/>
              <w:shd w:val="clear" w:fill="FAFAFA"/>
            </w:rPr>
            <m:t xml:space="preserve">)) / (8 * </m:t>
          </m:r>
          <m:r>
            <w:rPr>
              <w:rStyle w:val="7"/>
              <w:rFonts w:hint="default" w:ascii="Andale Mono" w:hAnsi="Andale Mono" w:eastAsia="Andale Mono" w:cs="Andale Mono"/>
              <w:sz w:val="24"/>
              <w:szCs w:val="24"/>
              <w:shd w:val="clear" w:fill="FAFAFA"/>
            </w:rPr>
            <m:t>y_cellsize</m:t>
          </m:r>
          <m:r>
            <m:rPr>
              <m:sty m:val="p"/>
            </m:rPr>
            <w:rPr>
              <w:rStyle w:val="7"/>
              <w:rFonts w:hint="default" w:ascii="Andale Mono" w:hAnsi="Andale Mono" w:eastAsia="Andale Mono" w:cs="Andale Mono"/>
              <w:sz w:val="24"/>
              <w:szCs w:val="24"/>
              <w:bdr w:val="single" w:color="EDEDED" w:sz="8" w:space="0"/>
              <w:shd w:val="clear" w:fill="FAFAFA"/>
            </w:rPr>
            <m:t>)</m:t>
          </m:r>
        </m:oMath>
      </m:oMathPara>
    </w:p>
    <w:p w14:paraId="66DE70EC">
      <w:pPr>
        <w:keepNext w:val="0"/>
        <w:keepLines w:val="0"/>
        <w:widowControl/>
        <w:suppressLineNumbers w:val="0"/>
        <w:jc w:val="left"/>
        <w:rPr>
          <w:rFonts w:hint="default" w:hAnsi="Andale Mono" w:eastAsia="Andale Mono" w:cs="Andale Mono"/>
          <w:i w:val="0"/>
          <w:iCs w:val="0"/>
          <w:caps w:val="0"/>
          <w:color w:val="4D4D4D"/>
          <w:spacing w:val="0"/>
          <w:kern w:val="0"/>
          <w:sz w:val="24"/>
          <w:szCs w:val="24"/>
          <w:u w:val="none"/>
          <w:shd w:val="clear" w:fill="FAFAFA"/>
          <w:lang w:val="en-US" w:eastAsia="zh-CN" w:bidi="ar"/>
        </w:rPr>
      </w:pPr>
      <m:oMathPara>
        <m:oMath>
          <m:r>
            <m:rPr>
              <m:sty m:val="p"/>
            </m:rPr>
            <w:rPr>
              <w:rFonts w:ascii="Andale Mono" w:hAnsi="Andale Mono" w:eastAsia="Andale Mono" w:cs="Andale Mono"/>
              <w:caps w:val="0"/>
              <w:color w:val="4D4D4D"/>
              <w:spacing w:val="0"/>
              <w:kern w:val="0"/>
              <w:sz w:val="24"/>
              <w:szCs w:val="24"/>
              <w:u w:val="none"/>
              <w:shd w:val="clear" w:fill="FAFAFA"/>
              <w:lang w:val="en-US" w:eastAsia="zh-CN" w:bidi="ar"/>
            </w:rPr>
            <m:t>dz/dx] = ((</m:t>
          </m:r>
          <m:r>
            <w:rPr>
              <w:rFonts w:hint="default" w:ascii="Andale Mono" w:hAnsi="Andale Mono" w:eastAsia="Andale Mono" w:cs="Andale Mono"/>
              <w:caps w:val="0"/>
              <w:color w:val="4D4D4D"/>
              <w:spacing w:val="0"/>
              <w:kern w:val="0"/>
              <w:sz w:val="24"/>
              <w:szCs w:val="24"/>
              <w:shd w:val="clear" w:fill="FAFAFA"/>
              <w:lang w:val="en-US" w:eastAsia="zh-CN" w:bidi="ar"/>
            </w:rPr>
            <m:t>c</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xml:space="preserve"> + 2</m:t>
          </m:r>
          <m:r>
            <w:rPr>
              <w:rFonts w:hint="default" w:ascii="Andale Mono" w:hAnsi="Andale Mono" w:eastAsia="Andale Mono" w:cs="Andale Mono"/>
              <w:caps w:val="0"/>
              <w:color w:val="4D4D4D"/>
              <w:spacing w:val="0"/>
              <w:kern w:val="0"/>
              <w:sz w:val="24"/>
              <w:szCs w:val="24"/>
              <w:shd w:val="clear" w:fill="FAFAFA"/>
              <w:lang w:val="en-US" w:eastAsia="zh-CN" w:bidi="ar"/>
            </w:rPr>
            <m:t>f</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xml:space="preserve"> + </m:t>
          </m:r>
          <m:r>
            <w:rPr>
              <w:rFonts w:hint="default" w:ascii="Andale Mono" w:hAnsi="Andale Mono" w:eastAsia="Andale Mono" w:cs="Andale Mono"/>
              <w:caps w:val="0"/>
              <w:color w:val="4D4D4D"/>
              <w:spacing w:val="0"/>
              <w:kern w:val="0"/>
              <w:sz w:val="24"/>
              <w:szCs w:val="24"/>
              <w:shd w:val="clear" w:fill="FAFAFA"/>
              <w:lang w:val="en-US" w:eastAsia="zh-CN" w:bidi="ar"/>
            </w:rPr>
            <m:t>i</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 (</m:t>
          </m:r>
          <m:r>
            <w:rPr>
              <w:rFonts w:hint="default" w:ascii="Andale Mono" w:hAnsi="Andale Mono" w:eastAsia="Andale Mono" w:cs="Andale Mono"/>
              <w:caps w:val="0"/>
              <w:color w:val="4D4D4D"/>
              <w:spacing w:val="0"/>
              <w:kern w:val="0"/>
              <w:sz w:val="24"/>
              <w:szCs w:val="24"/>
              <w:shd w:val="clear" w:fill="FAFAFA"/>
              <w:lang w:val="en-US" w:eastAsia="zh-CN" w:bidi="ar"/>
            </w:rPr>
            <m:t>a</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xml:space="preserve"> + 2</m:t>
          </m:r>
          <m:r>
            <w:rPr>
              <w:rFonts w:hint="default" w:ascii="Andale Mono" w:hAnsi="Andale Mono" w:eastAsia="Andale Mono" w:cs="Andale Mono"/>
              <w:caps w:val="0"/>
              <w:color w:val="4D4D4D"/>
              <w:spacing w:val="0"/>
              <w:kern w:val="0"/>
              <w:sz w:val="24"/>
              <w:szCs w:val="24"/>
              <w:shd w:val="clear" w:fill="FAFAFA"/>
              <w:lang w:val="en-US" w:eastAsia="zh-CN" w:bidi="ar"/>
            </w:rPr>
            <m:t>d</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xml:space="preserve"> + </m:t>
          </m:r>
          <m:r>
            <w:rPr>
              <w:rFonts w:hint="default" w:ascii="Andale Mono" w:hAnsi="Andale Mono" w:eastAsia="Andale Mono" w:cs="Andale Mono"/>
              <w:caps w:val="0"/>
              <w:color w:val="4D4D4D"/>
              <w:spacing w:val="0"/>
              <w:kern w:val="0"/>
              <w:sz w:val="24"/>
              <w:szCs w:val="24"/>
              <w:shd w:val="clear" w:fill="FAFAFA"/>
              <w:lang w:val="en-US" w:eastAsia="zh-CN" w:bidi="ar"/>
            </w:rPr>
            <m:t>g</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 xml:space="preserve">) / (8 * </m:t>
          </m:r>
          <m:r>
            <w:rPr>
              <w:rFonts w:hint="default" w:ascii="Andale Mono" w:hAnsi="Andale Mono" w:eastAsia="Andale Mono" w:cs="Andale Mono"/>
              <w:caps w:val="0"/>
              <w:color w:val="4D4D4D"/>
              <w:spacing w:val="0"/>
              <w:kern w:val="0"/>
              <w:sz w:val="24"/>
              <w:szCs w:val="24"/>
              <w:shd w:val="clear" w:fill="FAFAFA"/>
              <w:lang w:val="en-US" w:eastAsia="zh-CN" w:bidi="ar"/>
            </w:rPr>
            <m:t>x_cellsize</m:t>
          </m:r>
          <m:r>
            <m:rPr>
              <m:sty m:val="p"/>
            </m:rPr>
            <w:rPr>
              <w:rFonts w:hint="default" w:ascii="Andale Mono" w:hAnsi="Andale Mono" w:eastAsia="Andale Mono" w:cs="Andale Mono"/>
              <w:caps w:val="0"/>
              <w:color w:val="4D4D4D"/>
              <w:spacing w:val="0"/>
              <w:kern w:val="0"/>
              <w:sz w:val="24"/>
              <w:szCs w:val="24"/>
              <w:u w:val="none"/>
              <w:shd w:val="clear" w:fill="FAFAFA"/>
              <w:lang w:val="en-US" w:eastAsia="zh-CN" w:bidi="ar"/>
            </w:rPr>
            <m:t>)</m:t>
          </m:r>
        </m:oMath>
      </m:oMathPara>
    </w:p>
    <w:p w14:paraId="63130AF7">
      <w:pPr>
        <w:keepNext w:val="0"/>
        <w:keepLines w:val="0"/>
        <w:widowControl/>
        <w:suppressLineNumbers w:val="0"/>
        <w:jc w:val="left"/>
        <w:rPr>
          <w:rFonts w:hint="default" w:hAnsi="Andale Mono" w:eastAsia="Andale Mono" w:cs="Andale Mono"/>
          <w:i w:val="0"/>
          <w:iCs w:val="0"/>
          <w:caps w:val="0"/>
          <w:color w:val="4D4D4D"/>
          <w:spacing w:val="0"/>
          <w:kern w:val="0"/>
          <w:sz w:val="24"/>
          <w:szCs w:val="24"/>
          <w:u w:val="none"/>
          <w:shd w:val="clear" w:fill="FAFAFA"/>
          <w:lang w:val="en-US" w:eastAsia="zh-CN" w:bidi="ar"/>
        </w:rPr>
      </w:pPr>
      <w:r>
        <w:rPr>
          <w:rFonts w:hint="eastAsia" w:hAnsi="Andale Mono" w:eastAsia="Andale Mono" w:cs="Andale Mono"/>
          <w:i w:val="0"/>
          <w:iCs w:val="0"/>
          <w:caps w:val="0"/>
          <w:color w:val="4D4D4D"/>
          <w:spacing w:val="0"/>
          <w:kern w:val="0"/>
          <w:sz w:val="24"/>
          <w:szCs w:val="24"/>
          <w:u w:val="none"/>
          <w:shd w:val="clear" w:fill="FAFAFA"/>
          <w:lang w:val="en-US" w:eastAsia="zh-CN" w:bidi="ar"/>
        </w:rPr>
        <w:t>将变化率带入坡度公式后即可计算出像元的坡度。</w:t>
      </w:r>
    </w:p>
    <w:p w14:paraId="4F00398A">
      <w:pPr>
        <w:rPr>
          <w:rFonts w:hint="default"/>
          <w:lang w:val="en-US" w:eastAsia="zh-CN"/>
        </w:rPr>
      </w:pPr>
      <w:r>
        <w:rPr>
          <w:rFonts w:hint="default"/>
          <w:lang w:val="en-US" w:eastAsia="zh-CN"/>
        </w:rPr>
        <w:t>2.3.2 地形起伏度</w:t>
      </w:r>
    </w:p>
    <w:p w14:paraId="57F0BF3D">
      <w:pPr>
        <w:rPr>
          <w:rFonts w:hint="default"/>
          <w:lang w:val="en-US" w:eastAsia="zh-CN"/>
        </w:rPr>
      </w:pPr>
      <w:r>
        <w:rPr>
          <w:rFonts w:hint="default"/>
          <w:lang w:val="en-US" w:eastAsia="zh-CN"/>
        </w:rPr>
        <w:t>以窗口内最大高程与最小高程之差表示：</w:t>
      </w:r>
    </w:p>
    <w:p w14:paraId="262D2DB5">
      <w:pPr>
        <w:rPr>
          <w:rFonts w:hint="eastAsia" w:eastAsiaTheme="minorEastAsia"/>
          <w:lang w:eastAsia="zh-CN"/>
        </w:rPr>
      </w:pPr>
      <w:r>
        <w:rPr>
          <w:rFonts w:hint="eastAsia"/>
          <w:lang w:val="en-US" w:eastAsia="zh-CN"/>
        </w:rPr>
        <w:t>R = max(z) - min(z)</w:t>
      </w:r>
    </w:p>
    <w:p w14:paraId="70E58AD9">
      <w:pPr>
        <w:rPr>
          <w:rFonts w:hint="eastAsia" w:eastAsiaTheme="minorEastAsia"/>
          <w:lang w:eastAsia="zh-CN"/>
        </w:rPr>
      </w:pPr>
      <w:r>
        <w:rPr>
          <w:rFonts w:hint="eastAsia"/>
          <w:lang w:val="en-US" w:eastAsia="zh-CN"/>
        </w:rPr>
        <w:t>2.3.3 通视性分析</w:t>
      </w:r>
    </w:p>
    <w:p w14:paraId="779BEBA5">
      <w:pPr>
        <w:rPr>
          <w:rFonts w:hint="eastAsia" w:eastAsiaTheme="minorEastAsia"/>
          <w:lang w:eastAsia="zh-CN"/>
        </w:rPr>
      </w:pPr>
      <w:r>
        <w:rPr>
          <w:rFonts w:hint="eastAsia"/>
          <w:lang w:val="en-US" w:eastAsia="zh-CN"/>
        </w:rPr>
        <w:t>采用两点视域分析算法，判断两点间是否存在地形遮挡，用于军事防御与通讯功能分析。</w:t>
      </w:r>
    </w:p>
    <w:p w14:paraId="083D46AC">
      <w:pPr>
        <w:rPr>
          <w:rFonts w:hint="eastAsia" w:eastAsiaTheme="minorEastAsia"/>
          <w:lang w:eastAsia="zh-CN"/>
        </w:rPr>
      </w:pPr>
      <w:r>
        <w:rPr>
          <w:rFonts w:hint="eastAsia"/>
          <w:lang w:val="en-US" w:eastAsia="zh-CN"/>
        </w:rPr>
        <w:t>2.4 地形特征统计</w:t>
      </w:r>
    </w:p>
    <w:p w14:paraId="6AC5DB55">
      <w:pPr>
        <w:rPr>
          <w:rFonts w:hint="eastAsia" w:eastAsiaTheme="minorEastAsia"/>
          <w:lang w:eastAsia="zh-CN"/>
        </w:rPr>
      </w:pPr>
      <w:r>
        <w:rPr>
          <w:rFonts w:hint="eastAsia"/>
          <w:lang w:val="en-US" w:eastAsia="zh-CN"/>
        </w:rPr>
        <w:t>统计结果显示，秦直道真实遗迹路段的坡度主要集中在3°～8°，地形起伏较小，通视条件优良，与随机路径存在明显区别。</w:t>
      </w:r>
    </w:p>
    <w:p w14:paraId="264C8012">
      <w:pPr>
        <w:rPr>
          <w:rFonts w:hint="default"/>
          <w:lang w:val="en-US" w:eastAsia="zh-CN"/>
        </w:rPr>
      </w:pPr>
      <w:r>
        <w:rPr>
          <w:rFonts w:hint="default"/>
          <w:lang w:val="en-US" w:eastAsia="zh-CN"/>
        </w:rPr>
        <w:t>第三章 秦直道路线规划原则挖掘</w:t>
      </w:r>
    </w:p>
    <w:p w14:paraId="495C5A6B">
      <w:pPr>
        <w:rPr>
          <w:rFonts w:hint="default"/>
          <w:lang w:val="en-US" w:eastAsia="zh-CN"/>
        </w:rPr>
      </w:pPr>
      <w:r>
        <w:rPr>
          <w:rFonts w:hint="default"/>
          <w:lang w:val="en-US" w:eastAsia="zh-CN"/>
        </w:rPr>
        <w:t>3.1 影响因素分析</w:t>
      </w:r>
    </w:p>
    <w:p w14:paraId="4615DE8A">
      <w:pPr>
        <w:rPr>
          <w:rFonts w:hint="eastAsia" w:eastAsiaTheme="minorEastAsia"/>
          <w:lang w:eastAsia="zh-CN"/>
        </w:rPr>
      </w:pPr>
      <w:r>
        <w:rPr>
          <w:rFonts w:hint="eastAsia"/>
          <w:lang w:val="en-US" w:eastAsia="zh-CN"/>
        </w:rPr>
        <w:t>1. 工程可行性：坡度、起伏度、坡面稳定性；</w:t>
      </w:r>
    </w:p>
    <w:p w14:paraId="79483F23">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军事安全性：通视性、制高点、防御便利性；</w:t>
      </w:r>
    </w:p>
    <w:p w14:paraId="3F0191B9">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战略通达性：宏观直线性、节点控制能力；</w:t>
      </w:r>
    </w:p>
    <w:p w14:paraId="1E0121CD">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后勤保障性：水源、避险、易维护性。</w:t>
      </w:r>
      <w:bookmarkStart w:id="0" w:name="_GoBack"/>
      <w:bookmarkEnd w:id="0"/>
    </w:p>
    <w:p w14:paraId="30214F56">
      <w:pPr>
        <w:rPr>
          <w:rFonts w:hint="default"/>
          <w:lang w:val="en-US" w:eastAsia="zh-CN"/>
        </w:rPr>
      </w:pPr>
      <w:r>
        <w:rPr>
          <w:rFonts w:hint="default"/>
          <w:lang w:val="en-US" w:eastAsia="zh-CN"/>
        </w:rPr>
        <w:t>3.2 熵权法确定权重</w:t>
      </w:r>
    </w:p>
    <w:p w14:paraId="73112799">
      <w:pPr>
        <w:rPr>
          <w:rFonts w:hint="default"/>
          <w:lang w:val="en-US" w:eastAsia="zh-CN"/>
        </w:rPr>
      </w:pPr>
      <w:r>
        <w:rPr>
          <w:rFonts w:hint="default"/>
          <w:lang w:val="en-US" w:eastAsia="zh-CN"/>
        </w:rPr>
        <w:t>构建判断矩阵，利用熵权法计算各因素权重，结果显示：</w:t>
      </w:r>
    </w:p>
    <w:p w14:paraId="426E52E5">
      <w:pPr>
        <w:rPr>
          <w:rFonts w:hint="default"/>
          <w:lang w:val="en-US" w:eastAsia="zh-CN"/>
        </w:rPr>
      </w:pPr>
      <w:r>
        <w:rPr>
          <w:rFonts w:hint="default"/>
          <w:lang w:val="en-US" w:eastAsia="zh-CN"/>
        </w:rPr>
        <w:t>坡度 &gt; 通视性 &gt; 地形起伏度 &gt; 水文条件</w:t>
      </w:r>
    </w:p>
    <w:p w14:paraId="0A9E3248">
      <w:pPr>
        <w:rPr>
          <w:rFonts w:hint="default"/>
          <w:lang w:val="en-US" w:eastAsia="zh-CN"/>
        </w:rPr>
      </w:pPr>
      <w:r>
        <w:rPr>
          <w:rFonts w:hint="default"/>
          <w:lang w:val="en-US" w:eastAsia="zh-CN"/>
        </w:rPr>
        <w:t>3.3 规划原则提炼</w:t>
      </w:r>
    </w:p>
    <w:p w14:paraId="3FD063E5">
      <w:pPr>
        <w:rPr>
          <w:rFonts w:hint="eastAsia" w:eastAsiaTheme="minorEastAsia"/>
          <w:lang w:eastAsia="zh-CN"/>
        </w:rPr>
      </w:pPr>
      <w:r>
        <w:rPr>
          <w:rFonts w:hint="eastAsia"/>
          <w:lang w:val="en-US" w:eastAsia="zh-CN"/>
        </w:rPr>
        <w:t>1. 坡度优先原则：优先选择平缓地形，降低工程难度；</w:t>
      </w:r>
    </w:p>
    <w:p w14:paraId="181E5A85">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宏观平直原则：整体保持南北贯通，局部灵活调整；</w:t>
      </w:r>
    </w:p>
    <w:p w14:paraId="0E27B2C7">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军事通视原则：关键路段视野开阔，便于预警与防御；</w:t>
      </w:r>
    </w:p>
    <w:p w14:paraId="17AF9676">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避水避险原则：避开河流冲刷、滑坡、泥石流区域；</w:t>
      </w:r>
    </w:p>
    <w:p w14:paraId="7A9D7330">
      <w:pPr>
        <w:rPr>
          <w:rFonts w:hint="default"/>
          <w:lang w:val="en-US" w:eastAsia="zh-CN"/>
        </w:rPr>
      </w:pPr>
      <w:r>
        <w:rPr>
          <w:rFonts w:hint="default"/>
          <w:lang w:val="en-US" w:eastAsia="zh-CN"/>
        </w:rPr>
        <w:t>5.</w:t>
      </w:r>
      <w:r>
        <w:rPr>
          <w:rFonts w:hint="eastAsia"/>
          <w:lang w:val="en-US" w:eastAsia="zh-CN"/>
        </w:rPr>
        <w:t xml:space="preserve"> </w:t>
      </w:r>
      <w:r>
        <w:rPr>
          <w:rFonts w:hint="default"/>
          <w:lang w:val="en-US" w:eastAsia="zh-CN"/>
        </w:rPr>
        <w:t>节点控制原则：以山口、关隘、高地为控制点。</w:t>
      </w:r>
    </w:p>
    <w:p w14:paraId="4C96939E">
      <w:pPr>
        <w:rPr>
          <w:rFonts w:hint="default"/>
          <w:lang w:val="en-US" w:eastAsia="zh-CN"/>
        </w:rPr>
      </w:pPr>
      <w:r>
        <w:rPr>
          <w:rFonts w:hint="default"/>
          <w:lang w:val="en-US" w:eastAsia="zh-CN"/>
        </w:rPr>
        <w:t>第四章 秦直道古道路线复原模型</w:t>
      </w:r>
    </w:p>
    <w:p w14:paraId="3B475778">
      <w:pPr>
        <w:rPr>
          <w:rFonts w:hint="default"/>
          <w:lang w:val="en-US" w:eastAsia="zh-CN"/>
        </w:rPr>
      </w:pPr>
      <w:r>
        <w:rPr>
          <w:rFonts w:hint="default"/>
          <w:lang w:val="en-US" w:eastAsia="zh-CN"/>
        </w:rPr>
        <w:t>4.1 成本函数构建</w:t>
      </w:r>
    </w:p>
    <w:p w14:paraId="6A6BE22C">
      <w:pPr>
        <w:rPr>
          <w:rFonts w:hint="default"/>
          <w:lang w:val="en-US" w:eastAsia="zh-CN"/>
        </w:rPr>
      </w:pPr>
      <w:r>
        <w:rPr>
          <w:rFonts w:hint="default"/>
          <w:lang w:val="en-US" w:eastAsia="zh-CN"/>
        </w:rPr>
        <w:t>综合地形、军事、水文等因素，建立成本函数：</w:t>
      </w:r>
    </w:p>
    <w:p w14:paraId="234E30E3">
      <w:pPr>
        <w:rPr>
          <w:rFonts w:hint="eastAsia" w:eastAsiaTheme="minorEastAsia"/>
          <w:lang w:eastAsia="zh-CN"/>
        </w:rPr>
      </w:pPr>
      <w:r>
        <w:rPr>
          <w:rFonts w:hint="eastAsia"/>
          <w:lang w:val="en-US" w:eastAsia="zh-CN"/>
        </w:rPr>
        <w:t>C = w₁S + w₂R + w₃W + w₄V</w:t>
      </w:r>
    </w:p>
    <w:p w14:paraId="60F9560D">
      <w:pPr>
        <w:rPr>
          <w:rFonts w:hint="default"/>
          <w:lang w:val="en-US" w:eastAsia="zh-CN"/>
        </w:rPr>
      </w:pPr>
      <w:r>
        <w:rPr>
          <w:rFonts w:hint="default"/>
          <w:lang w:val="en-US" w:eastAsia="zh-CN"/>
        </w:rPr>
        <w:t>其中：</w:t>
      </w:r>
    </w:p>
    <w:p w14:paraId="5D46C1A1">
      <w:pPr>
        <w:rPr>
          <w:rFonts w:hint="default"/>
          <w:lang w:val="en-US" w:eastAsia="zh-CN"/>
        </w:rPr>
      </w:pPr>
      <w:r>
        <w:rPr>
          <w:rFonts w:hint="default"/>
          <w:lang w:val="en-US" w:eastAsia="zh-CN"/>
        </w:rPr>
        <w:t>- S：坡度成本</w:t>
      </w:r>
    </w:p>
    <w:p w14:paraId="7CEA93E7">
      <w:pPr>
        <w:rPr>
          <w:rFonts w:hint="default"/>
          <w:lang w:val="en-US" w:eastAsia="zh-CN"/>
        </w:rPr>
      </w:pPr>
      <w:r>
        <w:rPr>
          <w:rFonts w:hint="default"/>
          <w:lang w:val="en-US" w:eastAsia="zh-CN"/>
        </w:rPr>
        <w:t>- R：起伏度成本</w:t>
      </w:r>
    </w:p>
    <w:p w14:paraId="56664A74">
      <w:pPr>
        <w:rPr>
          <w:rFonts w:hint="default"/>
          <w:lang w:val="en-US" w:eastAsia="zh-CN"/>
        </w:rPr>
      </w:pPr>
      <w:r>
        <w:rPr>
          <w:rFonts w:hint="default"/>
          <w:lang w:val="en-US" w:eastAsia="zh-CN"/>
        </w:rPr>
        <w:t>- W：水文障碍成本</w:t>
      </w:r>
    </w:p>
    <w:p w14:paraId="19DF0152">
      <w:pPr>
        <w:rPr>
          <w:rFonts w:hint="default"/>
          <w:lang w:val="en-US" w:eastAsia="zh-CN"/>
        </w:rPr>
      </w:pPr>
      <w:r>
        <w:rPr>
          <w:rFonts w:hint="default"/>
          <w:lang w:val="en-US" w:eastAsia="zh-CN"/>
        </w:rPr>
        <w:t>- V：通视性成本</w:t>
      </w:r>
    </w:p>
    <w:p w14:paraId="63DA900E">
      <w:pPr>
        <w:rPr>
          <w:rFonts w:hint="default"/>
          <w:lang w:val="en-US" w:eastAsia="zh-CN"/>
        </w:rPr>
      </w:pPr>
      <w:r>
        <w:rPr>
          <w:rFonts w:hint="default"/>
          <w:lang w:val="en-US" w:eastAsia="zh-CN"/>
        </w:rPr>
        <w:t>4.2 最小成本路径算法</w:t>
      </w:r>
    </w:p>
    <w:p w14:paraId="7C287FA2">
      <w:pPr>
        <w:rPr>
          <w:rFonts w:hint="eastAsia" w:eastAsiaTheme="minorEastAsia"/>
          <w:lang w:eastAsia="zh-CN"/>
        </w:rPr>
      </w:pPr>
      <w:r>
        <w:rPr>
          <w:rFonts w:hint="eastAsia"/>
          <w:lang w:val="en-US" w:eastAsia="zh-CN"/>
        </w:rPr>
        <w:t>1. 计算全域成本栅格；</w:t>
      </w:r>
    </w:p>
    <w:p w14:paraId="62898474">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以起点甘泉宫、终点九原郡为源点；</w:t>
      </w:r>
    </w:p>
    <w:p w14:paraId="2544030B">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计算成本距离与成本方向；</w:t>
      </w:r>
    </w:p>
    <w:p w14:paraId="2D6E98E4">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提取最小成本路径，即为复原路线。</w:t>
      </w:r>
    </w:p>
    <w:p w14:paraId="16BD6FB1">
      <w:pPr>
        <w:rPr>
          <w:rFonts w:hint="default"/>
          <w:lang w:val="en-US" w:eastAsia="zh-CN"/>
        </w:rPr>
      </w:pPr>
      <w:r>
        <w:rPr>
          <w:rFonts w:hint="default"/>
          <w:lang w:val="en-US" w:eastAsia="zh-CN"/>
        </w:rPr>
        <w:t>4.3 模型验证</w:t>
      </w:r>
    </w:p>
    <w:p w14:paraId="35081EF6">
      <w:pPr>
        <w:rPr>
          <w:rFonts w:hint="default"/>
          <w:lang w:val="en-US" w:eastAsia="zh-CN"/>
        </w:rPr>
      </w:pPr>
      <w:r>
        <w:rPr>
          <w:rFonts w:hint="default"/>
          <w:lang w:val="en-US" w:eastAsia="zh-CN"/>
        </w:rPr>
        <w:t>将复原路线与考古遗迹点叠加，计算平均距离与重合率。结果表明，模型路线与真实遗迹高度吻合，证明模型有效。</w:t>
      </w:r>
    </w:p>
    <w:p w14:paraId="663350EE">
      <w:pPr>
        <w:rPr>
          <w:rFonts w:hint="default"/>
          <w:lang w:val="en-US" w:eastAsia="zh-CN"/>
        </w:rPr>
      </w:pPr>
      <w:r>
        <w:rPr>
          <w:rFonts w:hint="default"/>
          <w:lang w:val="en-US" w:eastAsia="zh-CN"/>
        </w:rPr>
        <w:t>第五章 现代地形下秦直道路线重规划</w:t>
      </w:r>
    </w:p>
    <w:p w14:paraId="5095B1EE">
      <w:pPr>
        <w:rPr>
          <w:rFonts w:hint="default"/>
          <w:lang w:val="en-US" w:eastAsia="zh-CN"/>
        </w:rPr>
      </w:pPr>
      <w:r>
        <w:rPr>
          <w:rFonts w:hint="default"/>
          <w:lang w:val="en-US" w:eastAsia="zh-CN"/>
        </w:rPr>
        <w:t>5.1 约束条件</w:t>
      </w:r>
    </w:p>
    <w:p w14:paraId="123DD60B">
      <w:pPr>
        <w:rPr>
          <w:rFonts w:hint="eastAsia" w:eastAsiaTheme="minorEastAsia"/>
          <w:lang w:eastAsia="zh-CN"/>
        </w:rPr>
      </w:pPr>
      <w:r>
        <w:rPr>
          <w:rFonts w:hint="eastAsia"/>
          <w:lang w:val="en-US" w:eastAsia="zh-CN"/>
        </w:rPr>
        <w:t>1. 保留历史起点、终点与关键控制点；</w:t>
      </w:r>
    </w:p>
    <w:p w14:paraId="181320B7">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避开现代城镇、生态保护区、基本农田；</w:t>
      </w:r>
    </w:p>
    <w:p w14:paraId="53A82482">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保持工程可行性，降低建设成本。</w:t>
      </w:r>
    </w:p>
    <w:p w14:paraId="1A133992">
      <w:pPr>
        <w:rPr>
          <w:rFonts w:hint="default"/>
          <w:lang w:val="en-US" w:eastAsia="zh-CN"/>
        </w:rPr>
      </w:pPr>
      <w:r>
        <w:rPr>
          <w:rFonts w:hint="default"/>
          <w:lang w:val="en-US" w:eastAsia="zh-CN"/>
        </w:rPr>
        <w:t>5.2 重规划模型</w:t>
      </w:r>
    </w:p>
    <w:p w14:paraId="2BF9B17A">
      <w:pPr>
        <w:rPr>
          <w:rFonts w:hint="default"/>
          <w:lang w:val="en-US" w:eastAsia="zh-CN"/>
        </w:rPr>
      </w:pPr>
      <w:r>
        <w:rPr>
          <w:rFonts w:hint="default"/>
          <w:lang w:val="en-US" w:eastAsia="zh-CN"/>
        </w:rPr>
        <w:t>在原有成本函数基础上加入现代约束因子，重新运行最小成本路径算法，得到现代最优路线。新路线与古道整体趋势一致，局部更适应现代环境。</w:t>
      </w:r>
    </w:p>
    <w:p w14:paraId="23767614">
      <w:pPr>
        <w:rPr>
          <w:rFonts w:hint="default"/>
          <w:lang w:val="en-US" w:eastAsia="zh-CN"/>
        </w:rPr>
      </w:pPr>
      <w:r>
        <w:rPr>
          <w:rFonts w:hint="default"/>
          <w:lang w:val="en-US" w:eastAsia="zh-CN"/>
        </w:rPr>
        <w:t>第六章 配套设施（烽火台、关隘）重规划</w:t>
      </w:r>
    </w:p>
    <w:p w14:paraId="01D31AB6">
      <w:pPr>
        <w:rPr>
          <w:rFonts w:hint="default"/>
          <w:lang w:val="en-US" w:eastAsia="zh-CN"/>
        </w:rPr>
      </w:pPr>
      <w:r>
        <w:rPr>
          <w:rFonts w:hint="default"/>
          <w:lang w:val="en-US" w:eastAsia="zh-CN"/>
        </w:rPr>
        <w:t>6.1 功能分析</w:t>
      </w:r>
    </w:p>
    <w:p w14:paraId="085AD42A">
      <w:pPr>
        <w:rPr>
          <w:rFonts w:hint="eastAsia" w:eastAsiaTheme="minorEastAsia"/>
          <w:lang w:eastAsia="zh-CN"/>
        </w:rPr>
      </w:pPr>
      <w:r>
        <w:rPr>
          <w:rFonts w:hint="eastAsia"/>
          <w:lang w:val="en-US" w:eastAsia="zh-CN"/>
        </w:rPr>
        <w:t>1. 烽火台：军事预警、视觉通讯、全线监控；</w:t>
      </w:r>
    </w:p>
    <w:p w14:paraId="48CFB460">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关隘：控制通道、防御驻守、管理通行。</w:t>
      </w:r>
    </w:p>
    <w:p w14:paraId="48C7417E">
      <w:pPr>
        <w:rPr>
          <w:rFonts w:hint="default"/>
          <w:lang w:val="en-US" w:eastAsia="zh-CN"/>
        </w:rPr>
      </w:pPr>
      <w:r>
        <w:rPr>
          <w:rFonts w:hint="default"/>
          <w:lang w:val="en-US" w:eastAsia="zh-CN"/>
        </w:rPr>
        <w:t>6.2 通视覆盖模型</w:t>
      </w:r>
    </w:p>
    <w:p w14:paraId="28978641">
      <w:pPr>
        <w:rPr>
          <w:rFonts w:hint="default"/>
          <w:lang w:val="en-US" w:eastAsia="zh-CN"/>
        </w:rPr>
      </w:pPr>
      <w:r>
        <w:rPr>
          <w:rFonts w:hint="default"/>
          <w:lang w:val="en-US" w:eastAsia="zh-CN"/>
        </w:rPr>
        <w:t>目标：使相邻烽火台互相通视，实现全线覆盖。</w:t>
      </w:r>
    </w:p>
    <w:p w14:paraId="62674A30">
      <w:pPr>
        <w:rPr>
          <w:rFonts w:hint="eastAsia" w:eastAsiaTheme="minorEastAsia"/>
          <w:lang w:eastAsia="zh-CN"/>
        </w:rPr>
      </w:pPr>
      <w:r>
        <w:rPr>
          <w:rFonts w:hint="eastAsia"/>
          <w:lang w:val="en-US" w:eastAsia="zh-CN"/>
        </w:rPr>
        <w:t>min N s.t. ∪₁ᴺVᵢ ⊃ 路线廊道</w:t>
      </w:r>
    </w:p>
    <w:p w14:paraId="6C25D1AD">
      <w:pPr>
        <w:rPr>
          <w:rFonts w:hint="default"/>
          <w:lang w:val="en-US" w:eastAsia="zh-CN"/>
        </w:rPr>
      </w:pPr>
      <w:r>
        <w:rPr>
          <w:rFonts w:hint="default"/>
          <w:lang w:val="en-US" w:eastAsia="zh-CN"/>
        </w:rPr>
        <w:t>6.3 服务范围模型</w:t>
      </w:r>
    </w:p>
    <w:p w14:paraId="7C4B4761">
      <w:pPr>
        <w:rPr>
          <w:rFonts w:hint="default"/>
          <w:lang w:val="en-US" w:eastAsia="zh-CN"/>
        </w:rPr>
      </w:pPr>
      <w:r>
        <w:rPr>
          <w:rFonts w:hint="default"/>
          <w:lang w:val="en-US" w:eastAsia="zh-CN"/>
        </w:rPr>
        <w:t>限制设施最大有效距离：</w:t>
      </w:r>
    </w:p>
    <w:p w14:paraId="7F95173C">
      <w:pPr>
        <w:rPr>
          <w:rFonts w:hint="eastAsia" w:eastAsiaTheme="minorEastAsia"/>
          <w:lang w:eastAsia="zh-CN"/>
        </w:rPr>
      </w:pPr>
      <w:r>
        <w:rPr>
          <w:rFonts w:hint="eastAsia"/>
          <w:lang w:val="en-US" w:eastAsia="zh-CN"/>
        </w:rPr>
        <w:t>dᵢ ≤ D_max</w:t>
      </w:r>
    </w:p>
    <w:p w14:paraId="586357C1">
      <w:pPr>
        <w:rPr>
          <w:rFonts w:hint="default"/>
          <w:lang w:val="en-US" w:eastAsia="zh-CN"/>
        </w:rPr>
      </w:pPr>
      <w:r>
        <w:rPr>
          <w:rFonts w:hint="default"/>
          <w:lang w:val="en-US" w:eastAsia="zh-CN"/>
        </w:rPr>
        <w:t>6.4 优化结果</w:t>
      </w:r>
    </w:p>
    <w:p w14:paraId="2B341716">
      <w:pPr>
        <w:rPr>
          <w:rFonts w:hint="default"/>
          <w:lang w:val="en-US" w:eastAsia="zh-CN"/>
        </w:rPr>
      </w:pPr>
      <w:r>
        <w:rPr>
          <w:rFonts w:hint="default"/>
          <w:lang w:val="en-US" w:eastAsia="zh-CN"/>
        </w:rPr>
        <w:t>通过贪心算法与迭代优化，</w:t>
      </w:r>
      <w:r>
        <w:rPr>
          <w:rFonts w:hint="eastAsia"/>
          <w:lang w:val="en-US" w:eastAsia="zh-CN"/>
        </w:rPr>
        <w:t>确定</w:t>
      </w:r>
      <w:r>
        <w:rPr>
          <w:rFonts w:hint="default"/>
          <w:lang w:val="en-US" w:eastAsia="zh-CN"/>
        </w:rPr>
        <w:t>设施数量、间距与最优点位，满足通讯、预警、防御全覆盖</w:t>
      </w:r>
      <w:r>
        <w:rPr>
          <w:rFonts w:hint="eastAsia"/>
          <w:lang w:val="en-US" w:eastAsia="zh-CN"/>
        </w:rPr>
        <w:t>需求</w:t>
      </w:r>
      <w:r>
        <w:rPr>
          <w:rFonts w:hint="default"/>
          <w:lang w:val="en-US" w:eastAsia="zh-CN"/>
        </w:rPr>
        <w:t>。</w:t>
      </w:r>
    </w:p>
    <w:p w14:paraId="4900C02B">
      <w:pPr>
        <w:rPr>
          <w:rFonts w:hint="default"/>
          <w:lang w:val="en-US" w:eastAsia="zh-CN"/>
        </w:rPr>
      </w:pPr>
      <w:r>
        <w:rPr>
          <w:rFonts w:hint="default"/>
          <w:lang w:val="en-US" w:eastAsia="zh-CN"/>
        </w:rPr>
        <w:t>第七章 模型评价与结果分析</w:t>
      </w:r>
    </w:p>
    <w:p w14:paraId="277B6E55">
      <w:pPr>
        <w:rPr>
          <w:rFonts w:hint="default"/>
          <w:lang w:val="en-US" w:eastAsia="zh-CN"/>
        </w:rPr>
      </w:pPr>
      <w:r>
        <w:rPr>
          <w:rFonts w:hint="default"/>
          <w:lang w:val="en-US" w:eastAsia="zh-CN"/>
        </w:rPr>
        <w:t>7.1 模型合理性</w:t>
      </w:r>
    </w:p>
    <w:p w14:paraId="0D1E715A">
      <w:pPr>
        <w:rPr>
          <w:rFonts w:hint="default"/>
          <w:lang w:val="en-US" w:eastAsia="zh-CN"/>
        </w:rPr>
      </w:pPr>
      <w:r>
        <w:rPr>
          <w:rFonts w:hint="default"/>
          <w:lang w:val="en-US" w:eastAsia="zh-CN"/>
        </w:rPr>
        <w:t>模型路线与考古数据高度一致，规划原则符合历史背景，算法科学可靠。</w:t>
      </w:r>
    </w:p>
    <w:p w14:paraId="40180B78">
      <w:pPr>
        <w:rPr>
          <w:rFonts w:hint="default"/>
          <w:lang w:val="en-US" w:eastAsia="zh-CN"/>
        </w:rPr>
      </w:pPr>
      <w:r>
        <w:rPr>
          <w:rFonts w:hint="default"/>
          <w:lang w:val="en-US" w:eastAsia="zh-CN"/>
        </w:rPr>
        <w:t>7.2 优点</w:t>
      </w:r>
    </w:p>
    <w:p w14:paraId="759A0233">
      <w:pPr>
        <w:rPr>
          <w:rFonts w:hint="eastAsia" w:eastAsiaTheme="minorEastAsia"/>
          <w:lang w:eastAsia="zh-CN"/>
        </w:rPr>
      </w:pPr>
      <w:r>
        <w:rPr>
          <w:rFonts w:hint="eastAsia"/>
          <w:lang w:val="en-US" w:eastAsia="zh-CN"/>
        </w:rPr>
        <w:t>1. 全流程定量化，具备可复制性；</w:t>
      </w:r>
    </w:p>
    <w:p w14:paraId="300ED09D">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多模型融合，结果稳健；</w:t>
      </w:r>
    </w:p>
    <w:p w14:paraId="50EB625B">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兼顾历史真实性与现代实用性。</w:t>
      </w:r>
    </w:p>
    <w:p w14:paraId="7AE322B4">
      <w:pPr>
        <w:rPr>
          <w:rFonts w:hint="default"/>
          <w:lang w:val="en-US" w:eastAsia="zh-CN"/>
        </w:rPr>
      </w:pPr>
      <w:r>
        <w:rPr>
          <w:rFonts w:hint="default"/>
          <w:lang w:val="en-US" w:eastAsia="zh-CN"/>
        </w:rPr>
        <w:t>7.3 不足</w:t>
      </w:r>
    </w:p>
    <w:p w14:paraId="0B62149A">
      <w:pPr>
        <w:rPr>
          <w:rFonts w:hint="eastAsia" w:eastAsiaTheme="minorEastAsia"/>
          <w:lang w:eastAsia="zh-CN"/>
        </w:rPr>
      </w:pPr>
      <w:r>
        <w:rPr>
          <w:rFonts w:hint="eastAsia"/>
          <w:lang w:val="en-US" w:eastAsia="zh-CN"/>
        </w:rPr>
        <w:t>1. 部分区域缺少高精度考古数据；</w:t>
      </w:r>
    </w:p>
    <w:p w14:paraId="32114862">
      <w:pPr>
        <w:rPr>
          <w:rFonts w:hint="eastAsia" w:eastAsiaTheme="minorEastAsia"/>
          <w:lang w:eastAsia="zh-CN"/>
        </w:rPr>
      </w:pPr>
      <w:r>
        <w:rPr>
          <w:rFonts w:hint="eastAsia"/>
          <w:lang w:val="en-US" w:eastAsia="zh-CN"/>
        </w:rPr>
        <w:t>2. 未考虑气候、植被长期变化的影响。</w:t>
      </w:r>
    </w:p>
    <w:p w14:paraId="38677102">
      <w:pPr>
        <w:rPr>
          <w:rFonts w:hint="default"/>
          <w:lang w:val="en-US" w:eastAsia="zh-CN"/>
        </w:rPr>
      </w:pPr>
      <w:r>
        <w:rPr>
          <w:rFonts w:hint="default"/>
          <w:lang w:val="en-US" w:eastAsia="zh-CN"/>
        </w:rPr>
        <w:t>第八章 总结与展望</w:t>
      </w:r>
    </w:p>
    <w:p w14:paraId="29CB71E9">
      <w:pPr>
        <w:rPr>
          <w:rFonts w:hint="default"/>
          <w:lang w:val="en-US" w:eastAsia="zh-CN"/>
        </w:rPr>
      </w:pPr>
      <w:r>
        <w:rPr>
          <w:rFonts w:hint="default"/>
          <w:lang w:val="en-US" w:eastAsia="zh-CN"/>
        </w:rPr>
        <w:t>8.1 总结</w:t>
      </w:r>
    </w:p>
    <w:p w14:paraId="2A3B4BCD">
      <w:pPr>
        <w:rPr>
          <w:rFonts w:hint="eastAsia" w:eastAsiaTheme="minorEastAsia"/>
          <w:lang w:eastAsia="zh-CN"/>
        </w:rPr>
      </w:pPr>
      <w:r>
        <w:rPr>
          <w:rFonts w:hint="eastAsia"/>
          <w:lang w:val="en-US" w:eastAsia="zh-CN"/>
        </w:rPr>
        <w:t>本文完成了秦直道从数据处理、地形分析、规划原则挖掘、路线复原到现代重规划、设施布局优化的全套数学建模。研究表明，秦直道是一套科学、理性且高度系统化的古代超级工程，其规划思想对现代交通工程仍具有借鉴意义。</w:t>
      </w:r>
    </w:p>
    <w:p w14:paraId="2B11E346">
      <w:pPr>
        <w:rPr>
          <w:rFonts w:hint="default"/>
          <w:lang w:val="en-US" w:eastAsia="zh-CN"/>
        </w:rPr>
      </w:pPr>
      <w:r>
        <w:rPr>
          <w:rFonts w:hint="default"/>
          <w:lang w:val="en-US" w:eastAsia="zh-CN"/>
        </w:rPr>
        <w:t>8.2 展望</w:t>
      </w:r>
    </w:p>
    <w:p w14:paraId="5C5AECA8">
      <w:pPr>
        <w:rPr>
          <w:rFonts w:hint="default"/>
          <w:lang w:val="en-US" w:eastAsia="zh-CN"/>
        </w:rPr>
      </w:pPr>
      <w:r>
        <w:rPr>
          <w:rFonts w:hint="default"/>
          <w:lang w:val="en-US" w:eastAsia="zh-CN"/>
        </w:rPr>
        <w:t>未来可结合更高精度</w:t>
      </w:r>
      <w:r>
        <w:rPr>
          <w:rFonts w:hint="eastAsia"/>
          <w:lang w:val="en-US" w:eastAsia="zh-CN"/>
        </w:rPr>
        <w:t>的</w:t>
      </w:r>
      <w:r>
        <w:rPr>
          <w:rFonts w:hint="default"/>
          <w:lang w:val="en-US" w:eastAsia="zh-CN"/>
        </w:rPr>
        <w:t>遥感数据、考古新发现与三维建模技术，进一步提升路线</w:t>
      </w:r>
      <w:r>
        <w:rPr>
          <w:rFonts w:hint="eastAsia"/>
          <w:lang w:val="en-US" w:eastAsia="zh-CN"/>
        </w:rPr>
        <w:t>复原的</w:t>
      </w:r>
      <w:r>
        <w:rPr>
          <w:rFonts w:hint="default"/>
          <w:lang w:val="en-US" w:eastAsia="zh-CN"/>
        </w:rPr>
        <w:t>精度，并开展秦直道文化线路</w:t>
      </w:r>
      <w:r>
        <w:rPr>
          <w:rFonts w:hint="eastAsia"/>
          <w:lang w:val="en-US" w:eastAsia="zh-CN"/>
        </w:rPr>
        <w:t>的</w:t>
      </w:r>
      <w:r>
        <w:rPr>
          <w:rFonts w:hint="default"/>
          <w:lang w:val="en-US" w:eastAsia="zh-CN"/>
        </w:rPr>
        <w:t>数字化展示与保护规划研究。</w:t>
      </w:r>
    </w:p>
    <w:p w14:paraId="05DDB689">
      <w:pPr>
        <w:rPr>
          <w:rFonts w:hint="default"/>
          <w:lang w:val="en-US" w:eastAsia="zh-CN"/>
        </w:rPr>
      </w:pPr>
    </w:p>
    <w:p w14:paraId="50620874">
      <w:pPr>
        <w:rPr>
          <w:rFonts w:hint="default"/>
          <w:lang w:val="en-US" w:eastAsia="zh-CN"/>
        </w:rPr>
      </w:pPr>
    </w:p>
    <w:p w14:paraId="3C552B86">
      <w:pPr>
        <w:rPr>
          <w:rFonts w:hint="default"/>
          <w:lang w:val="en-US" w:eastAsia="zh-CN"/>
        </w:rPr>
      </w:pPr>
    </w:p>
    <w:p w14:paraId="0AC902A0">
      <w:pPr>
        <w:rPr>
          <w:rFonts w:hint="default"/>
          <w:lang w:val="en-US" w:eastAsia="zh-CN"/>
        </w:rPr>
      </w:pPr>
    </w:p>
    <w:p w14:paraId="516B4FB3">
      <w:pPr>
        <w:rPr>
          <w:rFonts w:hint="default"/>
          <w:lang w:val="en-US" w:eastAsia="zh-CN"/>
        </w:rPr>
      </w:pPr>
    </w:p>
    <w:p w14:paraId="1B8ED996">
      <w:pPr>
        <w:rPr>
          <w:rFonts w:hint="default"/>
          <w:lang w:val="en-US" w:eastAsia="zh-CN"/>
        </w:rPr>
      </w:pPr>
      <w:r>
        <w:rPr>
          <w:rFonts w:hint="default"/>
          <w:lang w:val="en-US" w:eastAsia="zh-CN"/>
        </w:rPr>
        <w:t>参考文献</w:t>
      </w:r>
    </w:p>
    <w:p w14:paraId="4996E837">
      <w:pPr>
        <w:rPr>
          <w:rFonts w:hint="default"/>
          <w:lang w:val="en-US" w:eastAsia="zh-CN"/>
        </w:rPr>
      </w:pPr>
      <w:r>
        <w:rPr>
          <w:rFonts w:hint="default"/>
          <w:lang w:val="en-US" w:eastAsia="zh-CN"/>
        </w:rPr>
        <w:t>[1] 历史地理相关研究文献</w:t>
      </w:r>
    </w:p>
    <w:p w14:paraId="1CA56BD2">
      <w:pPr>
        <w:rPr>
          <w:rFonts w:hint="default"/>
          <w:lang w:val="en-US" w:eastAsia="zh-CN"/>
        </w:rPr>
      </w:pPr>
      <w:r>
        <w:rPr>
          <w:rFonts w:hint="default"/>
          <w:lang w:val="en-US" w:eastAsia="zh-CN"/>
        </w:rPr>
        <w:t>[2] GIS空间分析与路径优化论文</w:t>
      </w:r>
    </w:p>
    <w:p w14:paraId="26C82DCB">
      <w:pPr>
        <w:rPr>
          <w:rFonts w:hint="default"/>
          <w:lang w:val="en-US" w:eastAsia="zh-CN"/>
        </w:rPr>
      </w:pPr>
      <w:r>
        <w:rPr>
          <w:rFonts w:hint="default"/>
          <w:lang w:val="en-US" w:eastAsia="zh-CN"/>
        </w:rPr>
        <w:t>[3] 数字高程模型应用研</w:t>
      </w:r>
    </w:p>
    <w:p w14:paraId="294A4723">
      <w:pPr>
        <w:rPr>
          <w:rFonts w:hint="default"/>
          <w:lang w:val="en-US" w:eastAsia="zh-CN"/>
        </w:rPr>
        <w:sectPr>
          <w:pgSz w:w="11906" w:h="16838"/>
          <w:pgMar w:top="1440" w:right="1800" w:bottom="1440" w:left="1800" w:header="851" w:footer="992" w:gutter="0"/>
          <w:cols w:space="425" w:num="1"/>
          <w:docGrid w:type="lines" w:linePitch="312" w:charSpace="0"/>
        </w:sectPr>
      </w:pPr>
    </w:p>
    <w:p w14:paraId="473539FB">
      <w:pPr>
        <w:rPr>
          <w:rFonts w:hint="default"/>
          <w:lang w:val="en-US" w:eastAsia="zh-CN"/>
        </w:rPr>
      </w:pPr>
      <w:r>
        <w:rPr>
          <w:rFonts w:hint="default"/>
          <w:lang w:val="en-US" w:eastAsia="zh-CN"/>
        </w:rPr>
        <w:t>[4] 文化遗产保护与古道路研究</w:t>
      </w:r>
    </w:p>
    <w:p w14:paraId="4605E2AA">
      <w:pPr>
        <w:rPr>
          <w:rFonts w:hint="default"/>
          <w:lang w:val="en-US" w:eastAsia="zh-CN"/>
        </w:rPr>
      </w:pPr>
      <w:r>
        <w:rPr>
          <w:rFonts w:hint="default"/>
          <w:lang w:val="en-US" w:eastAsia="zh-CN"/>
        </w:rPr>
        <w:t>[5] 数学建模竞赛相关模型与算法</w:t>
      </w:r>
    </w:p>
    <w:p w14:paraId="3A189A60">
      <w:pPr>
        <w:rPr>
          <w:rFonts w:hint="default"/>
          <w:lang w:val="en-US" w:eastAsia="zh-CN"/>
        </w:rPr>
      </w:pPr>
      <w:r>
        <w:rPr>
          <w:rFonts w:hint="default"/>
          <w:lang w:val="en-US" w:eastAsia="zh-CN"/>
        </w:rPr>
        <w:t>[6]ArcGIS</w:t>
      </w:r>
      <w:r>
        <w:rPr>
          <w:rFonts w:hint="eastAsia"/>
          <w:lang w:val="en-US" w:eastAsia="zh-CN"/>
        </w:rPr>
        <w:t>网址：https://desktop.arcgis.com/zh-cn/arcmap/10.3/tools/spatial-analyst-toolbox/how-slope-works.htm</w:t>
      </w:r>
    </w:p>
    <w:p w14:paraId="3AF82D9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Andale Mono">
    <w:panose1 w:val="020B0509000000000004"/>
    <w:charset w:val="00"/>
    <w:family w:val="auto"/>
    <w:pitch w:val="default"/>
    <w:sig w:usb0="00000287" w:usb1="00000000" w:usb2="00000000" w:usb3="00000000" w:csb0="6000009F" w:csb1="DFD7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322194"/>
    <w:rsid w:val="75DC7CCD"/>
    <w:rsid w:val="BA5F8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4866</Words>
  <Characters>5079</Characters>
  <Lines>0</Lines>
  <Paragraphs>0</Paragraphs>
  <TotalTime>42</TotalTime>
  <ScaleCrop>false</ScaleCrop>
  <LinksUpToDate>false</LinksUpToDate>
  <CharactersWithSpaces>5225</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2026-04-11T12:10:00Z</dcterms:created>
  <dc:creator>HP</dc:creator>
  <cp:lastModifiedBy>刘某</cp:lastModifiedBy>
  <dcterms:modified xsi:type="dcterms:W3CDTF">2026-04-13T20:15:42Z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TemplateDocerSaveRecord">
    <vt:lpwstr>eyJoZGlkIjoiYjMwODRlMzY0YzQ0NjExM2MxMWE0NjljOWEyNzM3MDEiLCJ1c2VySWQiOiI0MzA2MTYwNTYifQ==</vt:lpwstr>
  </property>
  <property fmtid="{D5CDD505-2E9C-101B-9397-08002B2CF9AE}" pid="4" name="ICV">
    <vt:lpwstr>6C082A68330F8D296EDEDC69E30CD62E_43</vt:lpwstr>
  </property>
</Properties>
</file>