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8ABE6">
      <w:pPr>
        <w:pStyle w:val="31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Godot 游戏开发工程师｜小型 Demo 实操题</w:t>
      </w:r>
    </w:p>
    <w:p w14:paraId="6008CF19">
      <w:pPr>
        <w:rPr>
          <w:rFonts w:hint="eastAsia" w:ascii="微軟正黑體" w:hAnsi="微軟正黑體" w:eastAsia="微軟正黑體" w:cs="微軟正黑體"/>
          <w:b/>
          <w:color w:val="0F7678"/>
          <w:sz w:val="18"/>
        </w:rPr>
      </w:pPr>
      <w:r>
        <w:rPr>
          <w:rFonts w:hint="eastAsia" w:ascii="微軟正黑體" w:hAnsi="微軟正黑體" w:eastAsia="微軟正黑體" w:cs="微軟正黑體"/>
          <w:b/>
          <w:color w:val="0F7678"/>
          <w:sz w:val="18"/>
        </w:rPr>
        <w:t xml:space="preserve">建议开发工时 3–5 小时  |  3 个工作日内提交 </w:t>
      </w:r>
    </w:p>
    <w:p w14:paraId="7E7B9D31">
      <w:pPr>
        <w:rPr>
          <w:rFonts w:hint="eastAsia" w:ascii="微軟正黑體" w:hAnsi="微軟正黑體" w:eastAsia="微軟正黑體" w:cs="微軟正黑體"/>
          <w:lang w:val="en-US" w:eastAsia="zh-CN"/>
        </w:rPr>
      </w:pPr>
      <w:r>
        <w:rPr>
          <w:rFonts w:hint="eastAsia" w:ascii="微軟正黑體" w:hAnsi="微軟正黑體" w:eastAsia="微軟正黑體" w:cs="微軟正黑體"/>
        </w:rPr>
        <w:t>考核目标：使用 Godot 4.x 和 GDScript，在一个小型 2D 游戏中完成“剧情选择 → 小游戏 → 剧情结局 → 重新开始”的可玩闭环。美术可使用简单文字、色块或基础 UI 控件。</w:t>
      </w:r>
      <w:r>
        <w:rPr>
          <w:rFonts w:hint="eastAsia" w:ascii="微軟正黑體" w:hAnsi="微軟正黑體" w:eastAsia="微軟正黑體" w:cs="微軟正黑體"/>
          <w:lang w:val="en-US" w:eastAsia="zh-CN"/>
        </w:rPr>
        <w:t>在制作完成后请附上开发流程的阐述/展示文档。</w:t>
      </w:r>
    </w:p>
    <w:p w14:paraId="21E07E16">
      <w:pPr>
        <w:pStyle w:val="3"/>
        <w:spacing w:before="200" w:after="10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一、题目背景</w:t>
      </w:r>
    </w:p>
    <w:p w14:paraId="3D709C56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郑和：Fantasy</w:t>
      </w:r>
    </w:p>
    <w:p w14:paraId="64522C62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在架空的奇幻海域中，郑和的船队被迷雾阻挡。守塔人告诉他，灯塔内的古代符文机关能够重新点亮航标。玩家需要决定是否向守塔人请教，并通过一个短小的符文小游戏继续航行。</w:t>
      </w:r>
    </w:p>
    <w:p w14:paraId="78CD0384">
      <w:pPr>
        <w:pStyle w:val="3"/>
        <w:spacing w:before="200" w:after="10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二、必须完成的功能</w:t>
      </w:r>
    </w:p>
    <w:p w14:paraId="78104722">
      <w:pPr>
        <w:pStyle w:val="4"/>
        <w:spacing w:before="140" w:after="10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任务 A｜剧情与选择</w:t>
      </w:r>
    </w:p>
    <w:p w14:paraId="3EB8FE2D">
      <w:pPr>
        <w:pStyle w:val="16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显示一个简单剧情界面：背景或纯色画面、故事文字、两个选项按钮。</w:t>
      </w:r>
    </w:p>
    <w:p w14:paraId="3E7EE1D9">
      <w:pPr>
        <w:pStyle w:val="16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选项 A「请守塔人提示」：进入小游戏后可看见提示。</w:t>
      </w:r>
    </w:p>
    <w:p w14:paraId="530EB48F">
      <w:pPr>
        <w:pStyle w:val="16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选项 B「自行尝试」：进入小游戏后不显示提示。</w:t>
      </w:r>
    </w:p>
    <w:p w14:paraId="3B6A9933">
      <w:pPr>
        <w:pStyle w:val="16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选择后进入小游戏；该选择在本轮流程中保持有效。</w:t>
      </w:r>
    </w:p>
    <w:p w14:paraId="6B66147F">
      <w:pPr>
        <w:pStyle w:val="4"/>
        <w:spacing w:before="140" w:after="10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任务 B｜三符文顺序小游戏</w:t>
      </w:r>
    </w:p>
    <w:p w14:paraId="4E8BE263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三个符文按钮分别为「星</w:t>
      </w:r>
      <w:r>
        <w:rPr>
          <w:rFonts w:hint="eastAsia" w:ascii="微軟正黑體" w:hAnsi="微軟正黑體" w:eastAsia="微軟正黑體" w:cs="微軟正黑體"/>
          <w:lang w:val="en-US" w:eastAsia="zh-CN"/>
        </w:rPr>
        <w:t>象</w:t>
      </w:r>
      <w:r>
        <w:rPr>
          <w:rFonts w:hint="eastAsia" w:ascii="微軟正黑體" w:hAnsi="微軟正黑體" w:eastAsia="微軟正黑體" w:cs="微軟正黑體"/>
        </w:rPr>
        <w:t>」「</w:t>
      </w:r>
      <w:r>
        <w:rPr>
          <w:rFonts w:hint="eastAsia" w:ascii="微軟正黑體" w:hAnsi="微軟正黑體" w:eastAsia="微軟正黑體" w:cs="微軟正黑體"/>
          <w:lang w:val="en-US" w:eastAsia="zh-CN"/>
        </w:rPr>
        <w:t>海</w:t>
      </w:r>
      <w:r>
        <w:rPr>
          <w:rFonts w:hint="eastAsia" w:ascii="微軟正黑體" w:hAnsi="微軟正黑體" w:eastAsia="微軟正黑體" w:cs="微軟正黑體"/>
        </w:rPr>
        <w:t>潮」「</w:t>
      </w:r>
      <w:r>
        <w:rPr>
          <w:rFonts w:hint="eastAsia" w:ascii="微軟正黑體" w:hAnsi="微軟正黑體" w:eastAsia="微軟正黑體" w:cs="微軟正黑體"/>
          <w:lang w:val="en-US" w:eastAsia="zh-CN"/>
        </w:rPr>
        <w:t>季</w:t>
      </w:r>
      <w:r>
        <w:rPr>
          <w:rFonts w:hint="eastAsia" w:ascii="微軟正黑體" w:hAnsi="微軟正黑體" w:eastAsia="微軟正黑體" w:cs="微軟正黑體"/>
        </w:rPr>
        <w:t>风」。玩家每次点击一个符文，累计输入三个符文后自动判定。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9"/>
        <w:gridCol w:w="5859"/>
      </w:tblGrid>
      <w:tr w14:paraId="0065A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CE9EC"/>
            <w:vAlign w:val="center"/>
          </w:tcPr>
          <w:p w14:paraId="5268A3BB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/>
                <w:color w:val="182E47"/>
                <w:sz w:val="18"/>
              </w:rPr>
              <w:t>规则</w:t>
            </w:r>
          </w:p>
        </w:tc>
        <w:tc>
          <w:tcPr>
            <w:tcW w:w="7087" w:type="dxa"/>
            <w:shd w:val="clear" w:color="auto" w:fill="DCE9EC"/>
            <w:vAlign w:val="center"/>
          </w:tcPr>
          <w:p w14:paraId="1437EB64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/>
                <w:color w:val="182E47"/>
                <w:sz w:val="18"/>
              </w:rPr>
              <w:t>最低要求</w:t>
            </w:r>
          </w:p>
        </w:tc>
      </w:tr>
      <w:tr w14:paraId="6C970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1" w:type="dxa"/>
            <w:vAlign w:val="center"/>
          </w:tcPr>
          <w:p w14:paraId="3FB03B66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正确顺序</w:t>
            </w:r>
          </w:p>
        </w:tc>
        <w:tc>
          <w:tcPr>
            <w:tcW w:w="4791" w:type="dxa"/>
            <w:vAlign w:val="center"/>
          </w:tcPr>
          <w:p w14:paraId="03F33052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星 → 潮 → 风</w:t>
            </w:r>
          </w:p>
        </w:tc>
      </w:tr>
      <w:tr w14:paraId="3A112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1" w:type="dxa"/>
            <w:shd w:val="clear" w:color="auto" w:fill="F5F8FA"/>
            <w:vAlign w:val="center"/>
          </w:tcPr>
          <w:p w14:paraId="590F850D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操作方式</w:t>
            </w:r>
          </w:p>
        </w:tc>
        <w:tc>
          <w:tcPr>
            <w:tcW w:w="4791" w:type="dxa"/>
            <w:shd w:val="clear" w:color="auto" w:fill="F5F8FA"/>
            <w:vAlign w:val="center"/>
          </w:tcPr>
          <w:p w14:paraId="7B6FFDC3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点击任意三个符文组成一次完整输入；界面展示当前已输入符文</w:t>
            </w:r>
          </w:p>
        </w:tc>
      </w:tr>
      <w:tr w14:paraId="4FB22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1" w:type="dxa"/>
            <w:vAlign w:val="center"/>
          </w:tcPr>
          <w:p w14:paraId="29A1BBF2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提示规则</w:t>
            </w:r>
          </w:p>
        </w:tc>
        <w:tc>
          <w:tcPr>
            <w:tcW w:w="4791" w:type="dxa"/>
            <w:vAlign w:val="center"/>
          </w:tcPr>
          <w:p w14:paraId="69DF24E3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仅选择 A 时展示提示：“星光开航，潮汐同行，最后听风而行。”</w:t>
            </w:r>
          </w:p>
        </w:tc>
      </w:tr>
      <w:tr w14:paraId="2DDDE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1" w:type="dxa"/>
            <w:shd w:val="clear" w:color="auto" w:fill="F5F8FA"/>
            <w:vAlign w:val="center"/>
          </w:tcPr>
          <w:p w14:paraId="30005C10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尝试次数</w:t>
            </w:r>
          </w:p>
        </w:tc>
        <w:tc>
          <w:tcPr>
            <w:tcW w:w="4791" w:type="dxa"/>
            <w:shd w:val="clear" w:color="auto" w:fill="F5F8FA"/>
            <w:vAlign w:val="center"/>
          </w:tcPr>
          <w:p w14:paraId="00ACD853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每局允许最多 2 次完整错误输入；输入 3 枚符文后才算 1 次验证</w:t>
            </w:r>
          </w:p>
        </w:tc>
      </w:tr>
      <w:tr w14:paraId="2E1DA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1" w:type="dxa"/>
            <w:vAlign w:val="center"/>
          </w:tcPr>
          <w:p w14:paraId="0AC3325B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判定结果</w:t>
            </w:r>
          </w:p>
        </w:tc>
        <w:tc>
          <w:tcPr>
            <w:tcW w:w="4791" w:type="dxa"/>
            <w:vAlign w:val="center"/>
          </w:tcPr>
          <w:p w14:paraId="3833A44E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任意一次输入正确即成功；连续 2 次验证错误即失败</w:t>
            </w:r>
          </w:p>
        </w:tc>
      </w:tr>
      <w:tr w14:paraId="25840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1" w:type="dxa"/>
            <w:shd w:val="clear" w:color="auto" w:fill="F5F8FA"/>
            <w:vAlign w:val="center"/>
          </w:tcPr>
          <w:p w14:paraId="7B6786C4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基本反馈</w:t>
            </w:r>
          </w:p>
        </w:tc>
        <w:tc>
          <w:tcPr>
            <w:tcW w:w="4791" w:type="dxa"/>
            <w:shd w:val="clear" w:color="auto" w:fill="F5F8FA"/>
            <w:vAlign w:val="center"/>
          </w:tcPr>
          <w:p w14:paraId="69D7F4C4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展示当前输入以及剩余验证次数；失败但仍有次数时清空当前输入</w:t>
            </w:r>
          </w:p>
        </w:tc>
      </w:tr>
    </w:tbl>
    <w:p w14:paraId="4B2BA36F">
      <w:pPr>
        <w:spacing w:after="0"/>
        <w:rPr>
          <w:rFonts w:hint="eastAsia" w:ascii="微軟正黑體" w:hAnsi="微軟正黑體" w:eastAsia="微軟正黑體" w:cs="微軟正黑體"/>
        </w:rPr>
      </w:pPr>
    </w:p>
    <w:p w14:paraId="26631A38">
      <w:pPr>
        <w:pStyle w:val="4"/>
        <w:spacing w:before="140" w:after="10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任务 C｜结局与重新开始</w:t>
      </w:r>
    </w:p>
    <w:p w14:paraId="0320E778">
      <w:pPr>
        <w:pStyle w:val="16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小游戏成功后返回剧情界面，展示“航标被重新点亮，船队找到了航路”等成功结局。</w:t>
      </w:r>
    </w:p>
    <w:p w14:paraId="55B5CC9D">
      <w:pPr>
        <w:pStyle w:val="16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小游戏失败后返回剧情界面，展示“灯塔沉寂，船队决定暂时停泊”等失败结局。</w:t>
      </w:r>
    </w:p>
    <w:p w14:paraId="307DFB2A">
      <w:pPr>
        <w:pStyle w:val="16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两个结局均提供「重新开始」按钮；重新开始后，剧情选项、提示显示、已输入符文及剩余次数恢复初始状态。</w:t>
      </w:r>
    </w:p>
    <w:p w14:paraId="3D6CCEE3">
      <w:pPr>
        <w:pStyle w:val="16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同一局只允许产生一次最终结算；结算后再次点击不应影响结果。</w:t>
      </w:r>
    </w:p>
    <w:p w14:paraId="5D789DB0">
      <w:pPr>
        <w:pStyle w:val="3"/>
        <w:spacing w:before="200" w:after="10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三、技术及范围要求</w:t>
      </w:r>
    </w:p>
    <w:p w14:paraId="37C66201">
      <w:pPr>
        <w:pStyle w:val="16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使用 Godot 4.x，主要玩法逻辑采用 GDScript。</w:t>
      </w:r>
    </w:p>
    <w:p w14:paraId="380AFC87">
      <w:pPr>
        <w:pStyle w:val="16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提交能够由 Godot 编辑器打开、正常运行的完整工程。</w:t>
      </w:r>
    </w:p>
    <w:p w14:paraId="2FB3DF10">
      <w:pPr>
        <w:pStyle w:val="16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可以使用一个主场景配合一个小游戏子场景，也可以采用其他结构清晰的实现方式。</w:t>
      </w:r>
    </w:p>
    <w:p w14:paraId="74C20996">
      <w:pPr>
        <w:pStyle w:val="16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允许使用 AI 辅助编程及有授权的第三方素材，请在 README 中说明使用情况。</w:t>
      </w:r>
    </w:p>
    <w:p w14:paraId="01F9268D">
      <w:pPr>
        <w:pStyle w:val="16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无需制作美术立绘</w:t>
      </w:r>
      <w:r>
        <w:rPr>
          <w:rFonts w:hint="eastAsia" w:ascii="微軟正黑體" w:hAnsi="微軟正黑體" w:eastAsia="微軟正黑體" w:cs="微軟正黑體"/>
          <w:lang w:eastAsia="zh-CN"/>
        </w:rPr>
        <w:t>（</w:t>
      </w:r>
      <w:r>
        <w:rPr>
          <w:rFonts w:hint="eastAsia" w:ascii="微軟正黑體" w:hAnsi="微軟正黑體" w:eastAsia="微軟正黑體" w:cs="微軟正黑體"/>
          <w:lang w:val="en-US" w:eastAsia="zh-CN"/>
        </w:rPr>
        <w:t>美术素材、音乐可以使用AI出，风格不纳入考核范围</w:t>
      </w:r>
      <w:r>
        <w:rPr>
          <w:rFonts w:hint="eastAsia" w:ascii="微軟正黑體" w:hAnsi="微軟正黑體" w:eastAsia="微軟正黑體" w:cs="微軟正黑體"/>
          <w:lang w:eastAsia="zh-CN"/>
        </w:rPr>
        <w:t>）</w:t>
      </w:r>
    </w:p>
    <w:p w14:paraId="3D198190">
      <w:pPr>
        <w:pStyle w:val="3"/>
        <w:spacing w:before="200" w:after="10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四、提交材料</w:t>
      </w:r>
    </w:p>
    <w:p w14:paraId="0FB14F53">
      <w:pPr>
        <w:pStyle w:val="14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 xml:space="preserve">完整 Godot </w:t>
      </w:r>
      <w:r>
        <w:rPr>
          <w:rFonts w:hint="eastAsia" w:ascii="微軟正黑體" w:hAnsi="微軟正黑體" w:eastAsia="微軟正黑體" w:cs="微軟正黑體"/>
          <w:lang w:val="en-US" w:eastAsia="zh-CN"/>
        </w:rPr>
        <w:t>Demo</w:t>
      </w:r>
      <w:r>
        <w:rPr>
          <w:rFonts w:hint="eastAsia" w:ascii="微軟正黑體" w:hAnsi="微軟正黑體" w:eastAsia="微軟正黑體" w:cs="微軟正黑體"/>
        </w:rPr>
        <w:t>（</w:t>
      </w:r>
      <w:r>
        <w:rPr>
          <w:rFonts w:hint="eastAsia" w:ascii="微軟正黑體" w:hAnsi="微軟正黑體" w:eastAsia="微軟正黑體" w:cs="微軟正黑體"/>
          <w:lang w:val="en-US" w:eastAsia="zh-CN"/>
        </w:rPr>
        <w:t>打包后可以直接打开</w:t>
      </w:r>
      <w:r>
        <w:rPr>
          <w:rFonts w:hint="eastAsia" w:ascii="微軟正黑體" w:hAnsi="微軟正黑體" w:eastAsia="微軟正黑體" w:cs="微軟正黑體"/>
        </w:rPr>
        <w:t>）。</w:t>
      </w:r>
    </w:p>
    <w:p w14:paraId="693DE865">
      <w:pPr>
        <w:pStyle w:val="14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README（建议不超过 1 页）：Godot 版本、启动方式、操作规则、设计说明、使用的 AI/素材/插件以及已知问题。</w:t>
      </w:r>
    </w:p>
    <w:p w14:paraId="505D605C">
      <w:pPr>
        <w:pStyle w:val="3"/>
        <w:spacing w:before="200" w:after="100"/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五、验收清单与评分维度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35"/>
        <w:gridCol w:w="4263"/>
      </w:tblGrid>
      <w:tr w14:paraId="7ACC5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36" w:type="dxa"/>
            <w:shd w:val="clear" w:color="auto" w:fill="DCE9EC"/>
            <w:vAlign w:val="center"/>
          </w:tcPr>
          <w:p w14:paraId="3C290840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/>
                <w:color w:val="182E47"/>
                <w:sz w:val="18"/>
              </w:rPr>
              <w:t>模块</w:t>
            </w:r>
          </w:p>
        </w:tc>
        <w:tc>
          <w:tcPr>
            <w:tcW w:w="3118" w:type="dxa"/>
            <w:shd w:val="clear" w:color="auto" w:fill="DCE9EC"/>
            <w:vAlign w:val="center"/>
          </w:tcPr>
          <w:p w14:paraId="4B3FAB59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/>
                <w:color w:val="182E47"/>
                <w:sz w:val="18"/>
              </w:rPr>
              <w:t>分值</w:t>
            </w:r>
          </w:p>
        </w:tc>
      </w:tr>
      <w:tr w14:paraId="21D0D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1" w:type="dxa"/>
            <w:vAlign w:val="center"/>
          </w:tcPr>
          <w:p w14:paraId="413CCAE2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可运行与交付</w:t>
            </w:r>
          </w:p>
        </w:tc>
        <w:tc>
          <w:tcPr>
            <w:tcW w:w="4791" w:type="dxa"/>
            <w:vAlign w:val="center"/>
          </w:tcPr>
          <w:p w14:paraId="4F967E9B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10</w:t>
            </w:r>
          </w:p>
        </w:tc>
      </w:tr>
      <w:tr w14:paraId="407F6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1" w:type="dxa"/>
            <w:shd w:val="clear" w:color="auto" w:fill="F5F8FA"/>
            <w:vAlign w:val="center"/>
          </w:tcPr>
          <w:p w14:paraId="331B08BE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剧情选择与提示差异</w:t>
            </w:r>
          </w:p>
        </w:tc>
        <w:tc>
          <w:tcPr>
            <w:tcW w:w="4791" w:type="dxa"/>
            <w:shd w:val="clear" w:color="auto" w:fill="F5F8FA"/>
            <w:vAlign w:val="center"/>
          </w:tcPr>
          <w:p w14:paraId="47CD5255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20</w:t>
            </w:r>
          </w:p>
        </w:tc>
      </w:tr>
      <w:tr w14:paraId="1DD37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1" w:type="dxa"/>
            <w:vAlign w:val="center"/>
          </w:tcPr>
          <w:p w14:paraId="662CC0F6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小游戏规则与状态判定</w:t>
            </w:r>
          </w:p>
        </w:tc>
        <w:tc>
          <w:tcPr>
            <w:tcW w:w="4791" w:type="dxa"/>
            <w:vAlign w:val="center"/>
          </w:tcPr>
          <w:p w14:paraId="10DFCEBE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35</w:t>
            </w:r>
          </w:p>
        </w:tc>
      </w:tr>
      <w:tr w14:paraId="35E6A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1" w:type="dxa"/>
            <w:shd w:val="clear" w:color="auto" w:fill="F5F8FA"/>
            <w:vAlign w:val="center"/>
          </w:tcPr>
          <w:p w14:paraId="20C38828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剧情结局衔接与重新开始</w:t>
            </w:r>
          </w:p>
        </w:tc>
        <w:tc>
          <w:tcPr>
            <w:tcW w:w="4791" w:type="dxa"/>
            <w:shd w:val="clear" w:color="auto" w:fill="F5F8FA"/>
            <w:vAlign w:val="center"/>
          </w:tcPr>
          <w:p w14:paraId="413B2FF8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20</w:t>
            </w:r>
          </w:p>
        </w:tc>
      </w:tr>
      <w:tr w14:paraId="475F6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1" w:type="dxa"/>
            <w:vAlign w:val="center"/>
          </w:tcPr>
          <w:p w14:paraId="7CF16055">
            <w:pPr>
              <w:spacing w:before="40" w:after="40"/>
              <w:rPr>
                <w:rFonts w:hint="eastAsia" w:ascii="微軟正黑體" w:hAnsi="微軟正黑體" w:eastAsia="微軟正黑體" w:cs="微軟正黑體"/>
                <w:lang w:eastAsia="zh-CN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工程结构、稳定性与技术说明</w:t>
            </w: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  <w:lang w:eastAsia="zh-CN"/>
              </w:rPr>
              <w:t>（</w:t>
            </w: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  <w:lang w:val="en-US" w:eastAsia="zh-CN"/>
              </w:rPr>
              <w:t>附带阐述文档</w:t>
            </w: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  <w:lang w:eastAsia="zh-CN"/>
              </w:rPr>
              <w:t>）</w:t>
            </w:r>
          </w:p>
        </w:tc>
        <w:tc>
          <w:tcPr>
            <w:tcW w:w="4791" w:type="dxa"/>
            <w:vAlign w:val="center"/>
          </w:tcPr>
          <w:p w14:paraId="274D1B71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15</w:t>
            </w:r>
          </w:p>
        </w:tc>
      </w:tr>
      <w:tr w14:paraId="26CD2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1" w:type="dxa"/>
            <w:shd w:val="clear" w:color="auto" w:fill="F5F8FA"/>
            <w:vAlign w:val="center"/>
          </w:tcPr>
          <w:p w14:paraId="779BF1A1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合计</w:t>
            </w:r>
          </w:p>
        </w:tc>
        <w:tc>
          <w:tcPr>
            <w:tcW w:w="4791" w:type="dxa"/>
            <w:shd w:val="clear" w:color="auto" w:fill="F5F8FA"/>
            <w:vAlign w:val="center"/>
          </w:tcPr>
          <w:p w14:paraId="564DDA35">
            <w:pPr>
              <w:spacing w:before="40" w:after="40"/>
              <w:rPr>
                <w:rFonts w:hint="eastAsia" w:ascii="微軟正黑體" w:hAnsi="微軟正黑體" w:eastAsia="微軟正黑體" w:cs="微軟正黑體"/>
              </w:rPr>
            </w:pPr>
            <w:r>
              <w:rPr>
                <w:rFonts w:hint="eastAsia" w:ascii="微軟正黑體" w:hAnsi="微軟正黑體" w:eastAsia="微軟正黑體" w:cs="微軟正黑體"/>
                <w:b w:val="0"/>
                <w:color w:val="202A37"/>
                <w:sz w:val="18"/>
              </w:rPr>
              <w:t>100</w:t>
            </w:r>
          </w:p>
        </w:tc>
      </w:tr>
    </w:tbl>
    <w:p w14:paraId="3D5ABF55">
      <w:pPr>
        <w:spacing w:after="0"/>
        <w:rPr>
          <w:rFonts w:hint="eastAsia" w:ascii="微軟正黑體" w:hAnsi="微軟正黑體" w:eastAsia="微軟正黑體" w:cs="微軟正黑體"/>
        </w:rPr>
      </w:pPr>
    </w:p>
    <w:p w14:paraId="0FC42C56">
      <w:pPr>
        <w:rPr>
          <w:rFonts w:hint="eastAsia" w:ascii="微軟正黑體" w:hAnsi="微軟正黑體" w:eastAsia="微軟正黑體" w:cs="微軟正黑體"/>
          <w:lang w:val="en-US" w:eastAsia="zh-CN"/>
        </w:rPr>
      </w:pPr>
      <w:r>
        <w:rPr>
          <w:rFonts w:hint="eastAsia" w:ascii="微軟正黑體" w:hAnsi="微軟正黑體" w:eastAsia="微軟正黑體" w:cs="微軟正黑體"/>
        </w:rPr>
        <w:t>评分依据为功能实测与源工程，不以美术精细度为主要评价依据</w:t>
      </w:r>
      <w:r>
        <w:rPr>
          <w:rFonts w:hint="eastAsia" w:ascii="微軟正黑體" w:hAnsi="微軟正黑體" w:eastAsia="微軟正黑體" w:cs="微軟正黑體"/>
          <w:lang w:eastAsia="zh-CN"/>
        </w:rPr>
        <w:t>（</w:t>
      </w:r>
      <w:r>
        <w:rPr>
          <w:rFonts w:hint="eastAsia" w:ascii="微軟正黑體" w:hAnsi="微軟正黑體" w:eastAsia="微軟正黑體" w:cs="微軟正黑體"/>
          <w:lang w:val="en-US" w:eastAsia="zh-CN"/>
        </w:rPr>
        <w:t>不过美术设计审美也可作为加分项</w:t>
      </w:r>
      <w:r>
        <w:rPr>
          <w:rFonts w:hint="eastAsia" w:ascii="微軟正黑體" w:hAnsi="微軟正黑體" w:eastAsia="微軟正黑體" w:cs="微軟正黑體"/>
          <w:lang w:eastAsia="zh-CN"/>
        </w:rPr>
        <w:t>）</w:t>
      </w:r>
      <w:r>
        <w:rPr>
          <w:rFonts w:hint="eastAsia" w:ascii="微軟正黑體" w:hAnsi="微軟正黑體" w:eastAsia="微軟正黑體" w:cs="微軟正黑體"/>
        </w:rPr>
        <w:t>。鼓励保持实现简洁、可理解，并关注重复游玩时的状态正确性。</w:t>
      </w:r>
      <w:r>
        <w:rPr>
          <w:rFonts w:hint="eastAsia" w:ascii="微軟正黑體" w:hAnsi="微軟正黑體" w:eastAsia="微軟正黑體" w:cs="微軟正黑體"/>
          <w:lang w:val="en-US" w:eastAsia="zh-CN"/>
        </w:rPr>
        <w:t>在完成基础的验收要求后小游戏的创意性和趣味性是加分项。此外，我们需要看到阐述Demo制作流程的说明文档。</w:t>
      </w:r>
      <w:bookmarkStart w:id="0" w:name="_GoBack"/>
      <w:bookmarkEnd w:id="0"/>
    </w:p>
    <w:p w14:paraId="3AF8A659">
      <w:pPr>
        <w:pStyle w:val="14"/>
        <w:numPr>
          <w:ilvl w:val="0"/>
          <w:numId w:val="0"/>
        </w:numPr>
        <w:ind w:leftChars="0"/>
        <w:rPr>
          <w:rFonts w:hint="eastAsia" w:ascii="微軟正黑體" w:hAnsi="微軟正黑體" w:eastAsia="微軟正黑體" w:cs="微軟正黑體"/>
        </w:rPr>
      </w:pPr>
    </w:p>
    <w:p w14:paraId="3767911B">
      <w:pPr>
        <w:spacing w:after="0"/>
        <w:rPr>
          <w:rFonts w:hint="eastAsia" w:ascii="微軟正黑體" w:hAnsi="微軟正黑體" w:eastAsia="微軟正黑體" w:cs="微軟正黑體"/>
        </w:rPr>
      </w:pPr>
    </w:p>
    <w:p w14:paraId="19707CE2">
      <w:pPr>
        <w:spacing w:after="0"/>
        <w:rPr>
          <w:rFonts w:hint="eastAsia" w:ascii="微軟正黑體" w:hAnsi="微軟正黑體" w:eastAsia="微軟正黑體" w:cs="微軟正黑體"/>
        </w:rPr>
      </w:pPr>
    </w:p>
    <w:p w14:paraId="5AACB78F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候选人姓名：</w:t>
      </w:r>
    </w:p>
    <w:p w14:paraId="0D05687C">
      <w:pPr>
        <w:rPr>
          <w:rFonts w:hint="eastAsia" w:ascii="微軟正黑體" w:hAnsi="微軟正黑體" w:eastAsia="微軟正黑體" w:cs="微軟正黑體"/>
        </w:rPr>
      </w:pPr>
      <w:r>
        <w:rPr>
          <w:rFonts w:hint="eastAsia" w:ascii="微軟正黑體" w:hAnsi="微軟正黑體" w:eastAsia="微軟正黑體" w:cs="微軟正黑體"/>
        </w:rPr>
        <w:t>提交日期：</w:t>
      </w:r>
    </w:p>
    <w:sectPr>
      <w:headerReference r:id="rId5" w:type="default"/>
      <w:footerReference r:id="rId6" w:type="default"/>
      <w:pgSz w:w="11906" w:h="16838"/>
      <w:pgMar w:top="1162" w:right="1162" w:bottom="1020" w:left="116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細明體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ＭＳ 明朝">
    <w:altName w:val="Courier Prim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Prime">
    <w:panose1 w:val="02000409000000000000"/>
    <w:charset w:val="00"/>
    <w:family w:val="auto"/>
    <w:pitch w:val="default"/>
    <w:sig w:usb0="A000002F" w:usb1="5000004B" w:usb2="00000000" w:usb3="00000000" w:csb0="20000093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C180AA">
    <w:pPr>
      <w:pStyle w:val="24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6425B6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4C575C"/>
    <w:rsid w:val="115A795F"/>
    <w:rsid w:val="345570AF"/>
    <w:rsid w:val="435E4A2B"/>
    <w:rsid w:val="5ED03AC3"/>
    <w:rsid w:val="786757F9"/>
    <w:rsid w:val="7917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8" w:lineRule="auto"/>
    </w:pPr>
    <w:rPr>
      <w:rFonts w:ascii="Noto Sans CJK SC" w:hAnsi="Noto Sans CJK SC" w:eastAsia="Noto Sans CJK SC" w:cstheme="minorBidi"/>
      <w:color w:val="1C2632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color w:val="182E47"/>
      <w:sz w:val="2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100"/>
      <w:outlineLvl w:val="1"/>
    </w:pPr>
    <w:rPr>
      <w:rFonts w:asciiTheme="majorHAnsi" w:hAnsiTheme="majorHAnsi" w:eastAsiaTheme="majorEastAsia" w:cstheme="majorBidi"/>
      <w:b/>
      <w:bCs/>
      <w:color w:val="0F7678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00" w:after="100"/>
      <w:outlineLvl w:val="2"/>
    </w:pPr>
    <w:rPr>
      <w:rFonts w:asciiTheme="majorHAnsi" w:hAnsiTheme="majorHAnsi" w:eastAsiaTheme="majorEastAsia" w:cstheme="majorBidi"/>
      <w:b/>
      <w:bCs/>
      <w:color w:val="182E47"/>
      <w:sz w:val="2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40"/>
      <w:contextualSpacing/>
    </w:pPr>
    <w:rPr>
      <w:rFonts w:ascii="Noto Sans CJK SC" w:hAnsi="Noto Sans CJK SC"/>
      <w:sz w:val="18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40"/>
      <w:contextualSpacing/>
    </w:pPr>
    <w:rPr>
      <w:rFonts w:ascii="Noto Sans CJK SC" w:hAnsi="Noto Sans CJK SC"/>
      <w:sz w:val="18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00" w:line="240" w:lineRule="auto"/>
      <w:contextualSpacing/>
    </w:pPr>
    <w:rPr>
      <w:rFonts w:asciiTheme="majorHAnsi" w:hAnsiTheme="majorHAnsi" w:eastAsiaTheme="majorEastAsia" w:cstheme="majorBidi"/>
      <w:b/>
      <w:color w:val="182E47"/>
      <w:spacing w:val="5"/>
      <w:kern w:val="28"/>
      <w:sz w:val="3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Text"/>
    <w:qFormat/>
    <w:uiPriority w:val="0"/>
    <w:pPr>
      <w:keepLines w:val="0"/>
      <w:spacing w:before="0" w:after="0" w:line="250" w:lineRule="auto"/>
      <w:ind w:left="142" w:right="57"/>
    </w:pPr>
    <w:rPr>
      <w:rFonts w:ascii="Noto Sans Mono CJK SC" w:hAnsi="Noto Sans Mono CJK SC" w:eastAsia="Noto Sans Mono CJK SC" w:cstheme="minorBidi"/>
      <w:color w:val="1E3945"/>
      <w:sz w:val="15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1139</Words>
  <Characters>1219</Characters>
  <Lines>0</Lines>
  <Paragraphs>0</Paragraphs>
  <TotalTime>4</TotalTime>
  <ScaleCrop>false</ScaleCrop>
  <LinksUpToDate>false</LinksUpToDate>
  <CharactersWithSpaces>1278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战斗少女雪风</cp:lastModifiedBy>
  <dcterms:modified xsi:type="dcterms:W3CDTF">2026-10-13T07:42:03Z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eyJoZGlkIjoiYWM1M2I1MWZhN2VjOWQwN2QxNTI3NTRkMzVjMmQ0ODMiLCJ1c2VySWQiOiIxODA4NzI2MDAwIn0=</vt:lpwstr>
  </property>
  <property fmtid="{D5CDD505-2E9C-101B-9397-08002B2CF9AE}" pid="3" name="KSOProductBuildVer">
    <vt:lpwstr>2052-12.1.0.28505</vt:lpwstr>
  </property>
  <property fmtid="{D5CDD505-2E9C-101B-9397-08002B2CF9AE}" pid="4" name="ICV">
    <vt:lpwstr>30179B0791094AE880F024F0B4C2FA3A_12</vt:lpwstr>
  </property>
</Properties>
</file>