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E8B62">
      <w:pPr>
        <w:pStyle w:val="31"/>
        <w:rPr>
          <w:rFonts w:hint="default" w:ascii="微軟正黑體" w:hAnsi="微軟正黑體" w:eastAsia="SimSun" w:cs="微軟正黑體"/>
          <w:lang w:val="en-US" w:eastAsia="zh-CN"/>
        </w:rPr>
      </w:pPr>
      <w:r>
        <w:rPr>
          <w:rFonts w:hint="eastAsia" w:ascii="微軟正黑體" w:hAnsi="微軟正黑體" w:eastAsia="微軟正黑體" w:cs="微軟正黑體"/>
        </w:rPr>
        <w:t>Godot 游戏开发工程师技术笔试</w:t>
      </w:r>
      <w:r>
        <w:rPr>
          <w:rFonts w:hint="eastAsia" w:ascii="微軟正黑體" w:hAnsi="微軟正黑體" w:eastAsia="SimSun" w:cs="微軟正黑體"/>
          <w:lang w:val="en-US" w:eastAsia="zh-CN"/>
        </w:rPr>
        <w:t xml:space="preserve"> - CGGE(Shenzhen)</w:t>
      </w:r>
    </w:p>
    <w:p w14:paraId="2148A4CC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考生姓名：</w:t>
      </w:r>
      <w:r>
        <w:rPr>
          <w:rFonts w:hint="eastAsia" w:ascii="微軟正黑體" w:hAnsi="微軟正黑體" w:eastAsia="SimSun" w:cs="微軟正黑體"/>
          <w:lang w:val="en-US" w:eastAsia="zh-CN"/>
        </w:rPr>
        <w:t xml:space="preserve">            </w:t>
      </w:r>
      <w:r>
        <w:rPr>
          <w:rFonts w:hint="eastAsia" w:ascii="微軟正黑體" w:hAnsi="微軟正黑體" w:eastAsia="微軟正黑體" w:cs="微軟正黑體"/>
        </w:rPr>
        <w:t xml:space="preserve">    测试日期：</w:t>
      </w:r>
    </w:p>
    <w:p w14:paraId="22F46E9E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答题说明：单选题每题仅选一个答案；代码题使用 GDScript，可分脚本作答；简答题请阐明技术原理与实现思路。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1701"/>
        <w:gridCol w:w="2608"/>
      </w:tblGrid>
      <w:tr w14:paraId="48C5E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0364B"/>
            <w:vAlign w:val="center"/>
          </w:tcPr>
          <w:p w14:paraId="3270E254">
            <w:pPr>
              <w:keepLines/>
              <w:spacing w:after="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color w:val="FFFFFF"/>
                <w:sz w:val="17"/>
              </w:rPr>
              <w:t>考核部分</w:t>
            </w:r>
          </w:p>
        </w:tc>
        <w:tc>
          <w:tcPr>
            <w:tcW w:w="3118" w:type="dxa"/>
            <w:shd w:val="clear" w:color="auto" w:fill="20364B"/>
            <w:vAlign w:val="center"/>
          </w:tcPr>
          <w:p w14:paraId="37A2EE85">
            <w:pPr>
              <w:keepLines/>
              <w:spacing w:after="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color w:val="FFFFFF"/>
                <w:sz w:val="17"/>
              </w:rPr>
              <w:t>题量</w:t>
            </w:r>
          </w:p>
        </w:tc>
        <w:tc>
          <w:tcPr>
            <w:tcW w:w="3118" w:type="dxa"/>
            <w:shd w:val="clear" w:color="auto" w:fill="20364B"/>
            <w:vAlign w:val="center"/>
          </w:tcPr>
          <w:p w14:paraId="3560F12A">
            <w:pPr>
              <w:keepLines/>
              <w:spacing w:after="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color w:val="FFFFFF"/>
                <w:sz w:val="17"/>
              </w:rPr>
              <w:t>分值</w:t>
            </w:r>
          </w:p>
        </w:tc>
      </w:tr>
      <w:tr w14:paraId="54A8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CDD69EB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一、单选题</w:t>
            </w:r>
          </w:p>
        </w:tc>
        <w:tc>
          <w:tcPr>
            <w:tcW w:w="1701" w:type="dxa"/>
            <w:vAlign w:val="center"/>
          </w:tcPr>
          <w:p w14:paraId="58BC8B48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5</w:t>
            </w:r>
          </w:p>
        </w:tc>
        <w:tc>
          <w:tcPr>
            <w:tcW w:w="2608" w:type="dxa"/>
            <w:vAlign w:val="center"/>
          </w:tcPr>
          <w:p w14:paraId="737CC2E1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25</w:t>
            </w:r>
          </w:p>
        </w:tc>
      </w:tr>
      <w:tr w14:paraId="13D47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6F9FB"/>
            <w:vAlign w:val="center"/>
          </w:tcPr>
          <w:p w14:paraId="42CDF5AB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二、填空与简答</w:t>
            </w:r>
          </w:p>
        </w:tc>
        <w:tc>
          <w:tcPr>
            <w:tcW w:w="1701" w:type="dxa"/>
            <w:shd w:val="clear" w:color="auto" w:fill="F6F9FB"/>
            <w:vAlign w:val="center"/>
          </w:tcPr>
          <w:p w14:paraId="0A11891E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3</w:t>
            </w:r>
          </w:p>
        </w:tc>
        <w:tc>
          <w:tcPr>
            <w:tcW w:w="2608" w:type="dxa"/>
            <w:shd w:val="clear" w:color="auto" w:fill="F6F9FB"/>
            <w:vAlign w:val="center"/>
          </w:tcPr>
          <w:p w14:paraId="57061D03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30</w:t>
            </w:r>
          </w:p>
        </w:tc>
      </w:tr>
      <w:tr w14:paraId="22CA4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1AAFB3B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三、算法与架构设计</w:t>
            </w:r>
          </w:p>
        </w:tc>
        <w:tc>
          <w:tcPr>
            <w:tcW w:w="1701" w:type="dxa"/>
            <w:vAlign w:val="center"/>
          </w:tcPr>
          <w:p w14:paraId="7C9D177C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2</w:t>
            </w:r>
          </w:p>
        </w:tc>
        <w:tc>
          <w:tcPr>
            <w:tcW w:w="2608" w:type="dxa"/>
            <w:vAlign w:val="center"/>
          </w:tcPr>
          <w:p w14:paraId="76200752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30</w:t>
            </w:r>
          </w:p>
        </w:tc>
      </w:tr>
      <w:tr w14:paraId="3E67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6F9FB"/>
            <w:vAlign w:val="center"/>
          </w:tcPr>
          <w:p w14:paraId="524A800F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四、综合场景分析</w:t>
            </w:r>
          </w:p>
        </w:tc>
        <w:tc>
          <w:tcPr>
            <w:tcW w:w="1701" w:type="dxa"/>
            <w:shd w:val="clear" w:color="auto" w:fill="F6F9FB"/>
            <w:vAlign w:val="center"/>
          </w:tcPr>
          <w:p w14:paraId="1A5C09FC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1</w:t>
            </w:r>
          </w:p>
        </w:tc>
        <w:tc>
          <w:tcPr>
            <w:tcW w:w="2608" w:type="dxa"/>
            <w:shd w:val="clear" w:color="auto" w:fill="F6F9FB"/>
            <w:vAlign w:val="center"/>
          </w:tcPr>
          <w:p w14:paraId="5C157F4C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15</w:t>
            </w:r>
          </w:p>
        </w:tc>
      </w:tr>
      <w:tr w14:paraId="23F31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249766F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合计</w:t>
            </w:r>
          </w:p>
        </w:tc>
        <w:tc>
          <w:tcPr>
            <w:tcW w:w="1701" w:type="dxa"/>
            <w:vAlign w:val="center"/>
          </w:tcPr>
          <w:p w14:paraId="4E4E2596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11</w:t>
            </w:r>
          </w:p>
        </w:tc>
        <w:tc>
          <w:tcPr>
            <w:tcW w:w="2608" w:type="dxa"/>
            <w:vAlign w:val="center"/>
          </w:tcPr>
          <w:p w14:paraId="3A48E49D">
            <w:pPr>
              <w:keepLines/>
              <w:spacing w:before="20" w:after="2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sz w:val="18"/>
              </w:rPr>
              <w:t>100</w:t>
            </w:r>
          </w:p>
        </w:tc>
      </w:tr>
    </w:tbl>
    <w:p w14:paraId="0F1C97F1">
      <w:pPr>
        <w:pStyle w:val="3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一、单选题（每题 5 分，共 25 分）</w:t>
      </w:r>
    </w:p>
    <w:p w14:paraId="44966257">
      <w:pPr>
        <w:pStyle w:val="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 xml:space="preserve">1.  内存管理  </w:t>
      </w:r>
      <w:r>
        <w:rPr>
          <w:rFonts w:hint="eastAsia" w:ascii="微軟正黑體" w:hAnsi="微軟正黑體" w:eastAsia="微軟正黑體" w:cs="微軟正黑體"/>
          <w:color w:val="687786"/>
          <w:sz w:val="18"/>
        </w:rPr>
        <w:t>（5 分）</w:t>
      </w:r>
    </w:p>
    <w:p w14:paraId="194E7258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在 Godot 4.x 中，以下关于内存管理的描述，错误的是哪一项？</w:t>
      </w:r>
    </w:p>
    <w:p w14:paraId="4370CA21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A. 继承自 RefCounted 的类（如 Resource）主要由引用计数管理生命周期。</w:t>
      </w:r>
    </w:p>
    <w:p w14:paraId="289C972B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B. Node 不通过引用计数自动回收，可以在其所属父节点释放时连带销毁，也可以调用 queue_free() 或 free() 释放。</w:t>
      </w:r>
    </w:p>
    <w:p w14:paraId="1DBFD125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C. queue_free() 通常在当前帧末安全删除节点；free() 会立即释放对象。</w:t>
      </w:r>
    </w:p>
    <w:p w14:paraId="627C9E3B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D. 只要一个 Node 通过 remove_child() 从场景树移除，它就会被自动垃圾回收。</w:t>
      </w:r>
    </w:p>
    <w:p w14:paraId="67FD3F5C">
      <w:pPr>
        <w:pStyle w:val="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 xml:space="preserve">2.  工作线程与异步计算  </w:t>
      </w:r>
      <w:r>
        <w:rPr>
          <w:rFonts w:hint="eastAsia" w:ascii="微軟正黑體" w:hAnsi="微軟正黑體" w:eastAsia="微軟正黑體" w:cs="微軟正黑體"/>
          <w:color w:val="687786"/>
          <w:sz w:val="18"/>
        </w:rPr>
        <w:t>（5 分）</w:t>
      </w:r>
    </w:p>
    <w:p w14:paraId="5E7DEC46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需要将耗时的独立计算提交给 Godot 4.x 的内置工作线程池执行，以避免主线程直接执行该计算。以下哪项是正确的提交 API？</w:t>
      </w:r>
    </w:p>
    <w:p w14:paraId="2F47C067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A. Thread.new().start()</w:t>
      </w:r>
    </w:p>
    <w:p w14:paraId="20EDD91E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B. WorkerThreadPool.add_task(my_callable)</w:t>
      </w:r>
    </w:p>
    <w:p w14:paraId="046AD453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C. get_tree().create_timer(0.1)</w:t>
      </w:r>
    </w:p>
    <w:p w14:paraId="19BCC592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D. yield()</w:t>
      </w:r>
    </w:p>
    <w:p w14:paraId="549F1215">
      <w:pPr>
        <w:pStyle w:val="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 xml:space="preserve">3.  节点生命周期  </w:t>
      </w:r>
      <w:r>
        <w:rPr>
          <w:rFonts w:hint="eastAsia" w:ascii="微軟正黑體" w:hAnsi="微軟正黑體" w:eastAsia="微軟正黑體" w:cs="微軟正黑體"/>
          <w:color w:val="687786"/>
          <w:sz w:val="18"/>
        </w:rPr>
        <w:t>（5 分）</w:t>
      </w:r>
    </w:p>
    <w:p w14:paraId="3E5DD853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当一个节点对象被创建并加入场景树，以下三个生命周期回调的正常触发顺序是：</w:t>
      </w:r>
    </w:p>
    <w:p w14:paraId="19C4B512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A. _init() → _enter_tree() → _ready()</w:t>
      </w:r>
    </w:p>
    <w:p w14:paraId="0DBD3F09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B. _ready() → _init() → _enter_tree()</w:t>
      </w:r>
    </w:p>
    <w:p w14:paraId="47929958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C. _enter_tree() → _init() → _ready()</w:t>
      </w:r>
    </w:p>
    <w:p w14:paraId="2D380F6C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D. _init() → _ready() → _enter_tree()</w:t>
      </w:r>
    </w:p>
    <w:p w14:paraId="12C9E5FB">
      <w:pPr>
        <w:pStyle w:val="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 xml:space="preserve">4.  大规模对象优化  </w:t>
      </w:r>
      <w:r>
        <w:rPr>
          <w:rFonts w:hint="eastAsia" w:ascii="微軟正黑體" w:hAnsi="微軟正黑體" w:eastAsia="微軟正黑體" w:cs="微軟正黑體"/>
          <w:color w:val="687786"/>
          <w:sz w:val="18"/>
        </w:rPr>
        <w:t>（5 分）</w:t>
      </w:r>
    </w:p>
    <w:p w14:paraId="5C2A0FC7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某弹幕游戏需要更新和渲染数千个具有简单运动与碰撞逻辑的对象。Profiler 已确认：大量 Node 管理和高层物理对象开销构成主要瓶颈。以下哪种方案更适合进一步降低这类开销？</w:t>
      </w:r>
    </w:p>
    <w:p w14:paraId="1D2DDBFF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A. 通过 TileMap 的层级组织所有动态对象。</w:t>
      </w:r>
    </w:p>
    <w:p w14:paraId="7AFAB5D2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B. 使用 RenderingServer 与 PhysicsServer2D 的底层接口组织批量对象。</w:t>
      </w:r>
    </w:p>
    <w:p w14:paraId="2A197CA9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C. 将全部敌人的图片合成为一张静态背景图。</w:t>
      </w:r>
    </w:p>
    <w:p w14:paraId="05E0A656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D. 仅将 Thread Model 改为多线程渲染。</w:t>
      </w:r>
    </w:p>
    <w:p w14:paraId="72730B8E">
      <w:pPr>
        <w:pStyle w:val="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 xml:space="preserve">5.  Signal 连接语法  </w:t>
      </w:r>
      <w:r>
        <w:rPr>
          <w:rFonts w:hint="eastAsia" w:ascii="微軟正黑體" w:hAnsi="微軟正黑體" w:eastAsia="微軟正黑體" w:cs="微軟正黑體"/>
          <w:color w:val="687786"/>
          <w:sz w:val="18"/>
        </w:rPr>
        <w:t>（5 分）</w:t>
      </w:r>
    </w:p>
    <w:p w14:paraId="2F647C84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在 Godot 4.x 中，下列哪一段属于正确、常用的 Button pressed 信号连接语法？</w:t>
      </w:r>
    </w:p>
    <w:p w14:paraId="67D11517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A. button.connect("pressed", self, "_on_button_pressed")</w:t>
      </w:r>
    </w:p>
    <w:p w14:paraId="0322FE04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B. button.pressed.connect(_on_button_pressed)</w:t>
      </w:r>
    </w:p>
    <w:p w14:paraId="62FE1052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C. button.connect_signal("pressed", _on_button_pressed)</w:t>
      </w:r>
    </w:p>
    <w:p w14:paraId="774D334F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D. button.pressed = _on_button_pressed</w:t>
      </w:r>
    </w:p>
    <w:p w14:paraId="5911B116">
      <w:pPr>
        <w:pStyle w:val="3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二、填空与简答题（每题 10 分，共 30 分）</w:t>
      </w:r>
    </w:p>
    <w:p w14:paraId="6E4A9BAC">
      <w:pPr>
        <w:pStyle w:val="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 xml:space="preserve">6.  自定义资源注册（填空）  </w:t>
      </w:r>
      <w:r>
        <w:rPr>
          <w:rFonts w:hint="eastAsia" w:ascii="微軟正黑體" w:hAnsi="微軟正黑體" w:eastAsia="微軟正黑體" w:cs="微軟正黑體"/>
          <w:color w:val="687786"/>
          <w:sz w:val="18"/>
        </w:rPr>
        <w:t>（10 分）</w:t>
      </w:r>
    </w:p>
    <w:p w14:paraId="189C1AF3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如果一个 GDScript 脚本已继承 Resource，要将它注册为编辑器中可直接选择并新建的自定义资源类型，应使用的关键字是：____________________。</w:t>
      </w:r>
    </w:p>
    <w:p w14:paraId="3B7131DD">
      <w:pPr>
        <w:pStyle w:val="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 xml:space="preserve">7.  帧更新与物理更新  </w:t>
      </w:r>
      <w:r>
        <w:rPr>
          <w:rFonts w:hint="eastAsia" w:ascii="微軟正黑體" w:hAnsi="微軟正黑體" w:eastAsia="微軟正黑體" w:cs="微軟正黑體"/>
          <w:color w:val="687786"/>
          <w:sz w:val="18"/>
        </w:rPr>
        <w:t>（10 分）</w:t>
      </w:r>
    </w:p>
    <w:p w14:paraId="5ABF1B64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请简述 _process(delta) 和 _physics_process(delta) 的调用时机与主要用途，并说明 CharacterBody2D 的物理运动和碰撞相关逻辑为何通常应放在后者中。回答时请考虑 delta 与不同帧率下运动结果的关系。</w:t>
      </w:r>
    </w:p>
    <w:p w14:paraId="214E3508">
      <w:pPr>
        <w:pStyle w:val="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 xml:space="preserve">8.  Node.propagate_call() 的行为  </w:t>
      </w:r>
      <w:r>
        <w:rPr>
          <w:rFonts w:hint="eastAsia" w:ascii="微軟正黑體" w:hAnsi="微軟正黑體" w:eastAsia="微軟正黑體" w:cs="微軟正黑體"/>
          <w:color w:val="687786"/>
          <w:sz w:val="18"/>
        </w:rPr>
        <w:t>（10 分）</w:t>
      </w:r>
    </w:p>
    <w:p w14:paraId="0664AA30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当某个节点调用 propagate_call("method_name") 时，调用范围与执行顺序是什么？请说明 parent_first 参数的作用，以及与向父节点传播的区别。</w:t>
      </w:r>
    </w:p>
    <w:p w14:paraId="5E2FF6B4">
      <w:pPr>
        <w:pStyle w:val="3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三、算法与架构设计题（每题 15 分，共 30 分）</w:t>
      </w:r>
    </w:p>
    <w:p w14:paraId="6A61F30A">
      <w:pPr>
        <w:pStyle w:val="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 xml:space="preserve">9.  简易背包系统的 Resource 持久化  </w:t>
      </w:r>
      <w:r>
        <w:rPr>
          <w:rFonts w:hint="eastAsia" w:ascii="微軟正黑體" w:hAnsi="微軟正黑體" w:eastAsia="微軟正黑體" w:cs="微軟正黑體"/>
          <w:color w:val="687786"/>
          <w:sz w:val="18"/>
        </w:rPr>
        <w:t>（15 分）</w:t>
      </w:r>
    </w:p>
    <w:p w14:paraId="289FC1A1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请用 GDScript 设计一个单机 RPG 的简易背包保存功能：</w:t>
      </w:r>
    </w:p>
    <w:p w14:paraId="1E662324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定义名为 InventoryItem 的自定义 Resource，包含物品 ID（int）、数量（int）和名称（String）。</w:t>
      </w:r>
    </w:p>
    <w:p w14:paraId="16633448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设计能够容纳多个 InventoryItem 的背包数据结构。</w:t>
      </w:r>
    </w:p>
    <w:p w14:paraId="6984D7B0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编写管理脚本，通过 ResourceSaver 将完整背包保存到 user://inventory.tres。</w:t>
      </w:r>
    </w:p>
    <w:p w14:paraId="2D755BD6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简要说明读取方式或保存失败时的处理方式。</w:t>
      </w:r>
    </w:p>
    <w:p w14:paraId="05E08010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要求：保存的是完整背包，不能只保存一个物品；可拆分为多个脚本，并写出必要的 GDScript 代码。</w:t>
      </w:r>
    </w:p>
    <w:p w14:paraId="60722E32">
      <w:pPr>
        <w:rPr>
          <w:rFonts w:hint="eastAsia" w:ascii="微軟正黑體" w:hAnsi="微軟正黑體" w:eastAsia="微軟正黑體" w:cs="微軟正黑體"/>
        </w:rPr>
      </w:pPr>
    </w:p>
    <w:p w14:paraId="7FFC81DE">
      <w:pPr>
        <w:rPr>
          <w:rFonts w:hint="eastAsia" w:ascii="微軟正黑體" w:hAnsi="微軟正黑體" w:eastAsia="微軟正黑體" w:cs="微軟正黑體"/>
        </w:rPr>
      </w:pPr>
    </w:p>
    <w:p w14:paraId="6479F7E6">
      <w:pPr>
        <w:rPr>
          <w:rFonts w:hint="eastAsia" w:ascii="微軟正黑體" w:hAnsi="微軟正黑體" w:eastAsia="微軟正黑體" w:cs="微軟正黑體"/>
        </w:rPr>
      </w:pPr>
    </w:p>
    <w:p w14:paraId="2DE77596">
      <w:pPr>
        <w:rPr>
          <w:rFonts w:hint="eastAsia" w:ascii="微軟正黑體" w:hAnsi="微軟正黑體" w:eastAsia="微軟正黑體" w:cs="微軟正黑體"/>
        </w:rPr>
      </w:pPr>
    </w:p>
    <w:p w14:paraId="58802DCF">
      <w:pPr>
        <w:rPr>
          <w:rFonts w:hint="eastAsia" w:ascii="微軟正黑體" w:hAnsi="微軟正黑體" w:eastAsia="微軟正黑體" w:cs="微軟正黑體"/>
        </w:rPr>
      </w:pPr>
    </w:p>
    <w:p w14:paraId="4E6105BC">
      <w:pPr>
        <w:pStyle w:val="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 xml:space="preserve">10.  通用子弹对象池（Object Pool）  </w:t>
      </w:r>
      <w:r>
        <w:rPr>
          <w:rFonts w:hint="eastAsia" w:ascii="微軟正黑體" w:hAnsi="微軟正黑體" w:eastAsia="微軟正黑體" w:cs="微軟正黑體"/>
          <w:color w:val="687786"/>
          <w:sz w:val="18"/>
        </w:rPr>
        <w:t>（15 分）</w:t>
      </w:r>
    </w:p>
    <w:p w14:paraId="49FB970B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某射击游戏频繁创建与销毁子弹导致卡顿。请使用 GDScript 编写一个可复用的对象池管理器，包含以下要求：</w:t>
      </w:r>
    </w:p>
    <w:p w14:paraId="52A01F56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可以配置 PackedScene 子弹场景；对象不足时实例化新的子弹。</w:t>
      </w:r>
    </w:p>
    <w:p w14:paraId="7779553E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提供 get_bullet() 获取可用子弹与 return_bullet(bullet) 回收子弹。</w:t>
      </w:r>
    </w:p>
    <w:p w14:paraId="0975BC70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回收对象可以被再次使用；重新获取时需恢复必要运行状态。</w:t>
      </w:r>
    </w:p>
    <w:p w14:paraId="7ABCD317">
      <w:pPr>
        <w:pStyle w:val="16"/>
        <w:spacing w:after="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说明如何避免重复回收，并处理可见性、碰撞或运动状态的残留。</w:t>
      </w:r>
    </w:p>
    <w:p w14:paraId="1D71E4E3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可以假定子弹场景具有必要的节点与脚本；请说明你与子弹脚本约定的重置接口。</w:t>
      </w:r>
    </w:p>
    <w:p w14:paraId="02CD3584">
      <w:pPr>
        <w:rPr>
          <w:rFonts w:hint="eastAsia" w:ascii="微軟正黑體" w:hAnsi="微軟正黑體" w:eastAsia="微軟正黑體" w:cs="微軟正黑體"/>
        </w:rPr>
      </w:pPr>
    </w:p>
    <w:p w14:paraId="3CD17B45">
      <w:pPr>
        <w:rPr>
          <w:rFonts w:hint="eastAsia" w:ascii="微軟正黑體" w:hAnsi="微軟正黑體" w:eastAsia="微軟正黑體" w:cs="微軟正黑體"/>
        </w:rPr>
      </w:pPr>
    </w:p>
    <w:p w14:paraId="268E53C1">
      <w:pPr>
        <w:rPr>
          <w:rFonts w:hint="eastAsia" w:ascii="微軟正黑體" w:hAnsi="微軟正黑體" w:eastAsia="微軟正黑體" w:cs="微軟正黑體"/>
        </w:rPr>
      </w:pPr>
    </w:p>
    <w:p w14:paraId="20F7D1CC">
      <w:pPr>
        <w:rPr>
          <w:rFonts w:hint="eastAsia" w:ascii="微軟正黑體" w:hAnsi="微軟正黑體" w:eastAsia="微軟正黑體" w:cs="微軟正黑體"/>
        </w:rPr>
      </w:pPr>
    </w:p>
    <w:p w14:paraId="1499AC4C">
      <w:pPr>
        <w:rPr>
          <w:rFonts w:hint="eastAsia" w:ascii="微軟正黑體" w:hAnsi="微軟正黑體" w:eastAsia="微軟正黑體" w:cs="微軟正黑體"/>
        </w:rPr>
      </w:pPr>
    </w:p>
    <w:p w14:paraId="58E43706">
      <w:pPr>
        <w:rPr>
          <w:rFonts w:hint="eastAsia" w:ascii="微軟正黑體" w:hAnsi="微軟正黑體" w:eastAsia="微軟正黑體" w:cs="微軟正黑體"/>
        </w:rPr>
      </w:pPr>
    </w:p>
    <w:p w14:paraId="1464896C">
      <w:pPr>
        <w:pStyle w:val="3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四、综合场景分析题（15 分）</w:t>
      </w:r>
    </w:p>
    <w:p w14:paraId="6A20A4C1">
      <w:pPr>
        <w:pStyle w:val="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 xml:space="preserve">11.  500 个商贩 NPC 的性能问题  </w:t>
      </w:r>
      <w:r>
        <w:rPr>
          <w:rFonts w:hint="eastAsia" w:ascii="微軟正黑體" w:hAnsi="微軟正黑體" w:eastAsia="微軟正黑體" w:cs="微軟正黑體"/>
          <w:color w:val="687786"/>
          <w:sz w:val="18"/>
        </w:rPr>
        <w:t>（15 分）</w:t>
      </w:r>
    </w:p>
    <w:p w14:paraId="50DC2766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【场景】一张大地图上有 500 个商贩 NPC。每个 NPC 每隔 3 秒要在本地计算一次随机贸易价格，并根据结果更新头顶的 UI 文本。游戏移动端上线后出现频繁的短时卡顿（Jank / Stutter）。</w:t>
      </w:r>
    </w:p>
    <w:p w14:paraId="4A32E4D4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请作为 Godot 开发工程师，指出至少 3 个可能的性能瓶颈，并针对每个瓶颈提出具体、可执行的 Godot 优化方案。若有必要，可补充你将如何使用 Godot 调试/性能分析工具验证判断。</w:t>
      </w:r>
    </w:p>
    <w:p w14:paraId="5C345F83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作答提醒：以具体问题、优化机制及其适用条件为主，允许合理的替代方案。</w:t>
      </w:r>
    </w:p>
    <w:p w14:paraId="72035934">
      <w:pPr>
        <w:rPr>
          <w:rFonts w:hint="eastAsia" w:ascii="微軟正黑體" w:hAnsi="微軟正黑體" w:eastAsia="微軟正黑體" w:cs="微軟正黑體"/>
        </w:rPr>
      </w:pPr>
    </w:p>
    <w:p w14:paraId="439E1029">
      <w:pPr>
        <w:rPr>
          <w:rFonts w:hint="eastAsia" w:ascii="微軟正黑體" w:hAnsi="微軟正黑體" w:eastAsia="微軟正黑體" w:cs="微軟正黑體"/>
        </w:rPr>
      </w:pPr>
    </w:p>
    <w:p w14:paraId="7CA69A24">
      <w:pPr>
        <w:rPr>
          <w:rFonts w:hint="eastAsia" w:ascii="微軟正黑體" w:hAnsi="微軟正黑體" w:eastAsia="微軟正黑體" w:cs="微軟正黑體"/>
        </w:rPr>
      </w:pPr>
    </w:p>
    <w:p w14:paraId="2C109B4E">
      <w:pPr>
        <w:rPr>
          <w:rFonts w:hint="eastAsia" w:ascii="微軟正黑體" w:hAnsi="微軟正黑體" w:eastAsia="微軟正黑體" w:cs="微軟正黑體"/>
        </w:rPr>
      </w:pPr>
    </w:p>
    <w:p w14:paraId="12496D9C">
      <w:pPr>
        <w:rPr>
          <w:rFonts w:hint="eastAsia" w:ascii="微軟正黑體" w:hAnsi="微軟正黑體" w:eastAsia="微軟正黑體" w:cs="微軟正黑體"/>
        </w:rPr>
      </w:pPr>
    </w:p>
    <w:p w14:paraId="6D3AA492">
      <w:pPr>
        <w:rPr>
          <w:rFonts w:hint="eastAsia" w:ascii="微軟正黑體" w:hAnsi="微軟正黑體" w:eastAsia="微軟正黑體" w:cs="微軟正黑體"/>
        </w:rPr>
      </w:pPr>
    </w:p>
    <w:p w14:paraId="29E12A74">
      <w:pPr>
        <w:rPr>
          <w:rFonts w:hint="eastAsia" w:ascii="微軟正黑體" w:hAnsi="微軟正黑體" w:eastAsia="微軟正黑體" w:cs="微軟正黑體"/>
        </w:rPr>
      </w:pPr>
    </w:p>
    <w:p w14:paraId="042C8C09">
      <w:pPr>
        <w:rPr>
          <w:rFonts w:hint="eastAsia" w:ascii="微軟正黑體" w:hAnsi="微軟正黑體" w:eastAsia="微軟正黑體" w:cs="微軟正黑體"/>
        </w:rPr>
      </w:pPr>
    </w:p>
    <w:p w14:paraId="28E7F3E8">
      <w:pPr>
        <w:rPr>
          <w:rFonts w:hint="eastAsia" w:ascii="微軟正黑體" w:hAnsi="微軟正黑體" w:eastAsia="微軟正黑體" w:cs="微軟正黑體"/>
        </w:rPr>
      </w:pPr>
    </w:p>
    <w:p w14:paraId="44C5C052">
      <w:pPr>
        <w:rPr>
          <w:rFonts w:hint="eastAsia" w:ascii="微軟正黑體" w:hAnsi="微軟正黑體" w:eastAsia="微軟正黑體" w:cs="微軟正黑體"/>
        </w:rPr>
      </w:pPr>
    </w:p>
    <w:p w14:paraId="04721714">
      <w:pPr>
        <w:rPr>
          <w:rFonts w:hint="eastAsia" w:ascii="微軟正黑體" w:hAnsi="微軟正黑體" w:eastAsia="微軟正黑體" w:cs="微軟正黑體"/>
        </w:rPr>
      </w:pPr>
    </w:p>
    <w:p w14:paraId="6159032F">
      <w:pPr>
        <w:rPr>
          <w:rFonts w:hint="eastAsia" w:ascii="微軟正黑體" w:hAnsi="微軟正黑體" w:eastAsia="微軟正黑體" w:cs="微軟正黑體"/>
        </w:rPr>
      </w:pPr>
    </w:p>
    <w:p w14:paraId="324E0177">
      <w:pPr>
        <w:rPr>
          <w:rFonts w:hint="eastAsia" w:ascii="微軟正黑體" w:hAnsi="微軟正黑體" w:eastAsia="微軟正黑體" w:cs="微軟正黑體"/>
        </w:rPr>
      </w:pPr>
    </w:p>
    <w:p w14:paraId="58478AF0">
      <w:pPr>
        <w:rPr>
          <w:rFonts w:hint="eastAsia" w:ascii="微軟正黑體" w:hAnsi="微軟正黑體" w:eastAsia="微軟正黑體" w:cs="微軟正黑體"/>
        </w:rPr>
      </w:pPr>
    </w:p>
    <w:p w14:paraId="7F6CC93A">
      <w:pPr>
        <w:rPr>
          <w:rFonts w:hint="eastAsia" w:ascii="微軟正黑體" w:hAnsi="微軟正黑體" w:eastAsia="微軟正黑體" w:cs="微軟正黑體"/>
        </w:rPr>
      </w:pPr>
    </w:p>
    <w:p w14:paraId="38BA2401">
      <w:pPr>
        <w:rPr>
          <w:rFonts w:hint="eastAsia" w:ascii="微軟正黑體" w:hAnsi="微軟正黑體" w:eastAsia="微軟正黑體" w:cs="微軟正黑體"/>
        </w:rPr>
      </w:pPr>
    </w:p>
    <w:p w14:paraId="735EC556">
      <w:pPr>
        <w:rPr>
          <w:rFonts w:hint="eastAsia" w:ascii="微軟正黑體" w:hAnsi="微軟正黑體" w:eastAsia="微軟正黑體" w:cs="微軟正黑體"/>
        </w:rPr>
      </w:pPr>
    </w:p>
    <w:p w14:paraId="5D599F99">
      <w:pPr>
        <w:rPr>
          <w:rFonts w:hint="eastAsia" w:ascii="微軟正黑體" w:hAnsi="微軟正黑體" w:eastAsia="微軟正黑體" w:cs="微軟正黑體"/>
        </w:rPr>
      </w:pPr>
    </w:p>
    <w:p w14:paraId="750A730D">
      <w:pPr>
        <w:rPr>
          <w:rFonts w:hint="eastAsia" w:ascii="微軟正黑體" w:hAnsi="微軟正黑體" w:eastAsia="微軟正黑體" w:cs="微軟正黑體"/>
        </w:rPr>
      </w:pPr>
      <w:bookmarkStart w:id="0" w:name="_GoBack"/>
      <w:bookmarkEnd w:id="0"/>
    </w:p>
    <w:p w14:paraId="62EE0634">
      <w:pPr>
        <w:rPr>
          <w:rFonts w:hint="eastAsia" w:ascii="微軟正黑體" w:hAnsi="微軟正黑體" w:eastAsia="微軟正黑體" w:cs="微軟正黑體"/>
        </w:rPr>
      </w:pPr>
    </w:p>
    <w:p w14:paraId="0991B24B">
      <w:pPr>
        <w:jc w:val="center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  <w:b/>
          <w:color w:val="687786"/>
          <w:sz w:val="18"/>
        </w:rPr>
        <w:t>—— 试卷结束 ——</w:t>
      </w:r>
    </w:p>
    <w:sectPr>
      <w:headerReference r:id="rId5" w:type="default"/>
      <w:footerReference r:id="rId6" w:type="default"/>
      <w:pgSz w:w="11906" w:h="16838"/>
      <w:pgMar w:top="1162" w:right="1247" w:bottom="1049" w:left="1304" w:header="539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ＭＳ 明朝">
    <w:altName w:val="Courier Prim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Prime">
    <w:panose1 w:val="02000409000000000000"/>
    <w:charset w:val="00"/>
    <w:family w:val="auto"/>
    <w:pitch w:val="default"/>
    <w:sig w:usb0="A000002F" w:usb1="5000004B" w:usb2="00000000" w:usb3="00000000" w:csb0="20000093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74627">
    <w:pPr>
      <w:pStyle w:val="24"/>
      <w:jc w:val="center"/>
    </w:pPr>
    <w:r>
      <w:rPr>
        <w:rFonts w:ascii="Noto Sans CJK SC" w:hAnsi="Noto Sans CJK SC" w:eastAsia="Noto Sans CJK SC"/>
        <w:color w:val="687786"/>
        <w:sz w:val="16"/>
      </w:rPr>
      <w:t xml:space="preserve">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BD8CD">
    <w:pPr>
      <w:pStyle w:val="25"/>
      <w:spacing w:after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587B83"/>
    <w:rsid w:val="117D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3" w:lineRule="auto"/>
    </w:pPr>
    <w:rPr>
      <w:rFonts w:ascii="Noto Sans CJK SC" w:hAnsi="Noto Sans CJK SC" w:eastAsia="Noto Sans CJK SC" w:cstheme="minorBidi"/>
      <w:color w:val="243442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40"/>
      <w:outlineLvl w:val="0"/>
    </w:pPr>
    <w:rPr>
      <w:rFonts w:asciiTheme="majorHAnsi" w:hAnsiTheme="majorHAnsi" w:eastAsiaTheme="majorEastAsia" w:cstheme="majorBidi"/>
      <w:b/>
      <w:bCs/>
      <w:color w:val="20364B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1F7A83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20364B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20364B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ox"/>
    <w:uiPriority w:val="0"/>
    <w:pPr>
      <w:spacing w:after="0" w:line="271" w:lineRule="auto"/>
    </w:pPr>
    <w:rPr>
      <w:rFonts w:ascii="DejaVu Sans Mono" w:hAnsi="DejaVu Sans Mono" w:eastAsia="Noto Sans CJK SC" w:cstheme="minorBidi"/>
      <w:color w:val="20334A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1443</Words>
  <Characters>2410</Characters>
  <Lines>0</Lines>
  <Paragraphs>0</Paragraphs>
  <TotalTime>1</TotalTime>
  <ScaleCrop>false</ScaleCrop>
  <LinksUpToDate>false</LinksUpToDate>
  <CharactersWithSpaces>2644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战斗少女雪风</cp:lastModifiedBy>
  <dcterms:modified xsi:type="dcterms:W3CDTF">2026-10-10T10:16:11Z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eyJoZGlkIjoiYWM1M2I1MWZhN2VjOWQwN2QxNTI3NTRkMzVjMmQ0ODMiLCJ1c2VySWQiOiIxODA4NzI2MDAwIn0=</vt:lpwstr>
  </property>
  <property fmtid="{D5CDD505-2E9C-101B-9397-08002B2CF9AE}" pid="3" name="KSOProductBuildVer">
    <vt:lpwstr>2052-12.1.0.28505</vt:lpwstr>
  </property>
  <property fmtid="{D5CDD505-2E9C-101B-9397-08002B2CF9AE}" pid="4" name="ICV">
    <vt:lpwstr>1848C378FDCD4EC7A60E9F615121E244_12</vt:lpwstr>
  </property>
</Properties>
</file>