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029F6">
      <w:pPr>
        <w:spacing w:before="480" w:after="480" w:line="288" w:lineRule="auto"/>
        <w:ind w:left="0" w:leftChars="0"/>
        <w:jc w:val="center"/>
        <w:outlineLvl w:val="0"/>
        <w:rPr>
          <w:rFonts w:ascii="Arial" w:hAnsi="Arial" w:eastAsia="等线" w:cs="Arial"/>
          <w:b/>
          <w:sz w:val="44"/>
          <w:szCs w:val="20"/>
        </w:rPr>
      </w:pPr>
      <w:bookmarkStart w:id="0" w:name="_Toc9090"/>
      <w:bookmarkStart w:id="1" w:name="_Toc9740"/>
      <w:r>
        <w:rPr>
          <w:rFonts w:ascii="Arial" w:hAnsi="Arial" w:eastAsia="等线" w:cs="Arial"/>
          <w:b/>
          <w:sz w:val="44"/>
          <w:szCs w:val="20"/>
        </w:rPr>
        <w:t>面向中医电子病历的智能结构化与数据质量控制系统需求分析报告</w:t>
      </w:r>
      <w:bookmarkEnd w:id="0"/>
      <w:bookmarkEnd w:id="1"/>
    </w:p>
    <w:p w14:paraId="5489AC68">
      <w:pPr>
        <w:spacing w:before="480" w:after="480" w:line="288" w:lineRule="auto"/>
        <w:ind w:left="0" w:leftChars="0"/>
        <w:jc w:val="both"/>
        <w:outlineLvl w:val="0"/>
        <w:rPr>
          <w:rFonts w:ascii="Arial" w:hAnsi="Arial" w:eastAsia="等线" w:cs="Arial"/>
          <w:b/>
          <w:sz w:val="44"/>
          <w:szCs w:val="20"/>
        </w:rPr>
      </w:pPr>
    </w:p>
    <w:sdt>
      <w:sdtPr>
        <w:rPr>
          <w:rFonts w:ascii="宋体" w:hAnsi="宋体" w:eastAsia="宋体" w:cstheme="minorBidi"/>
          <w:sz w:val="21"/>
          <w:szCs w:val="22"/>
        </w:rPr>
        <w:id w:val="14745135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szCs w:val="22"/>
        </w:rPr>
      </w:sdtEndPr>
      <w:sdtContent>
        <w:p w14:paraId="3FAFF5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6C7B358A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_Toc9090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面向中医电子病历的智能结构化与数据质量控制系统需求分析报告</w:t>
          </w:r>
          <w:r>
            <w:tab/>
          </w:r>
          <w:r>
            <w:fldChar w:fldCharType="begin"/>
          </w:r>
          <w:r>
            <w:instrText xml:space="preserve"> PAGEREF _Toc9090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02C530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_Toc15920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_Toc15920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EE57D7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_Toc2824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1.1 项目背景（含数据现状与流转痛点）</w:t>
          </w:r>
          <w:r>
            <w:tab/>
          </w:r>
          <w:r>
            <w:fldChar w:fldCharType="begin"/>
          </w:r>
          <w:r>
            <w:instrText xml:space="preserve"> PAGEREF _Toc2824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D618F0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_Toc30022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1.2 项目目标（明确整体输入输出总链路）</w:t>
          </w:r>
          <w:r>
            <w:tab/>
          </w:r>
          <w:r>
            <w:fldChar w:fldCharType="begin"/>
          </w:r>
          <w:r>
            <w:instrText xml:space="preserve"> PAGEREF _Toc30022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C5FD55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_Toc3561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1.3 文档目的</w:t>
          </w:r>
          <w:r>
            <w:tab/>
          </w:r>
          <w:r>
            <w:fldChar w:fldCharType="begin"/>
          </w:r>
          <w:r>
            <w:instrText xml:space="preserve"> PAGEREF _Toc3561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7EFA0E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_Toc8413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1.4 项目范围（数据边界清晰定义）</w:t>
          </w:r>
          <w:r>
            <w:tab/>
          </w:r>
          <w:r>
            <w:fldChar w:fldCharType="begin"/>
          </w:r>
          <w:r>
            <w:instrText xml:space="preserve"> PAGEREF _Toc8413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E3E05A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_Toc26780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 业务与用户角色分析（数据操作主体）</w:t>
          </w:r>
          <w:r>
            <w:tab/>
          </w:r>
          <w:r>
            <w:fldChar w:fldCharType="begin"/>
          </w:r>
          <w:r>
            <w:instrText xml:space="preserve"> PAGEREF _Toc26780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55A4C50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_Toc2556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2.1 用户角色与对应数据权限</w:t>
          </w:r>
          <w:r>
            <w:tab/>
          </w:r>
          <w:r>
            <w:fldChar w:fldCharType="begin"/>
          </w:r>
          <w:r>
            <w:instrText xml:space="preserve"> PAGEREF _Toc2556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D401E2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_Toc3254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2.2 全局整体数据流转总流程（闭环链路）</w:t>
          </w:r>
          <w:r>
            <w:tab/>
          </w:r>
          <w:r>
            <w:fldChar w:fldCharType="begin"/>
          </w:r>
          <w:r>
            <w:instrText xml:space="preserve"> PAGEREF _Toc3254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2F95D6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_Toc7655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 功能性需求（全模块细化：输入 + 处理 + 输出 + 模块关联）</w:t>
          </w:r>
          <w:r>
            <w:tab/>
          </w:r>
          <w:r>
            <w:fldChar w:fldCharType="begin"/>
          </w:r>
          <w:r>
            <w:instrText xml:space="preserve"> PAGEREF _Toc7655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80190D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_Toc29797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3.1 病历数据管理模块（数据入口层，系统首个数据节点）</w:t>
          </w:r>
          <w:r>
            <w:tab/>
          </w:r>
          <w:r>
            <w:fldChar w:fldCharType="begin"/>
          </w:r>
          <w:r>
            <w:instrText xml:space="preserve"> PAGEREF _Toc29797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757FB3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_Toc4136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3.2 智能结构化解析模块（核心转换层，非结构化→结构化）</w:t>
          </w:r>
          <w:r>
            <w:tab/>
          </w:r>
          <w:r>
            <w:fldChar w:fldCharType="begin"/>
          </w:r>
          <w:r>
            <w:instrText xml:space="preserve"> PAGEREF _Toc4136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85B3E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_Toc26326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3.3 多层智能质量控制模块（数据筛选净化层）</w:t>
          </w:r>
          <w:r>
            <w:tab/>
          </w:r>
          <w:r>
            <w:fldChar w:fldCharType="begin"/>
          </w:r>
          <w:r>
            <w:instrText xml:space="preserve"> PAGEREF _Toc26326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43A91D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_Toc3549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3.4 数据治理与数据集导出模块（系统核心，数据终加工 + 成果输出层）</w:t>
          </w:r>
          <w:r>
            <w:tab/>
          </w:r>
          <w:r>
            <w:fldChar w:fldCharType="begin"/>
          </w:r>
          <w:r>
            <w:instrText xml:space="preserve"> PAGEREF _Toc3549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8F69D7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_Toc23753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 非功能性需求</w:t>
          </w:r>
          <w:r>
            <w:tab/>
          </w:r>
          <w:r>
            <w:fldChar w:fldCharType="begin"/>
          </w:r>
          <w:r>
            <w:instrText xml:space="preserve"> PAGEREF _Toc23753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51D204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_Toc5232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4.1 性能需求（针对全链路数据处理效率）</w:t>
          </w:r>
          <w:r>
            <w:tab/>
          </w:r>
          <w:r>
            <w:fldChar w:fldCharType="begin"/>
          </w:r>
          <w:r>
            <w:instrText xml:space="preserve"> PAGEREF _Toc5232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51D2E7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_Toc28392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4.2 易用性需求</w:t>
          </w:r>
          <w:r>
            <w:tab/>
          </w:r>
          <w:r>
            <w:fldChar w:fldCharType="begin"/>
          </w:r>
          <w:r>
            <w:instrText xml:space="preserve"> PAGEREF _Toc28392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3DB401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_Toc20266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4.3 可靠性需求（数据流转安全可靠）</w:t>
          </w:r>
          <w:r>
            <w:tab/>
          </w:r>
          <w:r>
            <w:fldChar w:fldCharType="begin"/>
          </w:r>
          <w:r>
            <w:instrText xml:space="preserve"> PAGEREF _Toc20266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3A6B98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_Toc24633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4.4 兼容性需求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F8F2A1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_Toc32572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4.5 安全性需求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838870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_Toc24076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5 接口需求</w:t>
          </w:r>
          <w:r>
            <w:tab/>
          </w:r>
          <w:r>
            <w:fldChar w:fldCharType="begin"/>
          </w:r>
          <w:r>
            <w:instrText xml:space="preserve"> PAGEREF _Toc24076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1B0FDC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_Toc2035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6 约束与假设（数据流转边界约束）</w:t>
          </w:r>
          <w:r>
            <w:tab/>
          </w:r>
          <w:r>
            <w:fldChar w:fldCharType="begin"/>
          </w:r>
          <w:r>
            <w:instrText xml:space="preserve"> PAGEREF _Toc2035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AF6225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_Toc20198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7 需求优先级划分（按数据流转核心度排序）</w:t>
          </w:r>
          <w:r>
            <w:tab/>
          </w:r>
          <w:r>
            <w:fldChar w:fldCharType="begin"/>
          </w:r>
          <w:r>
            <w:instrText xml:space="preserve"> PAGEREF _Toc20198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79ADE1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end"/>
          </w:r>
        </w:p>
      </w:sdtContent>
    </w:sdt>
    <w:p w14:paraId="537B9AA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24A5F0FA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C8E5EE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6DF6021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0E0C7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18C0A98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401A58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20CBE546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5530FE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DC7F861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36C8450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CDD858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507BE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459CF00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D71B2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BED3BF1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3" w:name="_Toc15582"/>
      <w:bookmarkStart w:id="4" w:name="_Toc15920"/>
      <w:r>
        <w:rPr>
          <w:rFonts w:ascii="Arial" w:hAnsi="Arial" w:eastAsia="等线" w:cs="Arial"/>
          <w:b/>
          <w:sz w:val="24"/>
          <w:szCs w:val="20"/>
        </w:rPr>
        <w:t>1 引言</w:t>
      </w:r>
      <w:bookmarkEnd w:id="2"/>
      <w:bookmarkEnd w:id="3"/>
      <w:bookmarkEnd w:id="4"/>
    </w:p>
    <w:p w14:paraId="650B68B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" w:name="_Toc25337"/>
      <w:bookmarkStart w:id="6" w:name="heading_1"/>
      <w:bookmarkStart w:id="7" w:name="_Toc2824"/>
      <w:r>
        <w:rPr>
          <w:rFonts w:ascii="Arial" w:hAnsi="Arial" w:eastAsia="等线" w:cs="Arial"/>
          <w:b/>
          <w:sz w:val="24"/>
          <w:szCs w:val="20"/>
        </w:rPr>
        <w:t>1.1 项目背景（含数据现状与流转痛点）</w:t>
      </w:r>
      <w:bookmarkEnd w:id="5"/>
      <w:bookmarkEnd w:id="6"/>
      <w:bookmarkEnd w:id="7"/>
    </w:p>
    <w:p w14:paraId="48ED28EC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目前中医临床电子病历以非结构化自由文本为唯一存储形式，由医生自主录入四诊信息、辨证结论、治法方药、病情描述等中医专属内容。原始数据无固定字段、无统一标准、无质量校验机制，导致完整数据链路断裂：原始病历无法被计算机结构化解析，难以完成病历检索、数据统计、合规校验等基础信息化处理工作。</w:t>
      </w:r>
    </w:p>
    <w:p w14:paraId="2EA8152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现有业务数据流转存在四大核心问题：</w:t>
      </w:r>
    </w:p>
    <w:p w14:paraId="4F5035C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数据输入杂乱：病历文本口语化、术语不统一、字段缺失严重，机器无法解析；</w:t>
      </w:r>
    </w:p>
    <w:p w14:paraId="06BA057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无结构化转换环节：非结构化文本无法拆解为数据库可直接存储的标准化字段，只能以原始文本留存，无法进行数据统计和规整管理；</w:t>
      </w:r>
    </w:p>
    <w:p w14:paraId="74A5E50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无质量管控链路：数据错漏、逻辑冲突、方药辨证不匹配等问题无人工 + 机器双重校验；</w:t>
      </w:r>
    </w:p>
    <w:p w14:paraId="54742C6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无标准化治理输出：原始病历数据规范性差、质量参差不齐，无法直接用于病历统计分析、合规归档、数据复用等基础应用。</w:t>
      </w:r>
    </w:p>
    <w:p w14:paraId="064DF35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本系统承接原始病历数据输入，完成结构化转换、质量校验、数据治理，最终输出高质量标准化数据集，形成「原始数据输入→加工质控→治理标准化→本地归档复用」的完整闭环数据流。</w:t>
      </w:r>
    </w:p>
    <w:p w14:paraId="7B6A49C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8" w:name="_Toc30022"/>
      <w:bookmarkStart w:id="9" w:name="_Toc15587"/>
      <w:bookmarkStart w:id="10" w:name="heading_2"/>
      <w:r>
        <w:rPr>
          <w:rFonts w:ascii="Arial" w:hAnsi="Arial" w:eastAsia="等线" w:cs="Arial"/>
          <w:b/>
          <w:sz w:val="24"/>
          <w:szCs w:val="20"/>
        </w:rPr>
        <w:t>1.2 项目目标（明确整体输入输出总链路）</w:t>
      </w:r>
      <w:bookmarkEnd w:id="8"/>
      <w:bookmarkEnd w:id="9"/>
      <w:bookmarkEnd w:id="10"/>
    </w:p>
    <w:p w14:paraId="5493A19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系统总输入：医院脱敏原始中医电子病历（TXT/Excel 非结构化文本数据）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系统总处理：病历入库管理→NLP 智能结构化解析→三层智能质控校验→数据清洗与术语归一治理→标准化数据集存储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系统总输出：干净、规范、结构化、可复用的中医电子病历标准数据集，满足中医电子病历规范化整理、质量自查、结构化归档与本地数据复用需求</w:t>
      </w:r>
    </w:p>
    <w:p w14:paraId="1330EB91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具体目标：</w:t>
      </w:r>
    </w:p>
    <w:p w14:paraId="756EB82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实现非结构化病历文本自动转换为结构化实体字段，解决机器不可读问题；</w:t>
      </w:r>
    </w:p>
    <w:p w14:paraId="6AD46D7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建立事前、事中、终末全链路质控体系，过滤错误、缺失、逻辑冲突数据；</w:t>
      </w:r>
    </w:p>
    <w:p w14:paraId="3CBE0E4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完成中医病历专属数据治理，统一术语、清洗脏数据、融合多源数据；</w:t>
      </w:r>
    </w:p>
    <w:p w14:paraId="3EBAFF0C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输出标准化数据集文件，满足病历规范化整理、数据统计、合规归档的基础信息化需求。</w:t>
      </w:r>
    </w:p>
    <w:p w14:paraId="69684B82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11" w:name="_Toc3561"/>
      <w:bookmarkStart w:id="12" w:name="_Toc26280"/>
      <w:bookmarkStart w:id="13" w:name="heading_3"/>
      <w:r>
        <w:rPr>
          <w:rFonts w:ascii="Arial" w:hAnsi="Arial" w:eastAsia="等线" w:cs="Arial"/>
          <w:b/>
          <w:sz w:val="24"/>
          <w:szCs w:val="20"/>
        </w:rPr>
        <w:t>1.3 文档目的</w:t>
      </w:r>
      <w:bookmarkEnd w:id="11"/>
      <w:bookmarkEnd w:id="12"/>
      <w:bookmarkEnd w:id="13"/>
    </w:p>
    <w:p w14:paraId="2DB3A31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本文档严格定义系统各模块输入数据、处理逻辑、输出数据、模块间数据关联、全链路数据流转与模块协作关系，明确功能、性能、安全、接口约束，为系统架构设计、数据库设计、前后端编码、系统测试提供唯一依据（本项目不涉及算法自研开发，仅调用成熟 NLP 能力，如开源中医 NER 模型或 spaCy+jieba + 自定义规则）。</w:t>
      </w:r>
    </w:p>
    <w:p w14:paraId="434D5856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14" w:name="_Toc11837"/>
      <w:bookmarkStart w:id="15" w:name="heading_4"/>
      <w:bookmarkStart w:id="16" w:name="_Toc8413"/>
      <w:r>
        <w:rPr>
          <w:rFonts w:ascii="Arial" w:hAnsi="Arial" w:eastAsia="等线" w:cs="Arial"/>
          <w:b/>
          <w:sz w:val="24"/>
          <w:szCs w:val="20"/>
        </w:rPr>
        <w:t>1.4 项目范围（数据边界清晰定义）</w:t>
      </w:r>
      <w:bookmarkEnd w:id="14"/>
      <w:bookmarkEnd w:id="15"/>
      <w:bookmarkEnd w:id="16"/>
    </w:p>
    <w:p w14:paraId="120C09F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数据包含范围：原始病历数据录入、结构化转换数据、质控异常数据、治理清洗数据、标准化输出数据集、系统操作日志数据、中医术语库配置数据。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数据不包含范围：不实现病例智能检索、处方智能推荐、临床数据可视化分析等上层业务功能，系统核心聚焦病历结构化解析与数据质量治理工作。</w:t>
      </w:r>
    </w:p>
    <w:p w14:paraId="4B5DA389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17" w:name="heading_5"/>
      <w:bookmarkStart w:id="18" w:name="_Toc1665"/>
      <w:bookmarkStart w:id="19" w:name="_Toc26780"/>
      <w:r>
        <w:rPr>
          <w:rFonts w:ascii="Arial" w:hAnsi="Arial" w:eastAsia="等线" w:cs="Arial"/>
          <w:b/>
          <w:sz w:val="24"/>
          <w:szCs w:val="20"/>
        </w:rPr>
        <w:t>2 业务与用户角色分析（数据操作主体）</w:t>
      </w:r>
      <w:bookmarkEnd w:id="17"/>
      <w:bookmarkEnd w:id="18"/>
      <w:bookmarkEnd w:id="19"/>
    </w:p>
    <w:p w14:paraId="6AB97730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0" w:name="heading_6"/>
      <w:bookmarkStart w:id="21" w:name="_Toc14230"/>
      <w:bookmarkStart w:id="22" w:name="_Toc2556"/>
      <w:r>
        <w:rPr>
          <w:rFonts w:ascii="Arial" w:hAnsi="Arial" w:eastAsia="等线" w:cs="Arial"/>
          <w:b/>
          <w:sz w:val="24"/>
          <w:szCs w:val="20"/>
        </w:rPr>
        <w:t>2.1 用户角色与对应数据权限</w:t>
      </w:r>
      <w:bookmarkEnd w:id="20"/>
      <w:bookmarkEnd w:id="21"/>
      <w:bookmarkEnd w:id="22"/>
    </w:p>
    <w:p w14:paraId="64282887">
      <w:pPr>
        <w:numPr>
          <w:ilvl w:val="0"/>
          <w:numId w:val="9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数据管理员（核心数据操作角色）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输入操作：上传原始病历、选择预设质控规则、启动批量治理任务；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处理操作：数据清洗、术语归一、数据集整理；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输出操作：导出结构化标准病历数据、归档高质量数据，用于病历规范化留存与本地数据复用。</w:t>
      </w:r>
    </w:p>
    <w:p w14:paraId="71D37C33">
      <w:pPr>
        <w:numPr>
          <w:ilvl w:val="0"/>
          <w:numId w:val="10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病历审核人员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输入数据：系统自动生成的质控异常病历列表；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处理操作：人工复核、修正结构化错误、修正逻辑冲突数据；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输出数据：复核完成的合规病历数据。</w:t>
      </w:r>
    </w:p>
    <w:p w14:paraId="534312A1">
      <w:pPr>
        <w:numPr>
          <w:ilvl w:val="0"/>
          <w:numId w:val="11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科研只读用户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输入数据：系统治理完成的标准化结构化数据集；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操作：仅可查看、下载标准化数据集，无数据修改、删除、写入权限。</w:t>
      </w:r>
    </w:p>
    <w:p w14:paraId="03EC86BE">
      <w:pPr>
        <w:numPr>
          <w:ilvl w:val="0"/>
          <w:numId w:val="12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系统管理员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输入：用户账号数据、术语库数据、系统配置数据；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处理：权限分配、术语库配置、系统参数配置；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输出：稳定的系统运行环境与标准术语规则库。</w:t>
      </w:r>
    </w:p>
    <w:p w14:paraId="13DC0295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3" w:name="_Toc25060"/>
      <w:bookmarkStart w:id="24" w:name="_Toc3254"/>
      <w:bookmarkStart w:id="25" w:name="heading_7"/>
      <w:r>
        <w:rPr>
          <w:rFonts w:ascii="Arial" w:hAnsi="Arial" w:eastAsia="等线" w:cs="Arial"/>
          <w:b/>
          <w:sz w:val="24"/>
          <w:szCs w:val="20"/>
        </w:rPr>
        <w:t>2.2 全局整体数据流转总流程（闭环链路）</w:t>
      </w:r>
      <w:bookmarkEnd w:id="23"/>
      <w:bookmarkEnd w:id="24"/>
      <w:bookmarkEnd w:id="25"/>
    </w:p>
    <w:p w14:paraId="7C02004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外部原始病历数据【输入】→病历管理模块（入库存储）【输出原始病历库】→智能结构化模块（文本解析抽实体）【输出结构化临时数据】→智能质控模块（三层校验筛错）【输出合规病历 + 异常病历】→合规数据直接进入数据治理模块；异常数据进入人工复核队列，修正后回流二次校验，校验通过进入治理模块，校验仍不通过则隔离归档、终止流转→数据治理模块（清洗、归一、融合、去重）【输出高质量标准数据】→标准化数据集持久化存储【系统最终成果】→权限管控导出与本地存储，支撑病历规范化管理与基础数据统计应用</w:t>
      </w:r>
    </w:p>
    <w:p w14:paraId="34B75101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26" w:name="_Toc7655"/>
      <w:bookmarkStart w:id="27" w:name="_Toc10435"/>
      <w:bookmarkStart w:id="28" w:name="heading_8"/>
      <w:r>
        <w:rPr>
          <w:rFonts w:ascii="Arial" w:hAnsi="Arial" w:eastAsia="等线" w:cs="Arial"/>
          <w:b/>
          <w:sz w:val="24"/>
          <w:szCs w:val="20"/>
        </w:rPr>
        <w:t>3 功能性需求（全模块细化：输入 + 处理 + 输出 + 模块关联）</w:t>
      </w:r>
      <w:bookmarkEnd w:id="26"/>
      <w:bookmarkEnd w:id="27"/>
      <w:bookmarkEnd w:id="28"/>
    </w:p>
    <w:p w14:paraId="440063F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9" w:name="_Toc29797"/>
      <w:bookmarkStart w:id="30" w:name="heading_9"/>
      <w:bookmarkStart w:id="31" w:name="_Toc18298"/>
      <w:r>
        <w:rPr>
          <w:rFonts w:ascii="Arial" w:hAnsi="Arial" w:eastAsia="等线" w:cs="Arial"/>
          <w:b/>
          <w:sz w:val="24"/>
          <w:szCs w:val="20"/>
        </w:rPr>
        <w:t>3.1 病历数据管理模块（数据入口层，系统首个数据节点）</w:t>
      </w:r>
      <w:bookmarkEnd w:id="29"/>
      <w:bookmarkEnd w:id="30"/>
      <w:bookmarkEnd w:id="31"/>
    </w:p>
    <w:p w14:paraId="01969A9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模块定位：系统数据总入口，负责原始数据接收、存储、管理，为后续结构化、质控、治理提供数据源支撑，是所有下游模块的数据来源。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输入数据：外部批量 / 单条中医电子病历文件（TXT/Excel，单文件最大 10MB，单次最多上传 10 个文件），包含患者脱敏信息、就诊信息、完整自由文本病历内容。</w:t>
      </w:r>
    </w:p>
    <w:p w14:paraId="638A38E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6E02838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解析上传文件，校验文件格式、文本完整性，过滤空文件、乱码文件；</w:t>
      </w:r>
    </w:p>
    <w:p w14:paraId="645CD682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分类存储原始病历数据，建立病历唯一 ID，绑定就诊时间、科室、门诊 / 住院标签（标签从文件名或文件内容中解析提取，若无法解析则由用户手动填写）；</w:t>
      </w:r>
    </w:p>
    <w:p w14:paraId="6ACA7262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提供病历检索、筛选、新增、修改、归档、删除管理能力；</w:t>
      </w:r>
    </w:p>
    <w:p w14:paraId="414F030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原始数据只读锁定，禁止随意篡改，保证数据源真实性。</w:t>
      </w:r>
    </w:p>
    <w:p w14:paraId="3E0BC83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输出数据：入库的原始病历数据集（带唯一 ID、分类标签、完整原始文本）。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模块关联：本模块输出数据 直接输入 智能结构化解析模块，是系统所有后续处理的基础数据源。</w:t>
      </w:r>
    </w:p>
    <w:p w14:paraId="7691C3E3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2" w:name="_Toc842"/>
      <w:bookmarkStart w:id="33" w:name="heading_10"/>
      <w:bookmarkStart w:id="34" w:name="_Toc4136"/>
      <w:r>
        <w:rPr>
          <w:rFonts w:ascii="Arial" w:hAnsi="Arial" w:eastAsia="等线" w:cs="Arial"/>
          <w:b/>
          <w:sz w:val="24"/>
          <w:szCs w:val="20"/>
        </w:rPr>
        <w:t>3.2 智能结构化解析模块（核心转换层，非结构化→结构化）</w:t>
      </w:r>
      <w:bookmarkEnd w:id="32"/>
      <w:bookmarkEnd w:id="33"/>
      <w:bookmarkEnd w:id="34"/>
    </w:p>
    <w:p w14:paraId="371F45E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模块定位：系统核心转换引擎，承接原始非结构化文本，输出机器可识别的中医结构化实体数据，是病历质量校验、数据标准化治理、病历信息化管理的前置基础环节。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输入数据：病历管理模块输出的完整原始自由文本病历数据。</w:t>
      </w:r>
    </w:p>
    <w:p w14:paraId="4EC4017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6C256F4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基于开源中医 NER 模型（如 TCMNER、hwtcmner 等 BERT 微调模型）或 spaCy+jieba + 自定义规则对病历全文分词、实体识别；</w:t>
      </w:r>
    </w:p>
    <w:p w14:paraId="2D7CE1B6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实体抽取四诊信息（症状、舌象、脉象）、辨证信息（病因、证型、治法）、方药信息（方剂、中药、剂量）；</w:t>
      </w:r>
    </w:p>
    <w:p w14:paraId="5057FC1C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建立原始文本与结构化字段的对应映射关系，保留数据溯源关系；</w:t>
      </w:r>
    </w:p>
    <w:p w14:paraId="1FF63C9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支持人工修正实体抽取错误，修正后数据自动覆盖原记录并更新结构化临时数据表，留存操作日志记录，不实现知识库迭代、规则自动优化等拓展功能。</w:t>
      </w:r>
    </w:p>
    <w:p w14:paraId="65AAA75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输出数据：带溯源关系的中医病历结构化临时数据表（包含所有中医实体字段 + 对应原始文本片段）。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模块关联：本模块结构化结果 全部输入 多层智能质控模块，用于质量校验。</w:t>
      </w:r>
    </w:p>
    <w:p w14:paraId="2F9AD82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5" w:name="_Toc26326"/>
      <w:bookmarkStart w:id="36" w:name="_Toc29228"/>
      <w:bookmarkStart w:id="37" w:name="heading_11"/>
      <w:r>
        <w:rPr>
          <w:rFonts w:ascii="Arial" w:hAnsi="Arial" w:eastAsia="等线" w:cs="Arial"/>
          <w:b/>
          <w:sz w:val="24"/>
          <w:szCs w:val="20"/>
        </w:rPr>
        <w:t>3.3 多层智能质量控制模块（数据筛选净化层）</w:t>
      </w:r>
      <w:bookmarkEnd w:id="35"/>
      <w:bookmarkEnd w:id="36"/>
      <w:bookmarkEnd w:id="37"/>
    </w:p>
    <w:p w14:paraId="1D8D716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模块定位：对结构化后的病历数据做合规性、完整性、中医内涵逻辑性校验，筛除劣质、错误、冲突数据，为数据治理提供合格半成品数据。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输入数据：智能结构化模块输出的带溯源关系的中医病历结构化临时数据表（包含所有中医实体字段 + 对应原始文本片段）。</w:t>
      </w:r>
    </w:p>
    <w:p w14:paraId="736147D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212B5EE8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事前质控：检测中医病历核心结构化字段缺失（无脉象、无证型、无治法、无病因、无方药等核心必填项缺失），全面标记字段缺失类异常；</w:t>
      </w:r>
    </w:p>
    <w:p w14:paraId="6C462B3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事中质控：依托系统内置固定中医诊疗规则完成核心逻辑校验，具体规则包括：</w:t>
      </w:r>
    </w:p>
    <w:p w14:paraId="44018BCD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治法规则：如证型 "风寒感冒"→治法应含 "辛温解表"；证型 "风热感冒"→治法应含 "辛凉解表"</w:t>
      </w:r>
    </w:p>
    <w:p w14:paraId="5A0B7BBC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方剂规则：如证型 "风寒感冒"→方剂应选 "麻黄汤" 类；证型 "风热感冒"→方剂应选 "银翘散" 类</w:t>
      </w:r>
    </w:p>
    <w:p w14:paraId="1BFBA399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中药规则：如证型 "风寒感冒"→中药应含麻黄、桂枝等辛温解表药</w:t>
      </w:r>
    </w:p>
    <w:p w14:paraId="2E33D443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必填项完整性规则：脉象、舌象、证型、治法、方剂、中药为必填项，缺失则标记异常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系统仅实现固定规则校验，不支持用户自定义规则编辑功能。</w:t>
      </w:r>
    </w:p>
    <w:p w14:paraId="6909C422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终末质控：对单条病历自动评分</w:t>
      </w:r>
      <w:bookmarkStart w:id="76" w:name="_GoBack"/>
      <w:bookmarkEnd w:id="76"/>
      <w:r>
        <w:rPr>
          <w:rFonts w:ascii="Arial" w:hAnsi="Arial" w:eastAsia="等线" w:cs="Arial"/>
          <w:sz w:val="20"/>
          <w:szCs w:val="20"/>
        </w:rPr>
        <w:t>、分类统计异常类型、批量生成质控报告；</w:t>
      </w:r>
    </w:p>
    <w:p w14:paraId="07C4FD1E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终末质控评分规则：病历评分满分 100 分，按错误类型累计扣分，最低扣至 0 分，具体如下：</w:t>
      </w:r>
    </w:p>
    <w:p w14:paraId="12D79EBD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扣分规则：核心必填字段（脉象、舌象、证型、治法、方剂、中药）缺失，每项扣 15 分；辨证逻辑冲突（证型-治法、证型-方剂、证型-中药规则校验不通过），每项扣 10 分；非核心字段缺失、格式错误、重复数据，每项扣 5 分；</w:t>
      </w:r>
    </w:p>
    <w:p w14:paraId="0CCEC912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严重问题定义：核心必填字段缺失 3 项及以上，或证型-治法与证型-方剂规则同时校验不通过，或数据文本无法解析，均视为严重逻辑错误；</w:t>
      </w:r>
    </w:p>
    <w:p w14:paraId="66D1210F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 xml:space="preserve"> 评分分级：评分 ≥90 分且无严重问题判定为合格，直接进入数据治理模块；60 分≤评分&lt;90 分，或存在非严重逻辑冲突，进入人工复核队列（复核时限 7 个工作日内）；评分 &lt;60 分，或存在严重逻辑错误且人工复核后仍无法修复，标记为无效脏数据并隔离归档至系统异常数据区，不进入后续治理流程。</w:t>
      </w:r>
    </w:p>
    <w:p w14:paraId="51AA818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区分合规数据与异常数据，异常数据进入人工复核队列（建议复核时限：7 个工作日内），由审核人员修正后回流本模块二次质控校验；对于人工复核后仍无法修复、存在严重逻辑错误的病历数据，系统自动标记为无效脏数据并统一隔离归档至系统异常数据区，不进入后续治理流程，实现数据全流程闭环无断点。</w:t>
      </w:r>
    </w:p>
    <w:p w14:paraId="66091D1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输出数据：① 质控合格结构化病历数据；② 待人工复核异常病历数据集；③ 病历质控评分报告与异常统计报表（报告存储于系统日志区，支持在线查看与导出）。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模块关联：质控合格数据直接流入数据治理模块；异常数据进入人工复核队列，审核人员在系统内修正后，数据自动回流至本模块重新执行事前 + 事中质控校验，校验通过后进入治理环节，校验仍不通过则标记为无效脏数据。</w:t>
      </w:r>
    </w:p>
    <w:p w14:paraId="3521A8FC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8" w:name="heading_12"/>
      <w:bookmarkStart w:id="39" w:name="_Toc16385"/>
      <w:bookmarkStart w:id="40" w:name="_Toc3549"/>
      <w:r>
        <w:rPr>
          <w:rFonts w:ascii="Arial" w:hAnsi="Arial" w:eastAsia="等线" w:cs="Arial"/>
          <w:b/>
          <w:sz w:val="24"/>
          <w:szCs w:val="20"/>
        </w:rPr>
        <w:t>3.4 数据治理与数据集导出模块（系统核心，数据终加工 + 成果输出层）</w:t>
      </w:r>
      <w:bookmarkEnd w:id="38"/>
      <w:bookmarkEnd w:id="39"/>
      <w:bookmarkEnd w:id="40"/>
    </w:p>
    <w:p w14:paraId="57280DC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模块定位：系统最终数据标准化加工核心，对质控合格数据做深度清洗、归一、融合，产出规范、统一、可直接归档复用的高质量结构化中医病历数据集。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输入数据：质控模块输出的合规结构化病历数据（含人工复核修正后经二次校验通过的完整数据）。</w:t>
      </w:r>
    </w:p>
    <w:p w14:paraId="142CC31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545FD75F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数据清洗：自动去重、过滤无效脏数据、修补轻度缺失字段、清除乱码冗余文本；</w:t>
      </w:r>
    </w:p>
    <w:p w14:paraId="12D3F285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术语归一：依托系统内置中医标准术语库（以 Excel/CSV 格式导入，包含以下内容），统一同义词、别名、口语化表述，实现全库术语标准化：</w:t>
      </w:r>
    </w:p>
    <w:p w14:paraId="75C48C2D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证型术语：来源于《中医病证分类与代码》GB/T 15657-2021</w:t>
      </w:r>
    </w:p>
    <w:p w14:paraId="489748CB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中药术语：来源于《中国药典》2020 版</w:t>
      </w:r>
    </w:p>
    <w:p w14:paraId="415CF3F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方剂术语：来源于《中医方剂大辞典》</w:t>
      </w:r>
    </w:p>
    <w:p w14:paraId="6741A464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症状术语：来源于《中医临床诊疗术语》GB/T 16751</w:t>
      </w:r>
    </w:p>
    <w:p w14:paraId="49B3BE4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数据规整处理：统一所有病历数据的结构化字段格式，对重复字段、冗余内容进行合并去重，保证输出数据集字段统一、格式规范；</w:t>
      </w:r>
    </w:p>
    <w:p w14:paraId="173F1769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脏数据隔离：无法修复的劣质数据统一隔离归档至系统异常数据区（与 3.3 节脏数据隔离区一致），禁止进入标准数据集；</w:t>
      </w:r>
    </w:p>
    <w:p w14:paraId="1F78911C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标准化数据集持久化存储、分类检索、权限管控导出，支持 CSV（UTF-8 编码，首行为字段名）、JSON（数组格式，每个元素为一条病历的结构化字段对象）通用格式输出，留存数据操作日志，保障本地数据安全复用。</w:t>
      </w:r>
    </w:p>
    <w:p w14:paraId="579E326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输出数据：最终版中医电子病历标准化、结构化、高质量数据集。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模块关联：本模块输出数据为系统最终成品数据，供病历归档、数据查询、本地数据复用调用。</w:t>
      </w:r>
    </w:p>
    <w:p w14:paraId="758668CD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41" w:name="heading_13"/>
      <w:bookmarkStart w:id="42" w:name="_Toc23753"/>
      <w:bookmarkStart w:id="43" w:name="_Toc17090"/>
      <w:r>
        <w:rPr>
          <w:rFonts w:ascii="Arial" w:hAnsi="Arial" w:eastAsia="等线" w:cs="Arial"/>
          <w:b/>
          <w:sz w:val="24"/>
          <w:szCs w:val="20"/>
        </w:rPr>
        <w:t>4 非功能性需求</w:t>
      </w:r>
      <w:bookmarkEnd w:id="41"/>
      <w:bookmarkEnd w:id="42"/>
      <w:bookmarkEnd w:id="43"/>
    </w:p>
    <w:p w14:paraId="33535B6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44" w:name="_Toc692"/>
      <w:bookmarkStart w:id="45" w:name="heading_14"/>
      <w:bookmarkStart w:id="46" w:name="_Toc5232"/>
      <w:r>
        <w:rPr>
          <w:rFonts w:ascii="Arial" w:hAnsi="Arial" w:eastAsia="等线" w:cs="Arial"/>
          <w:b/>
          <w:sz w:val="24"/>
          <w:szCs w:val="20"/>
        </w:rPr>
        <w:t>4.1 性能需求（针对全链路数据处理效率）</w:t>
      </w:r>
      <w:bookmarkEnd w:id="44"/>
      <w:bookmarkEnd w:id="45"/>
      <w:bookmarkEnd w:id="46"/>
    </w:p>
    <w:p w14:paraId="20AD7C47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单条病历结构化解析响应时间≤3 秒，批量处理速度≥30 条 / 分钟；</w:t>
      </w:r>
    </w:p>
    <w:p w14:paraId="13E9EE4B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系统支持小批量病历数据一体化处理（单次批量处理上限 100 条病历），整体处理速度满足系统测试与数据集制作需求；</w:t>
      </w:r>
    </w:p>
    <w:p w14:paraId="3E422CFF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系统支持单人常规操作、小批量数据处理，保障日常使用、数据处理流程稳定无卡顿、无数据丢失（单机部署场景不做多用户并发优化）。</w:t>
      </w:r>
    </w:p>
    <w:p w14:paraId="7941D6C7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47" w:name="heading_15"/>
      <w:bookmarkStart w:id="48" w:name="_Toc28392"/>
      <w:bookmarkStart w:id="49" w:name="_Toc878"/>
      <w:r>
        <w:rPr>
          <w:rFonts w:ascii="Arial" w:hAnsi="Arial" w:eastAsia="等线" w:cs="Arial"/>
          <w:b/>
          <w:sz w:val="24"/>
          <w:szCs w:val="20"/>
        </w:rPr>
        <w:t>4.2 易用性需求</w:t>
      </w:r>
      <w:bookmarkEnd w:id="47"/>
      <w:bookmarkEnd w:id="48"/>
      <w:bookmarkEnd w:id="49"/>
    </w:p>
    <w:p w14:paraId="28593F6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系统提供简洁可视化操作页面，分层展示原始病历、结构化数据、质控异常数据、治理后标准数据，支持一键批量处理，操作简单、学习成本低，适配日常数据处理使用场景。</w:t>
      </w:r>
    </w:p>
    <w:p w14:paraId="7C399CD0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0" w:name="_Toc13306"/>
      <w:bookmarkStart w:id="51" w:name="_Toc20266"/>
      <w:bookmarkStart w:id="52" w:name="heading_16"/>
      <w:r>
        <w:rPr>
          <w:rFonts w:ascii="Arial" w:hAnsi="Arial" w:eastAsia="等线" w:cs="Arial"/>
          <w:b/>
          <w:sz w:val="24"/>
          <w:szCs w:val="20"/>
        </w:rPr>
        <w:t>4.3 可靠性需求（数据流转安全可靠）</w:t>
      </w:r>
      <w:bookmarkEnd w:id="50"/>
      <w:bookmarkEnd w:id="51"/>
      <w:bookmarkEnd w:id="52"/>
    </w:p>
    <w:p w14:paraId="64B45519">
      <w:pPr>
        <w:numPr>
          <w:ilvl w:val="0"/>
          <w:numId w:val="41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53" w:name="_Toc27867"/>
      <w:bookmarkStart w:id="54" w:name="_Toc17298"/>
      <w:bookmarkStart w:id="55" w:name="_Toc18059"/>
      <w:r>
        <w:rPr>
          <w:rFonts w:ascii="Arial" w:hAnsi="Arial" w:eastAsia="等线" w:cs="Arial"/>
          <w:sz w:val="20"/>
          <w:szCs w:val="20"/>
        </w:rPr>
        <w:t>原始输入数据自动备份，防止上传丢失；</w:t>
      </w:r>
      <w:bookmarkEnd w:id="53"/>
      <w:bookmarkEnd w:id="54"/>
      <w:bookmarkEnd w:id="55"/>
    </w:p>
    <w:p w14:paraId="520F9318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批量处理支持进度显示与中断后重新处理（从当前批次未处理的数据开始，不支持断点续跑）；</w:t>
      </w:r>
    </w:p>
    <w:p w14:paraId="5D0A020E">
      <w:pPr>
        <w:numPr>
          <w:ilvl w:val="0"/>
          <w:numId w:val="43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56" w:name="_Toc14911"/>
      <w:bookmarkStart w:id="57" w:name="_Toc2904"/>
      <w:bookmarkStart w:id="58" w:name="_Toc31384"/>
      <w:r>
        <w:rPr>
          <w:rFonts w:ascii="Arial" w:hAnsi="Arial" w:eastAsia="等线" w:cs="Arial"/>
          <w:sz w:val="20"/>
          <w:szCs w:val="20"/>
        </w:rPr>
        <w:t>异常数据、脏数据自动隔离，绝不污染最终标准输出数据集。</w:t>
      </w:r>
      <w:bookmarkEnd w:id="56"/>
      <w:bookmarkEnd w:id="57"/>
      <w:bookmarkEnd w:id="58"/>
    </w:p>
    <w:p w14:paraId="317E6DB9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9" w:name="heading_17"/>
      <w:bookmarkStart w:id="60" w:name="_Toc24633"/>
      <w:bookmarkStart w:id="61" w:name="_Toc8305"/>
      <w:r>
        <w:rPr>
          <w:rFonts w:ascii="Arial" w:hAnsi="Arial" w:eastAsia="等线" w:cs="Arial"/>
          <w:b/>
          <w:sz w:val="24"/>
          <w:szCs w:val="20"/>
        </w:rPr>
        <w:t>4.4 兼容性需求</w:t>
      </w:r>
      <w:bookmarkEnd w:id="59"/>
      <w:bookmarkEnd w:id="60"/>
      <w:bookmarkEnd w:id="61"/>
    </w:p>
    <w:p w14:paraId="710F756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 B/S 架构适配主流电脑浏览器，输出的 CSV、JSON 通用格式，可直接用 Excel、记事本等常规工具打开编辑，适配本地数据整理、归档使用场景。</w:t>
      </w:r>
    </w:p>
    <w:p w14:paraId="323A6BB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62" w:name="heading_18"/>
      <w:bookmarkStart w:id="63" w:name="_Toc32572"/>
      <w:bookmarkStart w:id="64" w:name="_Toc6442"/>
      <w:r>
        <w:rPr>
          <w:rFonts w:ascii="Arial" w:hAnsi="Arial" w:eastAsia="等线" w:cs="Arial"/>
          <w:b/>
          <w:sz w:val="24"/>
          <w:szCs w:val="20"/>
        </w:rPr>
        <w:t>4.5 安全性需求</w:t>
      </w:r>
      <w:bookmarkEnd w:id="62"/>
      <w:bookmarkEnd w:id="63"/>
      <w:bookmarkEnd w:id="64"/>
    </w:p>
    <w:p w14:paraId="2A4DE9BF">
      <w:pPr>
        <w:numPr>
          <w:ilvl w:val="0"/>
          <w:numId w:val="44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65" w:name="_Toc10726"/>
      <w:bookmarkStart w:id="66" w:name="_Toc8842"/>
      <w:r>
        <w:rPr>
          <w:rFonts w:ascii="Arial" w:hAnsi="Arial" w:eastAsia="等线" w:cs="Arial"/>
          <w:sz w:val="20"/>
          <w:szCs w:val="20"/>
        </w:rPr>
        <w:t>支持用户登录验证，区分管理员与普通用户基本操作权限；</w:t>
      </w:r>
      <w:bookmarkEnd w:id="65"/>
      <w:bookmarkEnd w:id="66"/>
    </w:p>
    <w:p w14:paraId="6352E663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所有数据流转节点全程留痕，可追溯每一次数据加工、修改、导出行为；</w:t>
      </w:r>
    </w:p>
    <w:p w14:paraId="541F1E7B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患者隐私数据脱敏处理，禁止原始隐私数据对外输出。</w:t>
      </w:r>
    </w:p>
    <w:p w14:paraId="4B6DEEF3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67" w:name="_Toc24076"/>
      <w:bookmarkStart w:id="68" w:name="_Toc6634"/>
      <w:bookmarkStart w:id="69" w:name="heading_19"/>
      <w:r>
        <w:rPr>
          <w:rFonts w:ascii="Arial" w:hAnsi="Arial" w:eastAsia="等线" w:cs="Arial"/>
          <w:b/>
          <w:sz w:val="24"/>
          <w:szCs w:val="20"/>
        </w:rPr>
        <w:t>5 接口需求</w:t>
      </w:r>
      <w:bookmarkEnd w:id="67"/>
      <w:bookmarkEnd w:id="68"/>
      <w:bookmarkEnd w:id="69"/>
    </w:p>
    <w:p w14:paraId="699F35D7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离线文件接口：支持导出 CSV、JSON 通用格式文件，供管理人员本地数据查看、病历统计、档案整理使用。</w:t>
      </w:r>
    </w:p>
    <w:p w14:paraId="3E99E178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操作日志导出：支持导出系统操作日志，供管理员审查数据处理过程。</w:t>
      </w:r>
    </w:p>
    <w:p w14:paraId="0A83BD95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70" w:name="heading_20"/>
      <w:bookmarkStart w:id="71" w:name="_Toc2035"/>
      <w:bookmarkStart w:id="72" w:name="_Toc27239"/>
      <w:r>
        <w:rPr>
          <w:rFonts w:ascii="Arial" w:hAnsi="Arial" w:eastAsia="等线" w:cs="Arial"/>
          <w:b/>
          <w:sz w:val="24"/>
          <w:szCs w:val="20"/>
        </w:rPr>
        <w:t>6 约束与假设（数据流转边界约束）</w:t>
      </w:r>
      <w:bookmarkEnd w:id="70"/>
      <w:bookmarkEnd w:id="71"/>
      <w:bookmarkEnd w:id="72"/>
    </w:p>
    <w:p w14:paraId="70096C8F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输入数据约束：仅接收项目内部脱敏中医病历数据集，不对接医院实时生产数据库；</w:t>
      </w:r>
    </w:p>
    <w:p w14:paraId="7CCA4810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功能边界约束：本系统仅专注病历结构化解析、质量质控与数据治理工作，不执行病例检索、数据可视化、处方推荐等拓展业务功能；</w:t>
      </w:r>
    </w:p>
    <w:p w14:paraId="47C5C145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数据假设：输入原始病历文本清晰可解析，无大量无法识别乱码、无严重残缺内容，保证流转加工有效性；人工复核后无法修复的劣质病历数据，统一执行隔离归档处理，不纳入标准数据集。</w:t>
      </w:r>
    </w:p>
    <w:p w14:paraId="7AEAF538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73" w:name="heading_21"/>
      <w:bookmarkStart w:id="74" w:name="_Toc20198"/>
      <w:bookmarkStart w:id="75" w:name="_Toc16839"/>
      <w:r>
        <w:rPr>
          <w:rFonts w:ascii="Arial" w:hAnsi="Arial" w:eastAsia="等线" w:cs="Arial"/>
          <w:b/>
          <w:sz w:val="24"/>
          <w:szCs w:val="20"/>
        </w:rPr>
        <w:t>7 需求优先级划分（按数据流转核心度排序）</w:t>
      </w:r>
      <w:bookmarkEnd w:id="73"/>
      <w:bookmarkEnd w:id="74"/>
      <w:bookmarkEnd w:id="75"/>
    </w:p>
    <w:p w14:paraId="3FACA2B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高优先级（核心数据流必备）：病历数据入库输入、智能结构化转换、三层智能质控、数据清洗与归一治理、标准数据集导出输出（全链路主干数据流）。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中优先级：质控报告输出、全流程操作日志记录（数据流辅助保障）。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低优先级：批量操作模板、数据统计看板、进度显示优化（体验优化，不影响核心数据流转）。</w:t>
      </w:r>
    </w:p>
    <w:p w14:paraId="700643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1B66BD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1BEA3C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04405C53">
      <w:pPr>
        <w:pStyle w:val="2"/>
        <w:keepNext w:val="0"/>
        <w:keepLines w:val="0"/>
        <w:widowControl/>
        <w:suppressLineNumbers w:val="0"/>
      </w:pPr>
      <w:r>
        <w:t>必做功能</w:t>
      </w:r>
    </w:p>
    <w:p w14:paraId="1B17A97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用户登录；</w:t>
      </w:r>
    </w:p>
    <w:p w14:paraId="3FD025B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基础权限管理；</w:t>
      </w:r>
    </w:p>
    <w:p w14:paraId="7516F6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病历批量导入；</w:t>
      </w:r>
    </w:p>
    <w:p w14:paraId="7AD815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原始病历查看；</w:t>
      </w:r>
    </w:p>
    <w:p w14:paraId="70DEF06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病历新增、修改和删除；</w:t>
      </w:r>
    </w:p>
    <w:p w14:paraId="6627F1E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症状实体提取；</w:t>
      </w:r>
    </w:p>
    <w:p w14:paraId="4292E77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舌象、脉象提取；</w:t>
      </w:r>
    </w:p>
    <w:p w14:paraId="1C8F3FF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证型提取；</w:t>
      </w:r>
    </w:p>
    <w:p w14:paraId="6D847DE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方剂和中药提取；</w:t>
      </w:r>
    </w:p>
    <w:p w14:paraId="195D16C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口语症状标准化；</w:t>
      </w:r>
    </w:p>
    <w:p w14:paraId="191A98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结构化结果人工校正；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缺失字段检查；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重复和格式检查；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异常病历人工复核；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标准数据集导出。</w:t>
      </w:r>
    </w:p>
    <w:p w14:paraId="70915443">
      <w:pPr>
        <w:pStyle w:val="2"/>
        <w:keepNext w:val="0"/>
        <w:keepLines w:val="0"/>
        <w:widowControl/>
        <w:suppressLineNumbers w:val="0"/>
      </w:pPr>
      <w:r>
        <w:t>拓展功能</w:t>
      </w:r>
    </w:p>
    <w:p w14:paraId="1675345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诊疗逻辑一致性检查；</w:t>
      </w:r>
    </w:p>
    <w:p w14:paraId="4646B38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症状频次统计；</w:t>
      </w:r>
    </w:p>
    <w:p w14:paraId="308DD66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证型分布统计；</w:t>
      </w:r>
    </w:p>
    <w:p w14:paraId="0B25170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方剂和中药频次统计；</w:t>
      </w:r>
    </w:p>
    <w:p w14:paraId="273EE4F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ECharts关系图谱。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基础查询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多条件病历查询。</w:t>
      </w:r>
    </w:p>
    <w:p w14:paraId="1AD2B7C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sectPr>
      <w:headerReference r:id="rId3" w:type="default"/>
      <w:footerReference r:id="rId4" w:type="default"/>
      <w:pgSz w:w="11905" w:h="16840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87B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28B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43DFAAF"/>
    <w:multiLevelType w:val="multilevel"/>
    <w:tmpl w:val="A43DF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5204C316"/>
    <w:multiLevelType w:val="multilevel"/>
    <w:tmpl w:val="5204C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6"/>
  </w:num>
  <w:num w:numId="3">
    <w:abstractNumId w:val="41"/>
  </w:num>
  <w:num w:numId="4">
    <w:abstractNumId w:val="14"/>
  </w:num>
  <w:num w:numId="5">
    <w:abstractNumId w:val="10"/>
  </w:num>
  <w:num w:numId="6">
    <w:abstractNumId w:val="24"/>
  </w:num>
  <w:num w:numId="7">
    <w:abstractNumId w:val="29"/>
  </w:num>
  <w:num w:numId="8">
    <w:abstractNumId w:val="47"/>
  </w:num>
  <w:num w:numId="9">
    <w:abstractNumId w:val="23"/>
  </w:num>
  <w:num w:numId="10">
    <w:abstractNumId w:val="5"/>
  </w:num>
  <w:num w:numId="11">
    <w:abstractNumId w:val="30"/>
  </w:num>
  <w:num w:numId="12">
    <w:abstractNumId w:val="42"/>
  </w:num>
  <w:num w:numId="13">
    <w:abstractNumId w:val="15"/>
  </w:num>
  <w:num w:numId="14">
    <w:abstractNumId w:val="37"/>
  </w:num>
  <w:num w:numId="15">
    <w:abstractNumId w:val="20"/>
  </w:num>
  <w:num w:numId="16">
    <w:abstractNumId w:val="28"/>
  </w:num>
  <w:num w:numId="17">
    <w:abstractNumId w:val="18"/>
  </w:num>
  <w:num w:numId="18">
    <w:abstractNumId w:val="17"/>
  </w:num>
  <w:num w:numId="19">
    <w:abstractNumId w:val="7"/>
  </w:num>
  <w:num w:numId="20">
    <w:abstractNumId w:val="35"/>
  </w:num>
  <w:num w:numId="21">
    <w:abstractNumId w:val="45"/>
  </w:num>
  <w:num w:numId="22">
    <w:abstractNumId w:val="25"/>
  </w:num>
  <w:num w:numId="23">
    <w:abstractNumId w:val="34"/>
  </w:num>
  <w:num w:numId="24">
    <w:abstractNumId w:val="9"/>
  </w:num>
  <w:num w:numId="25">
    <w:abstractNumId w:val="51"/>
  </w:num>
  <w:num w:numId="26">
    <w:abstractNumId w:val="49"/>
  </w:num>
  <w:num w:numId="27">
    <w:abstractNumId w:val="13"/>
  </w:num>
  <w:num w:numId="28">
    <w:abstractNumId w:val="46"/>
  </w:num>
  <w:num w:numId="29">
    <w:abstractNumId w:val="6"/>
  </w:num>
  <w:num w:numId="30">
    <w:abstractNumId w:val="33"/>
  </w:num>
  <w:num w:numId="31">
    <w:abstractNumId w:val="2"/>
  </w:num>
  <w:num w:numId="32">
    <w:abstractNumId w:val="40"/>
  </w:num>
  <w:num w:numId="33">
    <w:abstractNumId w:val="52"/>
  </w:num>
  <w:num w:numId="34">
    <w:abstractNumId w:val="0"/>
  </w:num>
  <w:num w:numId="35">
    <w:abstractNumId w:val="27"/>
  </w:num>
  <w:num w:numId="36">
    <w:abstractNumId w:val="38"/>
  </w:num>
  <w:num w:numId="37">
    <w:abstractNumId w:val="21"/>
  </w:num>
  <w:num w:numId="38">
    <w:abstractNumId w:val="19"/>
  </w:num>
  <w:num w:numId="39">
    <w:abstractNumId w:val="31"/>
  </w:num>
  <w:num w:numId="40">
    <w:abstractNumId w:val="50"/>
  </w:num>
  <w:num w:numId="41">
    <w:abstractNumId w:val="12"/>
  </w:num>
  <w:num w:numId="42">
    <w:abstractNumId w:val="4"/>
  </w:num>
  <w:num w:numId="43">
    <w:abstractNumId w:val="11"/>
  </w:num>
  <w:num w:numId="44">
    <w:abstractNumId w:val="43"/>
  </w:num>
  <w:num w:numId="45">
    <w:abstractNumId w:val="1"/>
  </w:num>
  <w:num w:numId="46">
    <w:abstractNumId w:val="26"/>
  </w:num>
  <w:num w:numId="47">
    <w:abstractNumId w:val="3"/>
  </w:num>
  <w:num w:numId="48">
    <w:abstractNumId w:val="44"/>
  </w:num>
  <w:num w:numId="49">
    <w:abstractNumId w:val="48"/>
  </w:num>
  <w:num w:numId="50">
    <w:abstractNumId w:val="36"/>
  </w:num>
  <w:num w:numId="51">
    <w:abstractNumId w:val="32"/>
  </w:num>
  <w:num w:numId="52">
    <w:abstractNumId w:val="8"/>
  </w:num>
  <w:num w:numId="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E3809"/>
    <w:rsid w:val="139A7E55"/>
    <w:rsid w:val="1A49500A"/>
    <w:rsid w:val="20D54A0F"/>
    <w:rsid w:val="2B4D3342"/>
    <w:rsid w:val="353142DA"/>
    <w:rsid w:val="6EC428B4"/>
    <w:rsid w:val="7E3F7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5362</Words>
  <Characters>5566</Characters>
  <TotalTime>34</TotalTime>
  <ScaleCrop>false</ScaleCrop>
  <LinksUpToDate>false</LinksUpToDate>
  <CharactersWithSpaces>5800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2026-07-25T13:41:00Z</dcterms:created>
  <dc:creator>Apache POI</dc:creator>
  <cp:lastModifiedBy>WPS_1633014995</cp:lastModifiedBy>
  <dcterms:modified xsi:type="dcterms:W3CDTF">2026-08-05T06:02:46Z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{"Label":"1","ContentProducer":"001191110102MACQD9K64010000","ProduceID":"7666460147561384939","ReservedCode1":"","ContentPropagator":"","PropagateID":"","ReservedCode2":""}</vt:lpwstr>
  </property>
  <property fmtid="{D5CDD505-2E9C-101B-9397-08002B2CF9AE}" pid="3" name="KSOTemplateDocerSaveRecord">
    <vt:lpwstr>eyJoZGlkIjoiZGQ3MjFhYjc2Y2RhMWNlZTk0MDI5MzhiMDFlZDFkYzEiLCJ1c2VySWQiOiIxMjgwMTU0MzAwIn0=</vt:lpwstr>
  </property>
  <property fmtid="{D5CDD505-2E9C-101B-9397-08002B2CF9AE}" pid="4" name="KSOProductBuildVer">
    <vt:lpwstr>2052-12.1.0.28043</vt:lpwstr>
  </property>
  <property fmtid="{D5CDD505-2E9C-101B-9397-08002B2CF9AE}" pid="5" name="ICV">
    <vt:lpwstr>B354EA2362DE4B369769ADE04C3D1975_13</vt:lpwstr>
  </property>
</Properties>
</file>