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029F6">
      <w:pPr>
        <w:spacing w:before="480" w:after="480" w:line="288" w:lineRule="auto"/>
        <w:ind w:left="0" w:leftChars="0"/>
        <w:jc w:val="center"/>
        <w:outlineLvl w:val="0"/>
        <w:rPr>
          <w:rFonts w:ascii="Arial" w:hAnsi="Arial" w:eastAsia="等线" w:cs="Arial"/>
          <w:b/>
          <w:sz w:val="44"/>
          <w:szCs w:val="20"/>
        </w:rPr>
      </w:pPr>
      <w:bookmarkStart w:id="0" w:name="_Toc9090"/>
      <w:bookmarkStart w:id="1" w:name="_Toc9740"/>
      <w:r>
        <w:rPr>
          <w:rFonts w:ascii="Arial" w:hAnsi="Arial" w:eastAsia="等线" w:cs="Arial"/>
          <w:b/>
          <w:sz w:val="44"/>
          <w:szCs w:val="20"/>
        </w:rPr>
        <w:t>面向中医电子病历的智能结构化与数据质量控制系统需求分析报告</w:t>
      </w:r>
      <w:bookmarkEnd w:id="0"/>
      <w:bookmarkEnd w:id="1"/>
    </w:p>
    <w:p w14:paraId="5489AC68">
      <w:pPr>
        <w:spacing w:before="480" w:after="480" w:line="288" w:lineRule="auto"/>
        <w:ind w:left="0" w:leftChars="0"/>
        <w:jc w:val="both"/>
        <w:outlineLvl w:val="0"/>
        <w:rPr>
          <w:rFonts w:ascii="Arial" w:hAnsi="Arial" w:eastAsia="等线" w:cs="Arial"/>
          <w:b/>
          <w:sz w:val="44"/>
          <w:szCs w:val="20"/>
        </w:rPr>
      </w:pPr>
    </w:p>
    <w:sdt>
      <w:sdtPr>
        <w:rPr>
          <w:rFonts w:ascii="宋体" w:hAnsi="宋体" w:eastAsia="宋体" w:cstheme="minorBidi"/>
          <w:sz w:val="21"/>
          <w:szCs w:val="22"/>
        </w:rPr>
        <w:id w:val="147451359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sz w:val="21"/>
          <w:szCs w:val="22"/>
        </w:rPr>
      </w:sdtEndPr>
      <w:sdtContent>
        <w:p w14:paraId="3FAFF50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2" w:name="heading_0"/>
          <w:r>
            <w:rPr>
              <w:rFonts w:ascii="宋体" w:hAnsi="宋体" w:eastAsia="宋体"/>
              <w:sz w:val="21"/>
            </w:rPr>
            <w:t>目录</w:t>
          </w:r>
        </w:p>
        <w:p w14:paraId="6C7B358A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_Toc9090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面向中医电子病历的智能结构化与数据质量控制系统需求分析报告</w:t>
          </w:r>
          <w:r>
            <w:tab/>
          </w:r>
          <w:r>
            <w:fldChar w:fldCharType="begin"/>
          </w:r>
          <w:r>
            <w:instrText xml:space="preserve"> PAGEREF _Toc9090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102C530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_Toc15920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_Toc15920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8EE57D7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_Toc2824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1.1 项目背景（含数据现状与流转痛点）</w:t>
          </w:r>
          <w:r>
            <w:tab/>
          </w:r>
          <w:r>
            <w:fldChar w:fldCharType="begin"/>
          </w:r>
          <w:r>
            <w:instrText xml:space="preserve"> PAGEREF _Toc2824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5D618F0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_Toc30022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1.2 项目目标（明确整体输入输出总链路）</w:t>
          </w:r>
          <w:r>
            <w:tab/>
          </w:r>
          <w:r>
            <w:fldChar w:fldCharType="begin"/>
          </w:r>
          <w:r>
            <w:instrText xml:space="preserve"> PAGEREF _Toc30022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6C5FD55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_Toc3561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1.3 文档目的</w:t>
          </w:r>
          <w:r>
            <w:tab/>
          </w:r>
          <w:r>
            <w:fldChar w:fldCharType="begin"/>
          </w:r>
          <w:r>
            <w:instrText xml:space="preserve"> PAGEREF _Toc3561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B7EFA0E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_Toc8413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1.4 项目范围（数据边界清晰定义）</w:t>
          </w:r>
          <w:r>
            <w:tab/>
          </w:r>
          <w:r>
            <w:fldChar w:fldCharType="begin"/>
          </w:r>
          <w:r>
            <w:instrText xml:space="preserve"> PAGEREF _Toc8413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6E3E05A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_Toc26780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2 业务与用户角色分析（数据操作主体）</w:t>
          </w:r>
          <w:r>
            <w:tab/>
          </w:r>
          <w:r>
            <w:fldChar w:fldCharType="begin"/>
          </w:r>
          <w:r>
            <w:instrText xml:space="preserve"> PAGEREF _Toc26780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55A4C50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_Toc2556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2.1 用户角色与对应数据权限</w:t>
          </w:r>
          <w:r>
            <w:tab/>
          </w:r>
          <w:r>
            <w:fldChar w:fldCharType="begin"/>
          </w:r>
          <w:r>
            <w:instrText xml:space="preserve"> PAGEREF _Toc2556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FD401E2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_Toc3254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2.2 全局整体数据流转总流程（闭环链路）</w:t>
          </w:r>
          <w:r>
            <w:tab/>
          </w:r>
          <w:r>
            <w:fldChar w:fldCharType="begin"/>
          </w:r>
          <w:r>
            <w:instrText xml:space="preserve"> PAGEREF _Toc3254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32F95D6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_Toc7655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3 功能性需求（全模块细化：输入 + 处理 + 输出 + 模块关联）</w:t>
          </w:r>
          <w:r>
            <w:tab/>
          </w:r>
          <w:r>
            <w:fldChar w:fldCharType="begin"/>
          </w:r>
          <w:r>
            <w:instrText xml:space="preserve"> PAGEREF _Toc7655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480190D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_Toc29797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3.1 病历数据管理模块（数据入口层，系统首个数据节点）</w:t>
          </w:r>
          <w:r>
            <w:tab/>
          </w:r>
          <w:r>
            <w:fldChar w:fldCharType="begin"/>
          </w:r>
          <w:r>
            <w:instrText xml:space="preserve"> PAGEREF _Toc29797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757FB3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_Toc4136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3.2 智能结构化解析模块（核心转换层，非结构化→结构化）</w:t>
          </w:r>
          <w:r>
            <w:tab/>
          </w:r>
          <w:r>
            <w:fldChar w:fldCharType="begin"/>
          </w:r>
          <w:r>
            <w:instrText xml:space="preserve"> PAGEREF _Toc4136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D85B3E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_Toc26326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3.3 多层智能质量控制模块（数据筛选净化层）</w:t>
          </w:r>
          <w:r>
            <w:tab/>
          </w:r>
          <w:r>
            <w:fldChar w:fldCharType="begin"/>
          </w:r>
          <w:r>
            <w:instrText xml:space="preserve"> PAGEREF _Toc26326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43A91D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_Toc3549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3.4 数据治理与数据集导出模块（系统核心，数据终加工 + 成果输出层）</w:t>
          </w:r>
          <w:r>
            <w:tab/>
          </w:r>
          <w:r>
            <w:fldChar w:fldCharType="begin"/>
          </w:r>
          <w:r>
            <w:instrText xml:space="preserve"> PAGEREF _Toc3549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8F69D7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_Toc23753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4 非功能性需求</w:t>
          </w:r>
          <w:r>
            <w:tab/>
          </w:r>
          <w:r>
            <w:fldChar w:fldCharType="begin"/>
          </w:r>
          <w:r>
            <w:instrText xml:space="preserve"> PAGEREF _Toc23753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51D204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_Toc5232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4.1 性能需求（针对全链路数据处理效率）</w:t>
          </w:r>
          <w:r>
            <w:tab/>
          </w:r>
          <w:r>
            <w:fldChar w:fldCharType="begin"/>
          </w:r>
          <w:r>
            <w:instrText xml:space="preserve"> PAGEREF _Toc5232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51D2E7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_Toc28392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4.2 易用性需求</w:t>
          </w:r>
          <w:r>
            <w:tab/>
          </w:r>
          <w:r>
            <w:fldChar w:fldCharType="begin"/>
          </w:r>
          <w:r>
            <w:instrText xml:space="preserve"> PAGEREF _Toc28392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63DB401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_Toc20266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4.3 可靠性需求（数据流转安全可靠）</w:t>
          </w:r>
          <w:r>
            <w:tab/>
          </w:r>
          <w:r>
            <w:fldChar w:fldCharType="begin"/>
          </w:r>
          <w:r>
            <w:instrText xml:space="preserve"> PAGEREF _Toc20266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3A6B98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_Toc24633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4.4 兼容性需求</w:t>
          </w:r>
          <w:r>
            <w:tab/>
          </w:r>
          <w:r>
            <w:fldChar w:fldCharType="begin"/>
          </w:r>
          <w:r>
            <w:instrText xml:space="preserve"> PAGEREF _Toc24633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AF8F2A1">
          <w:pPr>
            <w:pStyle w:val="6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_Toc32572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4.5 安全性需求</w:t>
          </w:r>
          <w:r>
            <w:tab/>
          </w:r>
          <w:r>
            <w:fldChar w:fldCharType="begin"/>
          </w:r>
          <w:r>
            <w:instrText xml:space="preserve"> PAGEREF _Toc32572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838870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_Toc24076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5 接口需求</w:t>
          </w:r>
          <w:r>
            <w:tab/>
          </w:r>
          <w:r>
            <w:fldChar w:fldCharType="begin"/>
          </w:r>
          <w:r>
            <w:instrText xml:space="preserve"> PAGEREF _Toc24076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1B0FDC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_Toc2035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6 约束与假设（数据流转边界约束）</w:t>
          </w:r>
          <w:r>
            <w:tab/>
          </w:r>
          <w:r>
            <w:fldChar w:fldCharType="begin"/>
          </w:r>
          <w:r>
            <w:instrText xml:space="preserve"> PAGEREF _Toc2035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2AF6225">
          <w:pPr>
            <w:pStyle w:val="5"/>
            <w:tabs>
              <w:tab w:val="right" w:leader="dot" w:pos="9411"/>
            </w:tabs>
          </w:pPr>
          <w:r>
            <w:fldChar w:fldCharType="begin"/>
          </w:r>
          <w:r>
            <w:instrText xml:space="preserve"> HYPERLINK \l _Toc20198 </w:instrText>
          </w:r>
          <w:r>
            <w:fldChar w:fldCharType="separate"/>
          </w:r>
          <w:r>
            <w:rPr>
              <w:rFonts w:ascii="Arial" w:hAnsi="Arial" w:eastAsia="等线" w:cs="Arial"/>
              <w:szCs w:val="20"/>
            </w:rPr>
            <w:t>7 需求优先级划分（按数据流转核心度排序）</w:t>
          </w:r>
          <w:r>
            <w:tab/>
          </w:r>
          <w:r>
            <w:fldChar w:fldCharType="begin"/>
          </w:r>
          <w:r>
            <w:instrText xml:space="preserve"> PAGEREF _Toc20198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79ADE1"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end"/>
          </w:r>
        </w:p>
      </w:sdtContent>
    </w:sdt>
    <w:p w14:paraId="537B9AA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24A5F0FA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41C8E5EE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56DF6021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70E0C7A5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518C0A98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41401A58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20CBE546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45530FED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5DC7F861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36C8450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7CDD858D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41507BED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7459CF00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4D71B2A5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Theme="minorHAnsi" w:hAnsiTheme="minorHAnsi" w:eastAsiaTheme="minorEastAsia" w:cstheme="minorBidi"/>
          <w:sz w:val="21"/>
          <w:szCs w:val="22"/>
        </w:rPr>
      </w:pPr>
    </w:p>
    <w:p w14:paraId="4BED3BF1">
      <w:pPr>
        <w:spacing w:before="3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3" w:name="_Toc15582"/>
      <w:bookmarkStart w:id="4" w:name="_Toc15920"/>
      <w:r>
        <w:rPr>
          <w:rFonts w:ascii="Arial" w:hAnsi="Arial" w:eastAsia="等线" w:cs="Arial"/>
          <w:b/>
          <w:sz w:val="24"/>
          <w:szCs w:val="20"/>
        </w:rPr>
        <w:t>1 引言</w:t>
      </w:r>
      <w:bookmarkEnd w:id="2"/>
      <w:bookmarkEnd w:id="3"/>
      <w:bookmarkEnd w:id="4"/>
    </w:p>
    <w:p w14:paraId="650B68BF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5" w:name="_Toc25337"/>
      <w:bookmarkStart w:id="6" w:name="heading_1"/>
      <w:bookmarkStart w:id="7" w:name="_Toc2824"/>
      <w:r>
        <w:rPr>
          <w:rFonts w:ascii="Arial" w:hAnsi="Arial" w:eastAsia="等线" w:cs="Arial"/>
          <w:b/>
          <w:sz w:val="24"/>
          <w:szCs w:val="20"/>
        </w:rPr>
        <w:t>1.1 项目背景（含数据现状与流转痛点）</w:t>
      </w:r>
      <w:bookmarkEnd w:id="5"/>
      <w:bookmarkEnd w:id="6"/>
      <w:bookmarkEnd w:id="7"/>
    </w:p>
    <w:p w14:paraId="48ED28EC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目前中医临床电子病历以非结构化自由文本为唯一存储形式，由医生自主录入四诊信息、辨证结论、治法方药、病情描述等中医专属内容。原始数据无固定字段、无统一标准、无质量校验机制，导致完整数据链路断裂：原始病历无法被计算机结构化解析，难以完成病历检索、数据统计、合规校验等基础信息化处理工作。</w:t>
      </w:r>
    </w:p>
    <w:p w14:paraId="2EA81527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现有业务数据流转存在四大核心问题：</w:t>
      </w:r>
    </w:p>
    <w:p w14:paraId="4F5035C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数据输入杂乱：病历文本口语化、术语不统一、字段缺失严重，机器无法解析；</w:t>
      </w:r>
    </w:p>
    <w:p w14:paraId="06BA0570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无结构化转换环节：非结构化文本无法拆解为数据库可直接存储的标准化字段，只能以原始文本留存，无法进行数据统计和规整管理；</w:t>
      </w:r>
    </w:p>
    <w:p w14:paraId="74A5E50F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无质量管控链路：数据错漏、逻辑冲突、方药辨证不匹配等问题无人工 + 机器双重校验；</w:t>
      </w:r>
    </w:p>
    <w:p w14:paraId="54742C6C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无标准化治理输出：原始病历数据规范性差、质量参差不齐，无法直接用于病历统计分析、合规归档、数据复用等基础应用。</w:t>
      </w:r>
    </w:p>
    <w:p w14:paraId="064DF35A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本系统承接原始病历数据输入，完成结构化转换、质量校验、数据治理，最终输出高质量标准化数据集，形成「原始数据输入→加工质控→治理标准化→本地归档复用」的完整闭环数据流。</w:t>
      </w:r>
    </w:p>
    <w:p w14:paraId="7B6A49CE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8" w:name="_Toc30022"/>
      <w:bookmarkStart w:id="9" w:name="_Toc15587"/>
      <w:bookmarkStart w:id="10" w:name="heading_2"/>
      <w:r>
        <w:rPr>
          <w:rFonts w:ascii="Arial" w:hAnsi="Arial" w:eastAsia="等线" w:cs="Arial"/>
          <w:b/>
          <w:sz w:val="24"/>
          <w:szCs w:val="20"/>
        </w:rPr>
        <w:t>1.2 项目目标（明确整体输入输出总链路）</w:t>
      </w:r>
      <w:bookmarkEnd w:id="8"/>
      <w:bookmarkEnd w:id="9"/>
      <w:bookmarkEnd w:id="10"/>
    </w:p>
    <w:p w14:paraId="5493A19D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系统总输入：医院脱敏原始中医电子病历（TXT/Excel/CSV 非结构化文本数据）</w:t>
        <w:br/>
        <w:t>系统总处理：病历入库管理→智能结构化解析（NLP 能力，接入中医 NER 模型为拓展）→全程质控校验（缺失、重复、格式与基础逻辑检查）→数据清洗与术语归一治理→标准化数据集存储</w:t>
        <w:br/>
        <w:t>系统总输出：干净、规范、结构化、可复用的中医电子病历标准数据集，满足中医电子病历规范化整理、质量自查、结构化归档与本地数据复用需求</w:t>
      </w:r>
    </w:p>
    <w:p w14:paraId="1330EB91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具体目标：</w:t>
      </w:r>
    </w:p>
    <w:p w14:paraId="756EB82B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实现非结构化病历文本自动转换为结构化实体字段，解决机器不可读问题；</w:t>
      </w:r>
    </w:p>
    <w:p w14:paraId="6AD46D76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建立全链路质控体系，过滤错误、缺失、重复、格式异常数据（事前缺失与格式检查、终末分类复核为必做，事中证型—治法—方剂一致性检查为拓展功能）；</w:t>
      </w:r>
    </w:p>
    <w:p w14:paraId="3CBE0E4A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完成中医病历专属数据治理，统一术语、清洗脏数据、融合多源数据；</w:t>
      </w:r>
    </w:p>
    <w:p w14:paraId="3EBAFF0C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输出标准化数据集文件，满足病历规范化整理、数据统计、合规归档的基础信息化需求。</w:t>
      </w:r>
    </w:p>
    <w:p w14:paraId="69684B82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11" w:name="_Toc3561"/>
      <w:bookmarkStart w:id="12" w:name="_Toc26280"/>
      <w:bookmarkStart w:id="13" w:name="heading_3"/>
      <w:r>
        <w:rPr>
          <w:rFonts w:ascii="Arial" w:hAnsi="Arial" w:eastAsia="等线" w:cs="Arial"/>
          <w:b/>
          <w:sz w:val="24"/>
          <w:szCs w:val="20"/>
        </w:rPr>
        <w:t>1.3 文档目的</w:t>
      </w:r>
      <w:bookmarkEnd w:id="11"/>
      <w:bookmarkEnd w:id="12"/>
      <w:bookmarkEnd w:id="13"/>
    </w:p>
    <w:p w14:paraId="2DB3A310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本文档严格定义系统各模块输入数据、处理逻辑、输出数据、模块间数据关联、全链路数据流转与模块协作关系，明确功能、性能、安全、接口约束，为系统架构设计、数据库设计、前后端编码、系统测试提供唯一依据（本项目不涉及算法自研开发，结构化实体提取以词典、规则与开源分词工具（spaCy+jieba + 自定义规则）为基础实现；接入开源中医 NER 模型（如 TCMNER、hwtcmner 等 BERT 微调模型）为拓展功能，用于提升实体提取准确率）。</w:t>
      </w:r>
    </w:p>
    <w:p w14:paraId="434D5856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14" w:name="_Toc11837"/>
      <w:bookmarkStart w:id="15" w:name="heading_4"/>
      <w:bookmarkStart w:id="16" w:name="_Toc8413"/>
      <w:r>
        <w:rPr>
          <w:rFonts w:ascii="Arial" w:hAnsi="Arial" w:eastAsia="等线" w:cs="Arial"/>
          <w:b/>
          <w:sz w:val="24"/>
          <w:szCs w:val="20"/>
        </w:rPr>
        <w:t>1.4 项目范围（数据边界清晰定义）</w:t>
      </w:r>
      <w:bookmarkEnd w:id="14"/>
      <w:bookmarkEnd w:id="15"/>
      <w:bookmarkEnd w:id="16"/>
    </w:p>
    <w:p w14:paraId="120C09F4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数据包含范围：原始病历数据录入、结构化转换数据、质控异常数据、治理清洗数据、标准化输出数据集、系统操作日志数据、中医术语库配置数据。</w:t>
        <w:br/>
        <w:t>数据不包含范围：不实现病例智能检索、处方智能推荐、典型病例收藏、相似原因解释、患者自然语言自述输入、目标病例录入或选择等上层业务功能；症状频次统计、证型分布统计、方剂和中药频次统计、数据质量统计看板、ECharts 关系图谱等统计可视化功能列为拓展功能，不作为必做范围。系统核心聚焦病历结构化解析与数据质量治理工作。</w:t>
      </w:r>
    </w:p>
    <w:p w14:paraId="4B5DA389">
      <w:pPr>
        <w:spacing w:before="3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17" w:name="heading_5"/>
      <w:bookmarkStart w:id="18" w:name="_Toc1665"/>
      <w:bookmarkStart w:id="19" w:name="_Toc26780"/>
      <w:r>
        <w:rPr>
          <w:rFonts w:ascii="Arial" w:hAnsi="Arial" w:eastAsia="等线" w:cs="Arial"/>
          <w:b/>
          <w:sz w:val="24"/>
          <w:szCs w:val="20"/>
        </w:rPr>
        <w:t>2 业务与用户角色分析（数据操作主体）</w:t>
      </w:r>
      <w:bookmarkEnd w:id="17"/>
      <w:bookmarkEnd w:id="18"/>
      <w:bookmarkEnd w:id="19"/>
    </w:p>
    <w:p w14:paraId="6AB97730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20" w:name="heading_6"/>
      <w:bookmarkStart w:id="21" w:name="_Toc14230"/>
      <w:bookmarkStart w:id="22" w:name="_Toc2556"/>
      <w:r>
        <w:rPr>
          <w:rFonts w:ascii="Arial" w:hAnsi="Arial" w:eastAsia="等线" w:cs="Arial"/>
          <w:b/>
          <w:sz w:val="24"/>
          <w:szCs w:val="20"/>
        </w:rPr>
        <w:t>2.1 用户角色与对应数据权限</w:t>
      </w:r>
      <w:bookmarkEnd w:id="20"/>
      <w:bookmarkEnd w:id="21"/>
      <w:bookmarkEnd w:id="22"/>
    </w:p>
    <w:p w14:paraId="64282887">
      <w:pPr>
        <w:numPr>
          <w:ilvl w:val="0"/>
          <w:numId w:val="9"/>
        </w:numPr>
        <w:spacing w:before="120" w:after="120" w:line="288" w:lineRule="auto"/>
        <w:ind w:left="0" w:leftChars="0"/>
        <w:jc w:val="left"/>
        <w:outlineLvl w:val="9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数据管理员（核心数据操作角色）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输入操作：上传原始病历、选择预设质控规则、启动批量治理任务；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处理操作：数据清洗、术语归一、数据集整理；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输出操作：导出结构化标准病历数据、归档高质量数据，用于病历规范化留存与本地数据复用。</w:t>
      </w:r>
    </w:p>
    <w:p w14:paraId="71D37C33">
      <w:pPr>
        <w:numPr>
          <w:ilvl w:val="0"/>
          <w:numId w:val="10"/>
        </w:numPr>
        <w:spacing w:before="120" w:after="120" w:line="288" w:lineRule="auto"/>
        <w:ind w:left="0" w:leftChars="0"/>
        <w:jc w:val="left"/>
        <w:outlineLvl w:val="9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病历审核人员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输入数据：系统自动生成的质控异常病历列表；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处理操作：人工复核、修正结构化错误、修正逻辑冲突数据；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输出数据：复核完成的合规病历数据。</w:t>
      </w:r>
    </w:p>
    <w:p w14:paraId="534312A1">
      <w:pPr>
        <w:numPr>
          <w:ilvl w:val="0"/>
          <w:numId w:val="11"/>
        </w:numPr>
        <w:spacing w:before="120" w:after="120" w:line="288" w:lineRule="auto"/>
        <w:ind w:left="0" w:leftChars="0"/>
        <w:jc w:val="left"/>
        <w:outlineLvl w:val="9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科研只读用户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输入数据：系统治理完成的标准化结构化数据集；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操作：仅可查看、下载标准化数据集，无数据修改、删除、写入权限。</w:t>
      </w:r>
    </w:p>
    <w:p w14:paraId="03EC86BE">
      <w:pPr>
        <w:numPr>
          <w:ilvl w:val="0"/>
          <w:numId w:val="12"/>
        </w:numPr>
        <w:spacing w:before="120" w:after="120" w:line="288" w:lineRule="auto"/>
        <w:ind w:left="0" w:leftChars="0"/>
        <w:jc w:val="left"/>
        <w:outlineLvl w:val="9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系统管理员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输入：用户账号数据、术语库数据、系统配置数据；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处理：权限分配、术语库配置、系统参数配置；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输出：稳定的系统运行环境与标准术语规则库。</w:t>
      </w:r>
    </w:p>
    <w:p w14:paraId="13DC0295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23" w:name="_Toc25060"/>
      <w:bookmarkStart w:id="24" w:name="_Toc3254"/>
      <w:bookmarkStart w:id="25" w:name="heading_7"/>
      <w:r>
        <w:rPr>
          <w:rFonts w:ascii="Arial" w:hAnsi="Arial" w:eastAsia="等线" w:cs="Arial"/>
          <w:b/>
          <w:sz w:val="24"/>
          <w:szCs w:val="20"/>
        </w:rPr>
        <w:t>2.2 全局整体数据流转总流程（闭环链路）</w:t>
      </w:r>
      <w:bookmarkEnd w:id="23"/>
      <w:bookmarkEnd w:id="24"/>
      <w:bookmarkEnd w:id="25"/>
    </w:p>
    <w:p w14:paraId="7C020044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外部原始病历数据【输入】→病历管理模块（入库存储）【输出原始病历库】→智能结构化模块（文本解析抽实体）【输出结构化临时数据】→智能质控模块（缺失、重复、格式与基础逻辑检查筛错）【输出合规病历 + 异常病历】→合规数据直接进入数据治理模块；异常数据进入人工复核队列，修正后回流二次校验，校验通过进入治理模块，校验仍不通过则隔离归档、终止流转→数据治理模块（清洗、归一、融合、去重）【输出高质量标准数据】→标准化数据集持久化存储【系统最终成果】→权限管控导出与本地存储，支撑病历规范化管理与基础数据统计应用</w:t>
      </w:r>
    </w:p>
    <w:p w14:paraId="34B75101">
      <w:pPr>
        <w:spacing w:before="3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26" w:name="_Toc7655"/>
      <w:bookmarkStart w:id="27" w:name="_Toc10435"/>
      <w:bookmarkStart w:id="28" w:name="heading_8"/>
      <w:r>
        <w:rPr>
          <w:rFonts w:ascii="Arial" w:hAnsi="Arial" w:eastAsia="等线" w:cs="Arial"/>
          <w:b/>
          <w:sz w:val="24"/>
          <w:szCs w:val="20"/>
        </w:rPr>
        <w:t>3 功能性需求（全模块细化：输入 + 处理 + 输出 + 模块关联）</w:t>
      </w:r>
      <w:bookmarkEnd w:id="26"/>
      <w:bookmarkEnd w:id="27"/>
      <w:bookmarkEnd w:id="28"/>
    </w:p>
    <w:p w14:paraId="440063FF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29" w:name="_Toc29797"/>
      <w:bookmarkStart w:id="30" w:name="heading_9"/>
      <w:bookmarkStart w:id="31" w:name="_Toc18298"/>
      <w:r>
        <w:rPr>
          <w:rFonts w:ascii="Arial" w:hAnsi="Arial" w:eastAsia="等线" w:cs="Arial"/>
          <w:b/>
          <w:sz w:val="24"/>
          <w:szCs w:val="20"/>
        </w:rPr>
        <w:t>3.1 病历数据管理模块（数据入口层，系统首个数据节点）</w:t>
      </w:r>
      <w:bookmarkEnd w:id="29"/>
      <w:bookmarkEnd w:id="30"/>
      <w:bookmarkEnd w:id="31"/>
    </w:p>
    <w:p w14:paraId="01969A9E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模块定位：系统数据总入口，负责原始数据接收、存储、管理，为后续结构化、质控、治理提供数据源支撑，是所有下游模块的数据来源。</w:t>
        <w:br/>
        <w:t>输入数据：外部批量 / 单条中医电子病历文件（TXT/Excel/CSV，单文件最大 10MB，单次最多上传 10 个文件），包含患者脱敏信息、就诊信息、完整自由文本病历内容。</w:t>
      </w:r>
    </w:p>
    <w:p w14:paraId="638A38E7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核心处理逻辑：</w:t>
      </w:r>
    </w:p>
    <w:p w14:paraId="6E028385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解析上传文件，校验文件格式、文本完整性，过滤空文件、乱码文件；</w:t>
      </w:r>
    </w:p>
    <w:p w14:paraId="645CD682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分类存储原始病历数据，建立病历唯一 ID，绑定就诊时间、科室、门诊 / 住院标签（标签从文件名或文件内容中解析提取，若无法解析则由用户手动填写）；</w:t>
      </w:r>
    </w:p>
    <w:p w14:paraId="6ACA7262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提供病历检索、筛选、新增、修改、删除、归档管理能力；</w:t>
      </w:r>
    </w:p>
    <w:p w14:paraId="414F0303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原始数据只读锁定，禁止随意篡改，保证数据源真实性。</w:t>
      </w:r>
    </w:p>
    <w:p w14:paraId="3E0BC83F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输出数据：入库的原始病历数据集（带唯一 ID、分类标签、完整原始文本）。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模块关联：本模块输出数据 直接输入 智能结构化解析模块，是系统所有后续处理的基础数据源。</w:t>
      </w:r>
    </w:p>
    <w:p w14:paraId="7691C3E3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32" w:name="_Toc842"/>
      <w:bookmarkStart w:id="33" w:name="heading_10"/>
      <w:bookmarkStart w:id="34" w:name="_Toc4136"/>
      <w:r>
        <w:rPr>
          <w:rFonts w:ascii="Arial" w:hAnsi="Arial" w:eastAsia="等线" w:cs="Arial"/>
          <w:b/>
          <w:sz w:val="24"/>
          <w:szCs w:val="20"/>
        </w:rPr>
        <w:t>3.2 智能结构化解析模块（核心转换层，非结构化→结构化）</w:t>
      </w:r>
      <w:bookmarkEnd w:id="32"/>
      <w:bookmarkEnd w:id="33"/>
      <w:bookmarkEnd w:id="34"/>
    </w:p>
    <w:p w14:paraId="371F45E4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模块定位：系统核心转换引擎，承接原始非结构化文本，输出机器可识别的中医结构化实体数据，是病历质量校验、数据标准化治理、病历信息化管理的前置基础环节。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输入数据：病历管理模块输出的完整原始自由文本病历数据。</w:t>
      </w:r>
    </w:p>
    <w:p w14:paraId="4EC40176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核心处理逻辑：</w:t>
      </w:r>
    </w:p>
    <w:p w14:paraId="6C256F46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以词典与自定义规则为基础（jieba 分词 + 自定义中医实体规则库）对病历全文分词、实体识别；接入开源中医 NER 模型（如 TCMNER、hwtcmner 等 BERT 微调模型）为拓展功能，用于提升实体识别准确率；</w:t>
      </w:r>
    </w:p>
    <w:p w14:paraId="2D7CE1B6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实体抽取四诊信息（症状、舌象、脉象）、辨证信息（病因、证型、治法）、方药信息（方剂、中药、剂量）；</w:t>
      </w:r>
    </w:p>
    <w:p w14:paraId="5057FC1C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建立原始文本与结构化字段的对应映射关系，保留数据溯源关系，支持原文与结构化结果对照展示；</w:t>
      </w:r>
    </w:p>
    <w:p w14:paraId="1FF63C90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支持人工修正实体抽取错误，修正后数据自动覆盖原记录并更新结构化临时数据表，留存操作日志记录，不实现知识库迭代、规则自动优化等拓展功能。</w:t>
      </w:r>
    </w:p>
    <w:p w14:paraId="65AAA75A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输出数据：带溯源关系的中医病历结构化临时数据表（包含所有中医实体字段 + 对应原始文本片段）。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模块关联：本模块结构化结果 全部输入 多层智能质控模块，用于质量校验。</w:t>
      </w:r>
    </w:p>
    <w:p w14:paraId="2F9AD82E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35" w:name="_Toc26326"/>
      <w:bookmarkStart w:id="36" w:name="_Toc29228"/>
      <w:bookmarkStart w:id="37" w:name="heading_11"/>
      <w:r>
        <w:rPr>
          <w:rFonts w:ascii="Arial" w:hAnsi="Arial" w:eastAsia="等线" w:cs="Arial"/>
          <w:b/>
          <w:sz w:val="24"/>
          <w:szCs w:val="20"/>
        </w:rPr>
        <w:t>3.3 多层智能质量控制模块（数据筛选净化层）</w:t>
      </w:r>
      <w:bookmarkEnd w:id="35"/>
      <w:bookmarkEnd w:id="36"/>
      <w:bookmarkEnd w:id="37"/>
    </w:p>
    <w:p w14:paraId="1D8D7164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模块定位：对结构化后的病历数据做合规性、完整性、中医内涵逻辑性校验，筛除劣质、错误、冲突数据，为数据治理提供合格半成品数据。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输入数据：智能结构化模块输出的带溯源关系的中医病历结构化临时数据表（包含所有中医实体字段 + 对应原始文本片段）。</w:t>
      </w:r>
    </w:p>
    <w:p w14:paraId="736147DD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核心处理逻辑：</w:t>
      </w:r>
    </w:p>
    <w:p w14:paraId="212B5EE8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事前质控（必做）：检测中医病历核心结构化字段缺失（无脉象、无证型、无治法、无病因、无方药等核心必填项缺失）、重复数据与格式错误，全面标记字段缺失类、重复类、格式类异常；</w:t>
      </w:r>
    </w:p>
    <w:p w14:paraId="6C462B33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事中质控（拓展功能，中医证型—治法—方剂一致性检查）：依托系统内置固定中医诊疗规则完成核心逻辑校验，不作为必做范围，若实现则具体规则包括：</w:t>
      </w:r>
    </w:p>
    <w:p w14:paraId="44018BCD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证型 - 治法规则：如证型 "风寒感冒"→治法应含 "辛温解表"；证型 "风热感冒"→治法应含 "辛凉解表"</w:t>
      </w:r>
    </w:p>
    <w:p w14:paraId="5A0B7BBC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证型 - 方剂规则：如证型 "风寒感冒"→方剂应选 "麻黄汤" 类；证型 "风热感冒"→方剂应选 "银翘散" 类</w:t>
      </w:r>
    </w:p>
    <w:p w14:paraId="1BFBA399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证型 - 中药规则：如证型 "风寒感冒"→中药应含麻黄、桂枝等辛温解表药</w:t>
      </w:r>
    </w:p>
    <w:p w14:paraId="2E33D443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基础完整性校验（必做）：脉象、舌象、证型、治法、方剂、中药为必填项，缺失则标记异常（与事前质控缺失检查一致）；系统仅实现固定规则校验，不支持用户自定义规则编辑功能。</w:t>
      </w:r>
    </w:p>
    <w:p w14:paraId="6909C422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终末质控：依据事前、事中检查结果自动区分合格病历与异常病历（必做），分类统计异常类型，生成异常病历清单供人工复核；对单条病历自动质量评分、批量生成质控报告为拓展功能；</w:t>
      </w:r>
      <w:bookmarkStart w:id="76" w:name="_GoBack"/>
      <w:bookmarkEnd w:id="76"/>
    </w:p>
    <w:p w14:paraId="07C4FD1E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合格 / 异常病历分类判定（必做）：核心必填字段（脉象、舌象、证型、治法、方剂、中药）无缺失、无重复、格式规范、无基础逻辑冲突的病历判定为合格病历，直接进入数据治理模块；存在字段缺失、重复数据、格式错误、基础逻辑冲突任一异常的病历判定为异常病历，进入人工复核队列（复核时限 7 个工作日内）；核心必填字段缺失 3 项及以上，或数据文本无法解析，经人工复核后仍无法修复的病历判定为无效脏数据，隔离归档至系统异常数据区，不进入后续治理流程。</w:t>
      </w:r>
    </w:p>
    <w:p w14:paraId="12D79EBD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  <w:r>
        <w:rPr>
          <w:rFonts w:ascii="Arial" w:hAnsi="Arial" w:eastAsia="等线" w:cs="Arial"/>
          <w:sz w:val="20"/>
          <w:szCs w:val="20"/>
        </w:rPr>
        <w:t>自动质量评分（拓展功能）：病历评分满分 100 分，按错误类型累计扣分，最低扣至 0 分，扣分规则如下：核心必填字段（脉象、舌象、证型、治法、方剂、中药）缺失，每项扣 15 分；辨证逻辑冲突（证型-治法、证型-方剂、证型-中药规则校验不通过），每项扣 10 分；非核心字段缺失、格式错误、重复数据，每项扣 5 分；</w:t>
      </w:r>
    </w:p>
    <w:p w14:paraId="0CCEC912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  <w:r>
        <w:rPr>
          <w:rFonts w:ascii="Arial" w:hAnsi="Arial" w:eastAsia="等线" w:cs="Arial"/>
          <w:sz w:val="20"/>
          <w:szCs w:val="20"/>
        </w:rPr>
        <w:t>严重问题定义（拓展功能）：核心必填字段缺失 3 项及以上，或证型-治法与证型-方剂规则同时校验不通过，或数据文本无法解析，均视为严重逻辑错误；</w:t>
      </w:r>
    </w:p>
    <w:p w14:paraId="66D1210F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评分分级（拓展功能，用于自动质量评分）：评分 ≥90 分且无严重问题判定为合格，直接进入数据治理模块；60 分≤评分&lt;90 分，或存在非严重逻辑冲突，进入人工复核队列（复核时限 7 个工作日内）；评分 &lt;60 分，或存在严重逻辑错误且人工复核后仍无法修复，标记为无效脏数据并隔离归档至系统异常数据区，不进入后续治理流程。</w:t>
      </w:r>
    </w:p>
    <w:p w14:paraId="51AA8188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区分合规数据与异常数据，异常数据进入人工复核队列（建议复核时限：7 个工作日内），由审核人员修正后回流本模块二次质控校验；对于人工复核后仍无法修复、存在严重逻辑错误的病历数据，系统自动标记为无效脏数据并统一隔离归档至系统异常数据区，不进入后续治理流程，实现数据全流程闭环无断点。</w:t>
      </w:r>
    </w:p>
    <w:p w14:paraId="66091D1E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输出数据：① 质控合格结构化病历数据；② 待人工复核异常病历数据集；③ 质控异常统计报表（必做）与自动质量评分报告（拓展功能）（报告存储于系统日志区，支持在线查看与导出）。</w:t>
        <w:br/>
        <w:t>模块关联：质控合格数据直接流入数据治理模块；异常数据进入人工复核队列，审核人员在系统内修正后，数据自动回流至本模块重新执行事前 + 事中质控校验，校验通过后进入治理环节，校验仍不通过则标记为无效脏数据。</w:t>
      </w:r>
    </w:p>
    <w:p w14:paraId="3521A8FC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38" w:name="heading_12"/>
      <w:bookmarkStart w:id="39" w:name="_Toc16385"/>
      <w:bookmarkStart w:id="40" w:name="_Toc3549"/>
      <w:r>
        <w:rPr>
          <w:rFonts w:ascii="Arial" w:hAnsi="Arial" w:eastAsia="等线" w:cs="Arial"/>
          <w:b/>
          <w:sz w:val="24"/>
          <w:szCs w:val="20"/>
        </w:rPr>
        <w:t>3.4 数据治理与数据集导出模块（系统核心，数据终加工 + 成果输出层）</w:t>
      </w:r>
      <w:bookmarkEnd w:id="38"/>
      <w:bookmarkEnd w:id="39"/>
      <w:bookmarkEnd w:id="40"/>
    </w:p>
    <w:p w14:paraId="57280DCA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模块定位：系统最终数据标准化加工核心，对质控合格数据做深度清洗、归一、融合，产出规范、统一、可直接归档复用的高质量结构化中医病历数据集。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输入数据：质控模块输出的合规结构化病历数据（含人工复核修正后经二次校验通过的完整数据）。</w:t>
      </w:r>
    </w:p>
    <w:p w14:paraId="142CC31D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核心处理逻辑：</w:t>
      </w:r>
    </w:p>
    <w:p w14:paraId="545FD75F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数据清洗：自动去重、过滤无效脏数据、修补轻度缺失字段、清除乱码冗余文本；</w:t>
      </w:r>
    </w:p>
    <w:p w14:paraId="12D3F285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术语归一：依托系统内置中医标准术语库（以 Excel/CSV 格式导入，包含以下内容），统一同义词、别名、口语化表述，实现全库术语标准化：</w:t>
      </w:r>
    </w:p>
    <w:p w14:paraId="75C48C2D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证型术语：来源于《中医病证分类与代码》GB/T 15657-2021</w:t>
      </w:r>
    </w:p>
    <w:p w14:paraId="489748CB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中药术语：来源于《中国药典》2020 版</w:t>
      </w:r>
    </w:p>
    <w:p w14:paraId="415CF3FC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方剂术语：来源于《中医方剂大辞典》</w:t>
      </w:r>
    </w:p>
    <w:p w14:paraId="6741A464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症状术语：来源于《中医临床诊疗术语》GB/T 16751</w:t>
      </w:r>
    </w:p>
    <w:p w14:paraId="49B3BE4A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数据规整处理：统一所有病历数据的结构化字段格式，对重复字段、冗余内容进行合并去重，保证输出数据集字段统一、格式规范；</w:t>
      </w:r>
    </w:p>
    <w:p w14:paraId="173F1769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脏数据隔离：无法修复的劣质数据统一隔离归档至系统异常数据区（与 3.3 节脏数据隔离区一致），禁止进入标准数据集；</w:t>
      </w:r>
    </w:p>
    <w:p w14:paraId="1F78911C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标准化数据集持久化存储、分类检索、权限管控导出，支持 CSV（UTF-8 编码，首行为字段名）格式输出（必做）；JSON（数组格式，每个元素为一条病历的结构化字段对象）、Excel、PDF 等格式导出为拓展功能；留存数据操作日志，支持数据版本追溯（拓展功能），保障本地数据安全复用。</w:t>
      </w:r>
    </w:p>
    <w:p w14:paraId="579E3266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输出数据：最终版中医电子病历标准化、结构化、高质量数据集。</w:t>
      </w:r>
      <w:r>
        <w:rPr>
          <w:rFonts w:ascii="Arial" w:hAnsi="Arial" w:eastAsia="等线" w:cs="Arial"/>
          <w:sz w:val="20"/>
          <w:szCs w:val="20"/>
        </w:rPr>
        <w:br w:type="textWrapping"/>
      </w:r>
      <w:r>
        <w:rPr>
          <w:rFonts w:ascii="Arial" w:hAnsi="Arial" w:eastAsia="等线" w:cs="Arial"/>
          <w:sz w:val="20"/>
          <w:szCs w:val="20"/>
        </w:rPr>
        <w:t>模块关联：本模块输出数据为系统最终成品数据，供病历归档、数据查询、本地数据复用调用。</w:t>
      </w:r>
    </w:p>
    <w:p w14:paraId="758668CD">
      <w:pPr>
        <w:spacing w:before="3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41" w:name="heading_13"/>
      <w:bookmarkStart w:id="42" w:name="_Toc23753"/>
      <w:bookmarkStart w:id="43" w:name="_Toc17090"/>
      <w:r>
        <w:rPr>
          <w:rFonts w:ascii="Arial" w:hAnsi="Arial" w:eastAsia="等线" w:cs="Arial"/>
          <w:b/>
          <w:sz w:val="24"/>
          <w:szCs w:val="20"/>
        </w:rPr>
        <w:t>4 非功能性需求</w:t>
      </w:r>
      <w:bookmarkEnd w:id="41"/>
      <w:bookmarkEnd w:id="42"/>
      <w:bookmarkEnd w:id="43"/>
    </w:p>
    <w:p w14:paraId="33535B6E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44" w:name="_Toc692"/>
      <w:bookmarkStart w:id="45" w:name="heading_14"/>
      <w:bookmarkStart w:id="46" w:name="_Toc5232"/>
      <w:r>
        <w:rPr>
          <w:rFonts w:ascii="Arial" w:hAnsi="Arial" w:eastAsia="等线" w:cs="Arial"/>
          <w:b/>
          <w:sz w:val="24"/>
          <w:szCs w:val="20"/>
        </w:rPr>
        <w:t>4.1 性能需求（针对全链路数据处理效率）</w:t>
      </w:r>
      <w:bookmarkEnd w:id="44"/>
      <w:bookmarkEnd w:id="45"/>
      <w:bookmarkEnd w:id="46"/>
    </w:p>
    <w:p w14:paraId="20AD7C47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单条病历结构化解析响应时间≤3 秒，批量处理速度≥30 条 / 分钟；</w:t>
      </w:r>
    </w:p>
    <w:p w14:paraId="13E9EE4B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系统支持小批量病历数据一体化处理（单次批量处理上限 100 条病历），整体处理速度满足系统测试与数据集制作需求；</w:t>
      </w:r>
    </w:p>
    <w:p w14:paraId="3E422CFF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系统支持单人常规操作、小批量数据处理，保障日常使用、数据处理流程稳定无卡顿、无数据丢失（单机部署场景不做多用户并发优化）。</w:t>
      </w:r>
    </w:p>
    <w:p w14:paraId="7941D6C7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47" w:name="heading_15"/>
      <w:bookmarkStart w:id="48" w:name="_Toc28392"/>
      <w:bookmarkStart w:id="49" w:name="_Toc878"/>
      <w:r>
        <w:rPr>
          <w:rFonts w:ascii="Arial" w:hAnsi="Arial" w:eastAsia="等线" w:cs="Arial"/>
          <w:b/>
          <w:sz w:val="24"/>
          <w:szCs w:val="20"/>
        </w:rPr>
        <w:t>4.2 易用性需求</w:t>
      </w:r>
      <w:bookmarkEnd w:id="47"/>
      <w:bookmarkEnd w:id="48"/>
      <w:bookmarkEnd w:id="49"/>
    </w:p>
    <w:p w14:paraId="28593F6B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系统提供简洁可视化操作页面，分层展示原始病历、结构化数据、质控异常数据、治理后标准数据，支持一键批量处理，操作简单、学习成本低，适配日常数据处理使用场景。</w:t>
      </w:r>
    </w:p>
    <w:p w14:paraId="7C399CD0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50" w:name="_Toc13306"/>
      <w:bookmarkStart w:id="51" w:name="_Toc20266"/>
      <w:bookmarkStart w:id="52" w:name="heading_16"/>
      <w:r>
        <w:rPr>
          <w:rFonts w:ascii="Arial" w:hAnsi="Arial" w:eastAsia="等线" w:cs="Arial"/>
          <w:b/>
          <w:sz w:val="24"/>
          <w:szCs w:val="20"/>
        </w:rPr>
        <w:t>4.3 可靠性需求（数据流转安全可靠）</w:t>
      </w:r>
      <w:bookmarkEnd w:id="50"/>
      <w:bookmarkEnd w:id="51"/>
      <w:bookmarkEnd w:id="52"/>
    </w:p>
    <w:p w14:paraId="64B45519">
      <w:pPr>
        <w:numPr>
          <w:ilvl w:val="0"/>
          <w:numId w:val="41"/>
        </w:numPr>
        <w:spacing w:before="1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53" w:name="_Toc27867"/>
      <w:bookmarkStart w:id="54" w:name="_Toc17298"/>
      <w:bookmarkStart w:id="55" w:name="_Toc18059"/>
      <w:r>
        <w:rPr>
          <w:rFonts w:ascii="Arial" w:hAnsi="Arial" w:eastAsia="等线" w:cs="Arial"/>
          <w:sz w:val="20"/>
          <w:szCs w:val="20"/>
        </w:rPr>
        <w:t>原始输入数据自动备份，防止上传丢失；</w:t>
      </w:r>
      <w:bookmarkEnd w:id="53"/>
      <w:bookmarkEnd w:id="54"/>
      <w:bookmarkEnd w:id="55"/>
    </w:p>
    <w:p w14:paraId="520F9318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批量处理支持进度显示与中断后重新处理（从当前批次未处理的数据开始，不支持断点续跑）（拓展功能，批量任务进度和失败重试）；</w:t>
      </w:r>
    </w:p>
    <w:p w14:paraId="5D0A020E">
      <w:pPr>
        <w:numPr>
          <w:ilvl w:val="0"/>
          <w:numId w:val="43"/>
        </w:numPr>
        <w:spacing w:before="1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56" w:name="_Toc14911"/>
      <w:bookmarkStart w:id="57" w:name="_Toc2904"/>
      <w:bookmarkStart w:id="58" w:name="_Toc31384"/>
      <w:r>
        <w:rPr>
          <w:rFonts w:ascii="Arial" w:hAnsi="Arial" w:eastAsia="等线" w:cs="Arial"/>
          <w:sz w:val="20"/>
          <w:szCs w:val="20"/>
        </w:rPr>
        <w:t>异常数据、脏数据自动隔离，绝不污染最终标准输出数据集。</w:t>
      </w:r>
      <w:bookmarkEnd w:id="56"/>
      <w:bookmarkEnd w:id="57"/>
      <w:bookmarkEnd w:id="58"/>
    </w:p>
    <w:p w14:paraId="317E6DB9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59" w:name="heading_17"/>
      <w:bookmarkStart w:id="60" w:name="_Toc24633"/>
      <w:bookmarkStart w:id="61" w:name="_Toc8305"/>
      <w:r>
        <w:rPr>
          <w:rFonts w:ascii="Arial" w:hAnsi="Arial" w:eastAsia="等线" w:cs="Arial"/>
          <w:b/>
          <w:sz w:val="24"/>
          <w:szCs w:val="20"/>
        </w:rPr>
        <w:t>4.4 兼容性需求</w:t>
      </w:r>
      <w:bookmarkEnd w:id="59"/>
      <w:bookmarkEnd w:id="60"/>
      <w:bookmarkEnd w:id="61"/>
    </w:p>
    <w:p w14:paraId="710F7568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系统 B/S 架构适配主流电脑浏览器，输出的 CSV 通用格式（必做）可直接用 Excel、记事本等常规工具打开编辑，适配本地数据整理、归档使用场景；JSON、Excel、PDF 等格式导出为拓展功能。</w:t>
      </w:r>
    </w:p>
    <w:p w14:paraId="323A6BBF">
      <w:pPr>
        <w:spacing w:before="300" w:after="120" w:line="288" w:lineRule="auto"/>
        <w:ind w:left="0" w:leftChars="0"/>
        <w:jc w:val="left"/>
        <w:outlineLvl w:val="1"/>
        <w:rPr>
          <w:sz w:val="18"/>
          <w:szCs w:val="20"/>
        </w:rPr>
      </w:pPr>
      <w:bookmarkStart w:id="62" w:name="heading_18"/>
      <w:bookmarkStart w:id="63" w:name="_Toc32572"/>
      <w:bookmarkStart w:id="64" w:name="_Toc6442"/>
      <w:r>
        <w:rPr>
          <w:rFonts w:ascii="Arial" w:hAnsi="Arial" w:eastAsia="等线" w:cs="Arial"/>
          <w:b/>
          <w:sz w:val="24"/>
          <w:szCs w:val="20"/>
        </w:rPr>
        <w:t>4.5 安全性需求</w:t>
      </w:r>
      <w:bookmarkEnd w:id="62"/>
      <w:bookmarkEnd w:id="63"/>
      <w:bookmarkEnd w:id="64"/>
    </w:p>
    <w:p w14:paraId="2A4DE9BF">
      <w:pPr>
        <w:numPr>
          <w:ilvl w:val="0"/>
          <w:numId w:val="44"/>
        </w:numPr>
        <w:spacing w:before="1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65" w:name="_Toc10726"/>
      <w:bookmarkStart w:id="66" w:name="_Toc8842"/>
      <w:r>
        <w:rPr>
          <w:rFonts w:ascii="Arial" w:hAnsi="Arial" w:eastAsia="等线" w:cs="Arial"/>
          <w:sz w:val="20"/>
          <w:szCs w:val="20"/>
        </w:rPr>
        <w:t>支持用户登录验证，区分管理员与普通用户基本操作权限；</w:t>
      </w:r>
      <w:bookmarkEnd w:id="65"/>
      <w:bookmarkEnd w:id="66"/>
    </w:p>
    <w:p w14:paraId="6352E663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所有数据流转节点全程留痕，可追溯每一次数据加工、修改、导出行为；复杂权限管理与操作日志审计（细粒度权限控制、审计报表等）为拓展功能。</w:t>
      </w:r>
    </w:p>
    <w:p w14:paraId="541F1E7B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患者隐私数据脱敏处理，禁止原始隐私数据对外输出。</w:t>
      </w:r>
    </w:p>
    <w:p w14:paraId="4B6DEEF3">
      <w:pPr>
        <w:spacing w:before="3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67" w:name="_Toc24076"/>
      <w:bookmarkStart w:id="68" w:name="_Toc6634"/>
      <w:bookmarkStart w:id="69" w:name="heading_19"/>
      <w:r>
        <w:rPr>
          <w:rFonts w:ascii="Arial" w:hAnsi="Arial" w:eastAsia="等线" w:cs="Arial"/>
          <w:b/>
          <w:sz w:val="24"/>
          <w:szCs w:val="20"/>
        </w:rPr>
        <w:t>5 接口需求</w:t>
      </w:r>
      <w:bookmarkEnd w:id="67"/>
      <w:bookmarkEnd w:id="68"/>
      <w:bookmarkEnd w:id="69"/>
    </w:p>
    <w:p w14:paraId="699F35D7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离线文件接口：支持导出 CSV 格式文件（必做），供管理人员本地数据查看、病历统计、档案整理使用；JSON、Excel、PDF 等格式导出为拓展功能。</w:t>
      </w:r>
    </w:p>
    <w:p w14:paraId="3E99E178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操作日志导出：支持导出系统操作日志，供管理员审查数据处理过程。</w:t>
      </w:r>
    </w:p>
    <w:p w14:paraId="0A83BD95">
      <w:pPr>
        <w:spacing w:before="3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70" w:name="heading_20"/>
      <w:bookmarkStart w:id="71" w:name="_Toc2035"/>
      <w:bookmarkStart w:id="72" w:name="_Toc27239"/>
      <w:r>
        <w:rPr>
          <w:rFonts w:ascii="Arial" w:hAnsi="Arial" w:eastAsia="等线" w:cs="Arial"/>
          <w:b/>
          <w:sz w:val="24"/>
          <w:szCs w:val="20"/>
        </w:rPr>
        <w:t>6 约束与假设（数据流转边界约束）</w:t>
      </w:r>
      <w:bookmarkEnd w:id="70"/>
      <w:bookmarkEnd w:id="71"/>
      <w:bookmarkEnd w:id="72"/>
    </w:p>
    <w:p w14:paraId="70096C8F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输入数据约束：仅接收项目内部脱敏中医病历数据集，不对接医院实时生产数据库；</w:t>
      </w:r>
    </w:p>
    <w:p w14:paraId="7CCA4810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功能边界约束：本系统仅专注病历结构化解析、质量质控与数据治理工作，不执行病例智能检索、处方智能推荐、患者自然语言自述输入等业务功能；接入中医 NER 模型、自动质量评分、证型—治法—方剂一致性检查、统计可视化等拓展功能不作为必做范围。</w:t>
      </w:r>
    </w:p>
    <w:p w14:paraId="47C5C145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数据假设：输入原始病历文本清晰可解析，无大量无法识别乱码、无严重残缺内容，保证流转加工有效性；人工复核后无法修复的劣质病历数据，统一执行隔离归档处理，不纳入标准数据集。</w:t>
      </w:r>
    </w:p>
    <w:p w14:paraId="7AEAF538">
      <w:pPr>
        <w:spacing w:before="320" w:after="120" w:line="288" w:lineRule="auto"/>
        <w:ind w:left="0" w:leftChars="0"/>
        <w:jc w:val="left"/>
        <w:outlineLvl w:val="0"/>
        <w:rPr>
          <w:sz w:val="18"/>
          <w:szCs w:val="20"/>
        </w:rPr>
      </w:pPr>
      <w:bookmarkStart w:id="73" w:name="heading_21"/>
      <w:bookmarkStart w:id="74" w:name="_Toc20198"/>
      <w:bookmarkStart w:id="75" w:name="_Toc16839"/>
      <w:r>
        <w:rPr>
          <w:rFonts w:ascii="Arial" w:hAnsi="Arial" w:eastAsia="等线" w:cs="Arial"/>
          <w:b/>
          <w:sz w:val="24"/>
          <w:szCs w:val="20"/>
        </w:rPr>
        <w:t>7 需求优先级划分（按数据流转核心度排序）</w:t>
      </w:r>
      <w:bookmarkEnd w:id="73"/>
      <w:bookmarkEnd w:id="74"/>
      <w:bookmarkEnd w:id="75"/>
    </w:p>
    <w:p w14:paraId="3FACA2B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  <w:r>
        <w:rPr>
          <w:rFonts w:ascii="Arial" w:hAnsi="Arial" w:eastAsia="等线" w:cs="Arial"/>
          <w:sz w:val="20"/>
          <w:szCs w:val="20"/>
        </w:rPr>
        <w:t>高优先级（核心数据流必备）：病历数据入库输入、智能结构化转换、多层智能质控（缺失、重复、格式与基础逻辑检查）、数据清洗与术语归一治理、标准数据集 CSV 导出输出（全链路主干数据流）。</w:t>
        <w:br/>
        <w:t>中优先级：质控异常统计报表输出、全流程操作日志记录（数据流辅助保障）。</w:t>
        <w:br/>
        <w:t>低优先级（拓展功能）：接入中医 NER 模型、自动质量评分、证型—治法—方剂一致性检查、数据质量统计看板、频次统计、ECharts 关系图谱、JSON/Excel/PDF 导出、数据版本追溯、批量任务进度和失败重试、复杂权限与操作日志审计（体验优化，不影响核心数据流转）。</w:t>
      </w:r>
    </w:p>
    <w:p w14:paraId="7006435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</w:p>
    <w:p w14:paraId="1B66BD6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</w:p>
    <w:p w14:paraId="1BEA3C7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</w:p>
    <w:p w14:paraId="04405C53">
      <w:pPr>
        <w:pStyle w:val="2"/>
        <w:keepNext w:val="0"/>
        <w:keepLines w:val="0"/>
        <w:widowControl/>
        <w:suppressLineNumbers w:val="0"/>
      </w:pPr>
      <w:r>
        <w:t>必做功能</w:t>
      </w:r>
    </w:p>
    <w:p w14:paraId="1B17A97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用户登录； </w:t>
      </w:r>
    </w:p>
    <w:p w14:paraId="3FD025B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Excel或CSV病历批量导入； </w:t>
      </w:r>
    </w:p>
    <w:p w14:paraId="7516F65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原始病历查看和查询； </w:t>
      </w:r>
    </w:p>
    <w:p w14:paraId="7AD8159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症状、舌象、脉象、证型、方剂、中药和剂量提取； </w:t>
      </w:r>
    </w:p>
    <w:p w14:paraId="70DEF06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原文与结构化结果对照展示； </w:t>
      </w:r>
    </w:p>
    <w:p w14:paraId="6627F1E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结构化结果人工修正； </w:t>
      </w:r>
    </w:p>
    <w:p w14:paraId="4292E77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缺失、重复、格式和基础逻辑检查； </w:t>
      </w:r>
    </w:p>
    <w:p w14:paraId="1C8F3FF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异常病历人工复核； </w:t>
      </w:r>
    </w:p>
    <w:p w14:paraId="6D847DE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症状、中药和方剂术语标准化； </w:t>
      </w:r>
    </w:p>
    <w:p w14:paraId="195D16C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合格病历与异常病历分类； </w:t>
      </w:r>
    </w:p>
    <w:p w14:paraId="191A986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标准化数据CSV导出。 </w:t>
      </w:r>
    </w:p>
    <w:p w14:paraId="70915443">
      <w:pPr>
        <w:pStyle w:val="2"/>
        <w:keepNext w:val="0"/>
        <w:keepLines w:val="0"/>
        <w:widowControl/>
        <w:suppressLineNumbers w:val="0"/>
      </w:pPr>
      <w:r>
        <w:t>拓展功能</w:t>
      </w:r>
    </w:p>
    <w:p w14:paraId="1675345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接入中医命名实体识别模型； </w:t>
      </w:r>
    </w:p>
    <w:p w14:paraId="4646B38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自动质量评分； </w:t>
      </w:r>
    </w:p>
    <w:p w14:paraId="308DD66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中医证型—治法—方剂一致性检查； </w:t>
      </w:r>
    </w:p>
    <w:p w14:paraId="0B25170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数据质量统计看板； </w:t>
      </w:r>
    </w:p>
    <w:p w14:paraId="273EE4F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JSON、Excel和PDF导出； </w:t>
      </w:r>
    </w:p>
    <w:p w14:paraId="03F4C76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数据版本追溯； </w:t>
      </w:r>
    </w:p>
    <w:p w14:paraId="3DE3A41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批量任务进度和失败重试； </w:t>
      </w:r>
    </w:p>
    <w:p w14:paraId="6C122B1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复杂权限与操作日志审计。</w:t>
      </w:r>
    </w:p>
    <w:p w14:paraId="1AD2B7C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0"/>
          <w:szCs w:val="20"/>
        </w:rPr>
      </w:pPr>
    </w:p>
    <w:sectPr>
      <w:headerReference r:id="rId3" w:type="default"/>
      <w:footerReference r:id="rId4" w:type="default"/>
      <w:pgSz w:w="11905" w:h="16840"/>
      <w:pgMar w:top="1134" w:right="1247" w:bottom="1134" w:left="124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87B3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28B3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A43DFAAF"/>
    <w:multiLevelType w:val="multilevel"/>
    <w:tmpl w:val="A43DFA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F7735DC9"/>
    <w:multiLevelType w:val="singleLevel"/>
    <w:tmpl w:val="F7735DC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5204C316"/>
    <w:multiLevelType w:val="multilevel"/>
    <w:tmpl w:val="5204C3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7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2"/>
  </w:num>
  <w:num w:numId="2">
    <w:abstractNumId w:val="16"/>
  </w:num>
  <w:num w:numId="3">
    <w:abstractNumId w:val="41"/>
  </w:num>
  <w:num w:numId="4">
    <w:abstractNumId w:val="14"/>
  </w:num>
  <w:num w:numId="5">
    <w:abstractNumId w:val="10"/>
  </w:num>
  <w:num w:numId="6">
    <w:abstractNumId w:val="24"/>
  </w:num>
  <w:num w:numId="7">
    <w:abstractNumId w:val="29"/>
  </w:num>
  <w:num w:numId="8">
    <w:abstractNumId w:val="47"/>
  </w:num>
  <w:num w:numId="9">
    <w:abstractNumId w:val="23"/>
  </w:num>
  <w:num w:numId="10">
    <w:abstractNumId w:val="5"/>
  </w:num>
  <w:num w:numId="11">
    <w:abstractNumId w:val="30"/>
  </w:num>
  <w:num w:numId="12">
    <w:abstractNumId w:val="42"/>
  </w:num>
  <w:num w:numId="13">
    <w:abstractNumId w:val="15"/>
  </w:num>
  <w:num w:numId="14">
    <w:abstractNumId w:val="37"/>
  </w:num>
  <w:num w:numId="15">
    <w:abstractNumId w:val="20"/>
  </w:num>
  <w:num w:numId="16">
    <w:abstractNumId w:val="28"/>
  </w:num>
  <w:num w:numId="17">
    <w:abstractNumId w:val="18"/>
  </w:num>
  <w:num w:numId="18">
    <w:abstractNumId w:val="17"/>
  </w:num>
  <w:num w:numId="19">
    <w:abstractNumId w:val="7"/>
  </w:num>
  <w:num w:numId="20">
    <w:abstractNumId w:val="35"/>
  </w:num>
  <w:num w:numId="21">
    <w:abstractNumId w:val="45"/>
  </w:num>
  <w:num w:numId="22">
    <w:abstractNumId w:val="25"/>
  </w:num>
  <w:num w:numId="23">
    <w:abstractNumId w:val="34"/>
  </w:num>
  <w:num w:numId="24">
    <w:abstractNumId w:val="9"/>
  </w:num>
  <w:num w:numId="25">
    <w:abstractNumId w:val="51"/>
  </w:num>
  <w:num w:numId="26">
    <w:abstractNumId w:val="49"/>
  </w:num>
  <w:num w:numId="27">
    <w:abstractNumId w:val="13"/>
  </w:num>
  <w:num w:numId="28">
    <w:abstractNumId w:val="46"/>
  </w:num>
  <w:num w:numId="29">
    <w:abstractNumId w:val="6"/>
  </w:num>
  <w:num w:numId="30">
    <w:abstractNumId w:val="33"/>
  </w:num>
  <w:num w:numId="31">
    <w:abstractNumId w:val="2"/>
  </w:num>
  <w:num w:numId="32">
    <w:abstractNumId w:val="40"/>
  </w:num>
  <w:num w:numId="33">
    <w:abstractNumId w:val="52"/>
  </w:num>
  <w:num w:numId="34">
    <w:abstractNumId w:val="0"/>
  </w:num>
  <w:num w:numId="35">
    <w:abstractNumId w:val="27"/>
  </w:num>
  <w:num w:numId="36">
    <w:abstractNumId w:val="38"/>
  </w:num>
  <w:num w:numId="37">
    <w:abstractNumId w:val="21"/>
  </w:num>
  <w:num w:numId="38">
    <w:abstractNumId w:val="19"/>
  </w:num>
  <w:num w:numId="39">
    <w:abstractNumId w:val="31"/>
  </w:num>
  <w:num w:numId="40">
    <w:abstractNumId w:val="50"/>
  </w:num>
  <w:num w:numId="41">
    <w:abstractNumId w:val="12"/>
  </w:num>
  <w:num w:numId="42">
    <w:abstractNumId w:val="4"/>
  </w:num>
  <w:num w:numId="43">
    <w:abstractNumId w:val="11"/>
  </w:num>
  <w:num w:numId="44">
    <w:abstractNumId w:val="43"/>
  </w:num>
  <w:num w:numId="45">
    <w:abstractNumId w:val="1"/>
  </w:num>
  <w:num w:numId="46">
    <w:abstractNumId w:val="26"/>
  </w:num>
  <w:num w:numId="47">
    <w:abstractNumId w:val="3"/>
  </w:num>
  <w:num w:numId="48">
    <w:abstractNumId w:val="44"/>
  </w:num>
  <w:num w:numId="49">
    <w:abstractNumId w:val="48"/>
  </w:num>
  <w:num w:numId="50">
    <w:abstractNumId w:val="36"/>
  </w:num>
  <w:num w:numId="51">
    <w:abstractNumId w:val="32"/>
  </w:num>
  <w:num w:numId="52">
    <w:abstractNumId w:val="8"/>
  </w:num>
  <w:num w:numId="5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E3809"/>
    <w:rsid w:val="139A7E55"/>
    <w:rsid w:val="1A49500A"/>
    <w:rsid w:val="20D54A0F"/>
    <w:rsid w:val="2B4D3342"/>
    <w:rsid w:val="353142DA"/>
    <w:rsid w:val="6EC428B4"/>
    <w:rsid w:val="7E3F7E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toc 1"/>
    <w:basedOn w:val="1"/>
    <w:next w:val="1"/>
    <w:qFormat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5362</Words>
  <Characters>5566</Characters>
  <TotalTime>34</TotalTime>
  <ScaleCrop>false</ScaleCrop>
  <LinksUpToDate>false</LinksUpToDate>
  <CharactersWithSpaces>5800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2026-07-25T13:41:00Z</dcterms:created>
  <dc:creator>Apache POI</dc:creator>
  <cp:lastModifiedBy>WPS_1633014995</cp:lastModifiedBy>
  <dcterms:modified xsi:type="dcterms:W3CDTF">2026-08-05T06:02:46Z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{"Label":"1","ContentProducer":"001191110102MACQD9K64010000","ProduceID":"7666460147561384939","ReservedCode1":"","ContentPropagator":"","PropagateID":"","ReservedCode2":""}</vt:lpwstr>
  </property>
  <property fmtid="{D5CDD505-2E9C-101B-9397-08002B2CF9AE}" pid="3" name="KSOTemplateDocerSaveRecord">
    <vt:lpwstr>eyJoZGlkIjoiZGQ3MjFhYjc2Y2RhMWNlZTk0MDI5MzhiMDFlZDFkYzEiLCJ1c2VySWQiOiIxMjgwMTU0MzAwIn0=</vt:lpwstr>
  </property>
  <property fmtid="{D5CDD505-2E9C-101B-9397-08002B2CF9AE}" pid="4" name="KSOProductBuildVer">
    <vt:lpwstr>2052-12.1.0.28043</vt:lpwstr>
  </property>
  <property fmtid="{D5CDD505-2E9C-101B-9397-08002B2CF9AE}" pid="5" name="ICV">
    <vt:lpwstr>B354EA2362DE4B369769ADE04C3D1975_13</vt:lpwstr>
  </property>
</Properties>
</file>