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C0852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财务系统分析与设计</w:t>
      </w:r>
    </w:p>
    <w:p w14:paraId="4FFA52F6">
      <w:pPr>
        <w:widowControl w:val="0"/>
        <w:spacing w:line="288" w:lineRule="auto"/>
        <w:contextualSpacing/>
        <w:jc w:val="center"/>
        <w:rPr>
          <w:rFonts w:hint="eastAsia" w:ascii="黑体" w:hAnsi="黑体" w:eastAsia="黑体" w:cs="Times New Roman"/>
          <w:b/>
          <w:bCs/>
          <w:kern w:val="2"/>
          <w:sz w:val="32"/>
          <w:szCs w:val="32"/>
        </w:rPr>
      </w:pPr>
      <w:r>
        <w:rPr>
          <w:rFonts w:hint="eastAsia" w:ascii="黑体" w:hAnsi="黑体" w:eastAsia="黑体" w:cs="Times New Roman"/>
          <w:b/>
          <w:bCs/>
          <w:kern w:val="2"/>
          <w:sz w:val="32"/>
          <w:szCs w:val="32"/>
        </w:rPr>
        <w:drawing>
          <wp:inline distT="0" distB="0" distL="0" distR="0">
            <wp:extent cx="4070985" cy="1065530"/>
            <wp:effectExtent l="0" t="0" r="13335" b="1270"/>
            <wp:docPr id="51" name="图片 51" descr="校徽校名标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校徽校名标准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098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948AB">
      <w:pPr>
        <w:widowControl w:val="0"/>
        <w:spacing w:line="720" w:lineRule="auto"/>
        <w:contextualSpacing/>
        <w:jc w:val="center"/>
        <w:rPr>
          <w:rFonts w:hint="eastAsia" w:ascii="黑体" w:hAnsi="黑体" w:eastAsia="黑体" w:cs="Times New Roman"/>
          <w:b/>
          <w:bCs/>
          <w:kern w:val="2"/>
          <w:sz w:val="32"/>
          <w:szCs w:val="32"/>
        </w:rPr>
      </w:pPr>
    </w:p>
    <w:p w14:paraId="26B5D0AB">
      <w:pPr>
        <w:spacing w:line="720" w:lineRule="auto"/>
        <w:jc w:val="center"/>
        <w:rPr>
          <w:rFonts w:hint="eastAsia" w:ascii="黑体" w:hAnsi="黑体" w:eastAsia="黑体"/>
          <w:sz w:val="72"/>
          <w:szCs w:val="72"/>
          <w:lang w:val="en-US" w:eastAsia="zh-CN"/>
        </w:rPr>
      </w:pPr>
      <w:r>
        <w:rPr>
          <w:rFonts w:hint="eastAsia" w:ascii="黑体" w:hAnsi="黑体" w:eastAsia="黑体"/>
          <w:sz w:val="72"/>
          <w:szCs w:val="72"/>
        </w:rPr>
        <w:t xml:space="preserve"> </w:t>
      </w:r>
      <w:r>
        <w:rPr>
          <w:rFonts w:hint="eastAsia" w:ascii="黑体" w:hAnsi="黑体" w:eastAsia="黑体"/>
          <w:sz w:val="72"/>
          <w:szCs w:val="72"/>
          <w:lang w:val="en-US" w:eastAsia="zh-CN"/>
        </w:rPr>
        <w:t>系统分析与设计</w:t>
      </w:r>
    </w:p>
    <w:p w14:paraId="3328561B">
      <w:pPr>
        <w:widowControl w:val="0"/>
        <w:spacing w:line="288" w:lineRule="auto"/>
        <w:contextualSpacing/>
        <w:jc w:val="center"/>
        <w:rPr>
          <w:rFonts w:hint="eastAsia" w:ascii="黑体" w:hAnsi="黑体" w:eastAsia="黑体" w:cs="Times New Roman"/>
          <w:b/>
          <w:bCs/>
          <w:kern w:val="2"/>
          <w:sz w:val="32"/>
          <w:szCs w:val="32"/>
        </w:rPr>
      </w:pPr>
    </w:p>
    <w:p w14:paraId="69268BAE">
      <w:pPr>
        <w:widowControl w:val="0"/>
        <w:spacing w:line="288" w:lineRule="auto"/>
        <w:contextualSpacing/>
        <w:jc w:val="center"/>
        <w:rPr>
          <w:rFonts w:hint="eastAsia" w:ascii="黑体" w:hAnsi="黑体" w:eastAsia="黑体" w:cs="Times New Roman"/>
          <w:b/>
          <w:bCs/>
          <w:kern w:val="2"/>
          <w:sz w:val="32"/>
          <w:szCs w:val="32"/>
        </w:rPr>
      </w:pPr>
    </w:p>
    <w:p w14:paraId="2D7C2898">
      <w:pPr>
        <w:widowControl w:val="0"/>
        <w:spacing w:line="288" w:lineRule="auto"/>
        <w:contextualSpacing/>
        <w:jc w:val="center"/>
        <w:rPr>
          <w:rFonts w:hint="eastAsia" w:ascii="黑体" w:hAnsi="黑体" w:eastAsia="黑体" w:cs="Times New Roman"/>
          <w:b/>
          <w:bCs/>
          <w:kern w:val="2"/>
          <w:sz w:val="32"/>
          <w:szCs w:val="32"/>
        </w:rPr>
      </w:pPr>
    </w:p>
    <w:tbl>
      <w:tblPr>
        <w:tblStyle w:val="3"/>
        <w:tblW w:w="604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4151"/>
      </w:tblGrid>
      <w:tr w14:paraId="38F24B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0F2E2072">
            <w:pPr>
              <w:widowControl w:val="0"/>
              <w:spacing w:line="288" w:lineRule="auto"/>
              <w:contextualSpacing/>
              <w:jc w:val="center"/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  <w:t>题</w:t>
            </w:r>
            <w:r>
              <w:rPr>
                <w:rFonts w:ascii="黑体" w:hAnsi="黑体" w:eastAsia="黑体" w:cs="Times New Roman"/>
                <w:b/>
                <w:bCs/>
                <w:kern w:val="2"/>
                <w:sz w:val="32"/>
                <w:szCs w:val="32"/>
              </w:rPr>
              <w:t xml:space="preserve">    </w:t>
            </w: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  <w:t>目：</w:t>
            </w:r>
          </w:p>
        </w:tc>
        <w:tc>
          <w:tcPr>
            <w:tcW w:w="4151" w:type="dxa"/>
            <w:tcBorders>
              <w:bottom w:val="single" w:color="auto" w:sz="4" w:space="0"/>
            </w:tcBorders>
            <w:vAlign w:val="center"/>
          </w:tcPr>
          <w:p w14:paraId="779F64FE">
            <w:pPr>
              <w:widowControl w:val="0"/>
              <w:spacing w:line="288" w:lineRule="auto"/>
              <w:contextualSpacing/>
              <w:jc w:val="center"/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  <w:lang w:val="en-US" w:eastAsia="zh-CN"/>
              </w:rPr>
              <w:t>财务管理系统</w:t>
            </w:r>
          </w:p>
        </w:tc>
      </w:tr>
      <w:tr w14:paraId="5F0DC1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423CB9BA">
            <w:pPr>
              <w:widowControl w:val="0"/>
              <w:spacing w:line="288" w:lineRule="auto"/>
              <w:contextualSpacing/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  <w:t>学生学号：</w:t>
            </w:r>
          </w:p>
        </w:tc>
        <w:tc>
          <w:tcPr>
            <w:tcW w:w="4151" w:type="dxa"/>
            <w:tcBorders>
              <w:bottom w:val="single" w:color="auto" w:sz="4" w:space="0"/>
            </w:tcBorders>
            <w:vAlign w:val="center"/>
          </w:tcPr>
          <w:p w14:paraId="2EADDD41">
            <w:pPr>
              <w:widowControl w:val="0"/>
              <w:spacing w:line="288" w:lineRule="auto"/>
              <w:contextualSpacing/>
              <w:jc w:val="center"/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  <w:t>160223010</w:t>
            </w: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  <w:lang w:val="en-US" w:eastAsia="zh-CN"/>
              </w:rPr>
              <w:t>3</w:t>
            </w:r>
          </w:p>
        </w:tc>
      </w:tr>
      <w:tr w14:paraId="22FF89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2DC2895B">
            <w:pPr>
              <w:widowControl w:val="0"/>
              <w:spacing w:line="288" w:lineRule="auto"/>
              <w:contextualSpacing/>
              <w:jc w:val="center"/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  <w:t>学生姓名：</w:t>
            </w:r>
          </w:p>
        </w:tc>
        <w:tc>
          <w:tcPr>
            <w:tcW w:w="415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B1C2D38">
            <w:pPr>
              <w:widowControl w:val="0"/>
              <w:spacing w:line="288" w:lineRule="auto"/>
              <w:contextualSpacing/>
              <w:jc w:val="center"/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  <w:lang w:eastAsia="zh-CN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  <w:lang w:val="en-US" w:eastAsia="zh-CN"/>
              </w:rPr>
              <w:t>杨深</w:t>
            </w:r>
          </w:p>
        </w:tc>
      </w:tr>
      <w:tr w14:paraId="026F95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5871F818">
            <w:pPr>
              <w:widowControl w:val="0"/>
              <w:spacing w:line="288" w:lineRule="auto"/>
              <w:contextualSpacing/>
              <w:jc w:val="center"/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  <w:t>指导教师：</w:t>
            </w:r>
          </w:p>
        </w:tc>
        <w:tc>
          <w:tcPr>
            <w:tcW w:w="415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47A41C">
            <w:pPr>
              <w:widowControl w:val="0"/>
              <w:spacing w:line="288" w:lineRule="auto"/>
              <w:contextualSpacing/>
              <w:jc w:val="center"/>
              <w:rPr>
                <w:rFonts w:hint="default" w:ascii="黑体" w:hAnsi="黑体" w:eastAsia="黑体" w:cs="Times New Roman"/>
                <w:b/>
                <w:bCs/>
                <w:kern w:val="2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  <w:lang w:val="en-US" w:eastAsia="zh-CN"/>
              </w:rPr>
              <w:t>毕文杰</w:t>
            </w:r>
            <w:bookmarkStart w:id="0" w:name="_GoBack"/>
            <w:bookmarkEnd w:id="0"/>
          </w:p>
        </w:tc>
      </w:tr>
      <w:tr w14:paraId="3B417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405AEEA3">
            <w:pPr>
              <w:widowControl w:val="0"/>
              <w:spacing w:line="288" w:lineRule="auto"/>
              <w:contextualSpacing/>
              <w:jc w:val="center"/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  <w:t>学</w:t>
            </w:r>
            <w:r>
              <w:rPr>
                <w:rFonts w:ascii="黑体" w:hAnsi="黑体" w:eastAsia="黑体" w:cs="Times New Roman"/>
                <w:b/>
                <w:bCs/>
                <w:kern w:val="2"/>
                <w:sz w:val="32"/>
                <w:szCs w:val="32"/>
              </w:rPr>
              <w:t xml:space="preserve">    </w:t>
            </w: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  <w:t>院：</w:t>
            </w:r>
          </w:p>
        </w:tc>
        <w:tc>
          <w:tcPr>
            <w:tcW w:w="415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81BD20">
            <w:pPr>
              <w:widowControl w:val="0"/>
              <w:spacing w:line="288" w:lineRule="auto"/>
              <w:contextualSpacing/>
              <w:jc w:val="center"/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  <w:t>商学院</w:t>
            </w:r>
          </w:p>
        </w:tc>
      </w:tr>
      <w:tr w14:paraId="15F78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58FDBCD5">
            <w:pPr>
              <w:widowControl w:val="0"/>
              <w:spacing w:line="288" w:lineRule="auto"/>
              <w:contextualSpacing/>
              <w:jc w:val="center"/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  <w:t>专业班级：</w:t>
            </w:r>
          </w:p>
        </w:tc>
        <w:tc>
          <w:tcPr>
            <w:tcW w:w="415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420CF3">
            <w:pPr>
              <w:widowControl w:val="0"/>
              <w:spacing w:line="288" w:lineRule="auto"/>
              <w:contextualSpacing/>
              <w:jc w:val="center"/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2"/>
                <w:szCs w:val="32"/>
              </w:rPr>
              <w:t>信管2301</w:t>
            </w:r>
          </w:p>
        </w:tc>
      </w:tr>
    </w:tbl>
    <w:p w14:paraId="5484D613">
      <w:pPr>
        <w:widowControl w:val="0"/>
        <w:spacing w:line="288" w:lineRule="auto"/>
        <w:contextualSpacing/>
        <w:jc w:val="center"/>
        <w:rPr>
          <w:rFonts w:hint="eastAsia" w:ascii="黑体" w:hAnsi="黑体" w:eastAsia="黑体" w:cs="Times New Roman"/>
          <w:b/>
          <w:bCs/>
          <w:kern w:val="2"/>
          <w:sz w:val="32"/>
          <w:szCs w:val="32"/>
        </w:rPr>
      </w:pPr>
    </w:p>
    <w:p w14:paraId="07157624">
      <w:pPr>
        <w:widowControl w:val="0"/>
        <w:spacing w:line="288" w:lineRule="auto"/>
        <w:contextualSpacing/>
        <w:jc w:val="center"/>
        <w:rPr>
          <w:rFonts w:hint="eastAsia" w:ascii="黑体" w:hAnsi="黑体" w:eastAsia="黑体" w:cs="Times New Roman"/>
          <w:b/>
          <w:bCs/>
          <w:kern w:val="2"/>
          <w:sz w:val="32"/>
          <w:szCs w:val="32"/>
        </w:rPr>
      </w:pPr>
    </w:p>
    <w:p w14:paraId="5D61F162">
      <w:pPr>
        <w:widowControl w:val="0"/>
        <w:spacing w:line="288" w:lineRule="auto"/>
        <w:contextualSpacing/>
        <w:jc w:val="center"/>
        <w:rPr>
          <w:rFonts w:hint="eastAsia" w:ascii="黑体" w:hAnsi="黑体" w:eastAsia="黑体" w:cs="Times New Roman"/>
          <w:b/>
          <w:bCs/>
          <w:kern w:val="2"/>
          <w:sz w:val="32"/>
          <w:szCs w:val="32"/>
        </w:rPr>
      </w:pPr>
    </w:p>
    <w:p w14:paraId="6BB6B248">
      <w:pPr>
        <w:rPr>
          <w:rFonts w:hint="eastAsia"/>
          <w:lang w:val="en-US" w:eastAsia="zh-CN"/>
        </w:rPr>
      </w:pPr>
    </w:p>
    <w:p w14:paraId="74975BF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愿景</w:t>
      </w:r>
    </w:p>
    <w:p w14:paraId="6773E44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30545" cy="3598545"/>
            <wp:effectExtent l="0" t="0" r="0" b="0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0545" cy="3598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B128FD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图一  愿景</w:t>
      </w:r>
    </w:p>
    <w:p w14:paraId="3FC83F00">
      <w:pPr>
        <w:keepNext w:val="0"/>
        <w:keepLines w:val="0"/>
        <w:widowControl/>
        <w:suppressLineNumbers w:val="0"/>
        <w:jc w:val="left"/>
      </w:pPr>
    </w:p>
    <w:p w14:paraId="5CEDC9E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D849BB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业务用例图</w:t>
      </w:r>
    </w:p>
    <w:p w14:paraId="30C92C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70830" cy="4551680"/>
            <wp:effectExtent l="0" t="0" r="0" b="0"/>
            <wp:docPr id="21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0830" cy="4551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DE5E8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DAD16A7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图二 业务用例图</w:t>
      </w:r>
    </w:p>
    <w:p w14:paraId="1D1EBE0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FF9960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业务序列图</w:t>
      </w:r>
    </w:p>
    <w:p w14:paraId="20B0973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  <w:lang w:val="en-US" w:eastAsia="zh-CN"/>
        </w:rPr>
        <w:t>现状业务序列图</w:t>
      </w:r>
    </w:p>
    <w:p w14:paraId="41E375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95975" cy="783717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7837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7A6EF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F445D0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2.改进业务序列图</w:t>
      </w:r>
    </w:p>
    <w:p w14:paraId="17AD0A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96585" cy="6630670"/>
            <wp:effectExtent l="0" t="0" r="3175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585" cy="6630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DC5E4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DA008C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EC0EB1E">
      <w:pPr>
        <w:keepNext w:val="0"/>
        <w:keepLines w:val="0"/>
        <w:widowControl/>
        <w:suppressLineNumbers w:val="0"/>
        <w:tabs>
          <w:tab w:val="right" w:pos="8306"/>
        </w:tabs>
        <w:jc w:val="left"/>
      </w:pPr>
    </w:p>
    <w:p w14:paraId="2868B33E">
      <w:pPr>
        <w:keepNext w:val="0"/>
        <w:keepLines w:val="0"/>
        <w:widowControl/>
        <w:suppressLineNumbers w:val="0"/>
        <w:tabs>
          <w:tab w:val="right" w:pos="8306"/>
        </w:tabs>
        <w:jc w:val="left"/>
      </w:pPr>
    </w:p>
    <w:p w14:paraId="039D96D0">
      <w:pPr>
        <w:keepNext w:val="0"/>
        <w:keepLines w:val="0"/>
        <w:widowControl/>
        <w:suppressLineNumbers w:val="0"/>
        <w:tabs>
          <w:tab w:val="right" w:pos="8306"/>
        </w:tabs>
        <w:jc w:val="left"/>
      </w:pPr>
    </w:p>
    <w:p w14:paraId="034E8823">
      <w:pPr>
        <w:keepNext w:val="0"/>
        <w:keepLines w:val="0"/>
        <w:widowControl/>
        <w:suppressLineNumbers w:val="0"/>
        <w:tabs>
          <w:tab w:val="right" w:pos="8306"/>
        </w:tabs>
        <w:jc w:val="left"/>
      </w:pPr>
    </w:p>
    <w:p w14:paraId="1DE3B794">
      <w:pPr>
        <w:keepNext w:val="0"/>
        <w:keepLines w:val="0"/>
        <w:widowControl/>
        <w:suppressLineNumbers w:val="0"/>
        <w:tabs>
          <w:tab w:val="right" w:pos="8306"/>
        </w:tabs>
        <w:jc w:val="left"/>
      </w:pPr>
    </w:p>
    <w:p w14:paraId="1A6CD2B9">
      <w:pPr>
        <w:keepNext w:val="0"/>
        <w:keepLines w:val="0"/>
        <w:widowControl/>
        <w:suppressLineNumbers w:val="0"/>
        <w:tabs>
          <w:tab w:val="right" w:pos="8306"/>
        </w:tabs>
        <w:jc w:val="left"/>
      </w:pPr>
    </w:p>
    <w:p w14:paraId="53402112">
      <w:pPr>
        <w:keepNext w:val="0"/>
        <w:keepLines w:val="0"/>
        <w:widowControl/>
        <w:suppressLineNumbers w:val="0"/>
        <w:tabs>
          <w:tab w:val="right" w:pos="8306"/>
        </w:tabs>
        <w:jc w:val="left"/>
      </w:pPr>
    </w:p>
    <w:p w14:paraId="23EEB34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1742DC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系统用例图 </w:t>
      </w:r>
    </w:p>
    <w:p w14:paraId="6AB11B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13020" cy="4783455"/>
            <wp:effectExtent l="0" t="0" r="0" b="0"/>
            <wp:docPr id="23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4783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D0837B">
      <w:pPr>
        <w:keepNext w:val="0"/>
        <w:keepLines w:val="0"/>
        <w:widowControl/>
        <w:suppressLineNumbers w:val="0"/>
        <w:jc w:val="left"/>
      </w:pPr>
    </w:p>
    <w:p w14:paraId="34551AB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B4D703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用例规约</w:t>
      </w:r>
    </w:p>
    <w:p w14:paraId="2F8431A3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企业初始化用例规约</w:t>
      </w:r>
    </w:p>
    <w:tbl>
      <w:tblPr>
        <w:tblStyle w:val="4"/>
        <w:tblpPr w:leftFromText="180" w:rightFromText="180" w:vertAnchor="text" w:horzAnchor="page" w:tblpX="1818" w:tblpY="60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6"/>
        <w:gridCol w:w="5886"/>
      </w:tblGrid>
      <w:tr w14:paraId="4A824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2636" w:type="dxa"/>
          </w:tcPr>
          <w:p w14:paraId="76F74E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</w:tc>
        <w:tc>
          <w:tcPr>
            <w:tcW w:w="5886" w:type="dxa"/>
            <w:vAlign w:val="top"/>
          </w:tcPr>
          <w:p w14:paraId="280F591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内容</w:t>
            </w:r>
          </w:p>
        </w:tc>
      </w:tr>
      <w:tr w14:paraId="3AFBB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11FDF8C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5886" w:type="dxa"/>
          </w:tcPr>
          <w:p w14:paraId="02B83F3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UC1</w:t>
            </w:r>
          </w:p>
        </w:tc>
      </w:tr>
      <w:tr w14:paraId="790F9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51F28F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用例名</w:t>
            </w:r>
          </w:p>
        </w:tc>
        <w:tc>
          <w:tcPr>
            <w:tcW w:w="5886" w:type="dxa"/>
          </w:tcPr>
          <w:p w14:paraId="30916D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企业初始化</w:t>
            </w:r>
          </w:p>
        </w:tc>
      </w:tr>
      <w:tr w14:paraId="6DCEB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21871B6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执行者</w:t>
            </w:r>
          </w:p>
        </w:tc>
        <w:tc>
          <w:tcPr>
            <w:tcW w:w="5886" w:type="dxa"/>
          </w:tcPr>
          <w:p w14:paraId="19686B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财务人员</w:t>
            </w:r>
          </w:p>
        </w:tc>
      </w:tr>
      <w:tr w14:paraId="2EECB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360F3EC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5886" w:type="dxa"/>
          </w:tcPr>
          <w:p w14:paraId="562387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系统安装完成，用户具有管理员权限</w:t>
            </w:r>
          </w:p>
        </w:tc>
      </w:tr>
      <w:tr w14:paraId="5EAAF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7F0912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5886" w:type="dxa"/>
          </w:tcPr>
          <w:p w14:paraId="1A623A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企业基础信息、会计科目表、会计期间信息已建立并保存</w:t>
            </w:r>
          </w:p>
        </w:tc>
      </w:tr>
      <w:tr w14:paraId="7508B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0871B08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涉众利益</w:t>
            </w:r>
          </w:p>
        </w:tc>
        <w:tc>
          <w:tcPr>
            <w:tcW w:w="5886" w:type="dxa"/>
          </w:tcPr>
          <w:p w14:paraId="3A6DED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企业希望快速完成系统配置；财务人员希望减少重复初始化步骤</w:t>
            </w:r>
          </w:p>
        </w:tc>
      </w:tr>
      <w:tr w14:paraId="17007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726C19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基本路径</w:t>
            </w:r>
          </w:p>
        </w:tc>
        <w:tc>
          <w:tcPr>
            <w:tcW w:w="5886" w:type="dxa"/>
          </w:tcPr>
          <w:p w14:paraId="262AAEE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1、财务人员登录系统。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2、进入“系统初始化”界面。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3、输入企业名称、注册资金、行业类型、会计期间、币种。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4、选择启用模块（多币种、预算管理等）。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5、系统自动生成标准会计科目表。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6、用户可导入或自定义科目表。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7、系统保存数据并提示初始化完成。</w:t>
            </w:r>
          </w:p>
        </w:tc>
      </w:tr>
      <w:tr w14:paraId="6EAD4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7F191C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扩展路径</w:t>
            </w:r>
          </w:p>
        </w:tc>
        <w:tc>
          <w:tcPr>
            <w:tcW w:w="5886" w:type="dxa"/>
          </w:tcPr>
          <w:p w14:paraId="5ABD93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3a. 信息缺失 → 系统提示填写必填项。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5a. 用户取消默认科目表 → 系统要求导入模板。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6a. 导入失败 → 系统记录日志并提示重试。</w:t>
            </w:r>
          </w:p>
        </w:tc>
      </w:tr>
      <w:tr w14:paraId="6EFD2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0E6C091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字段列表</w:t>
            </w:r>
          </w:p>
        </w:tc>
        <w:tc>
          <w:tcPr>
            <w:tcW w:w="5886" w:type="dxa"/>
          </w:tcPr>
          <w:p w14:paraId="5024D12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企业名称、注册资金、行业类别、会计期间、币种、默认科目模板</w:t>
            </w:r>
          </w:p>
        </w:tc>
      </w:tr>
      <w:tr w14:paraId="3E3D7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650DE7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业务规则</w:t>
            </w:r>
          </w:p>
        </w:tc>
        <w:tc>
          <w:tcPr>
            <w:tcW w:w="5886" w:type="dxa"/>
          </w:tcPr>
          <w:p w14:paraId="6A1440D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企业名称不可重复；注册资金 &gt; 0；会计期间必须连续；默认科目表必须包含现金、银行存款、应收应付等基础科目。</w:t>
            </w:r>
          </w:p>
        </w:tc>
      </w:tr>
      <w:tr w14:paraId="592B4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0B693A9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质量需求</w:t>
            </w:r>
          </w:p>
        </w:tc>
        <w:tc>
          <w:tcPr>
            <w:tcW w:w="5886" w:type="dxa"/>
          </w:tcPr>
          <w:p w14:paraId="462A7B5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初始化过程应在 3 秒内完成；错误提示需中文可读；数据保存成功率 100%。</w:t>
            </w:r>
          </w:p>
        </w:tc>
      </w:tr>
      <w:tr w14:paraId="3BA0D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79D5545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设计约束</w:t>
            </w:r>
          </w:p>
        </w:tc>
        <w:tc>
          <w:tcPr>
            <w:tcW w:w="5886" w:type="dxa"/>
          </w:tcPr>
          <w:p w14:paraId="4367710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支持 Excel 模板导入科目表；界面布局兼容 PC 与平板端显示。</w:t>
            </w:r>
          </w:p>
        </w:tc>
      </w:tr>
    </w:tbl>
    <w:p w14:paraId="4B6AFB1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779D2A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采购管理用例规约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6"/>
        <w:gridCol w:w="5886"/>
      </w:tblGrid>
      <w:tr w14:paraId="3B6DE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2636" w:type="dxa"/>
          </w:tcPr>
          <w:p w14:paraId="04D4294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</w:tc>
        <w:tc>
          <w:tcPr>
            <w:tcW w:w="5886" w:type="dxa"/>
            <w:vAlign w:val="top"/>
          </w:tcPr>
          <w:p w14:paraId="117F144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内容</w:t>
            </w:r>
          </w:p>
        </w:tc>
      </w:tr>
      <w:tr w14:paraId="442B0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44FFB43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5886" w:type="dxa"/>
          </w:tcPr>
          <w:p w14:paraId="5EA5B7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UC2</w:t>
            </w:r>
          </w:p>
        </w:tc>
      </w:tr>
      <w:tr w14:paraId="0AB18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6B4A66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用例名</w:t>
            </w:r>
          </w:p>
        </w:tc>
        <w:tc>
          <w:tcPr>
            <w:tcW w:w="5886" w:type="dxa"/>
          </w:tcPr>
          <w:p w14:paraId="2E39CC5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采购管理</w:t>
            </w:r>
          </w:p>
        </w:tc>
      </w:tr>
      <w:tr w14:paraId="08714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605136C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执行者</w:t>
            </w:r>
          </w:p>
        </w:tc>
        <w:tc>
          <w:tcPr>
            <w:tcW w:w="5886" w:type="dxa"/>
          </w:tcPr>
          <w:p w14:paraId="7D3449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财务人员</w:t>
            </w:r>
          </w:p>
        </w:tc>
      </w:tr>
      <w:tr w14:paraId="5D74F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5951DD4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5886" w:type="dxa"/>
          </w:tcPr>
          <w:p w14:paraId="6A31A76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供应商信息完整，银行接口配置正确</w:t>
            </w:r>
          </w:p>
        </w:tc>
      </w:tr>
      <w:tr w14:paraId="2EC97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2A52E5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5886" w:type="dxa"/>
          </w:tcPr>
          <w:p w14:paraId="640638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采购订单、应付账款与会计分录生成并保存</w:t>
            </w:r>
          </w:p>
        </w:tc>
      </w:tr>
      <w:tr w14:paraId="69165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5377778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涉众利益</w:t>
            </w:r>
          </w:p>
        </w:tc>
        <w:tc>
          <w:tcPr>
            <w:tcW w:w="5886" w:type="dxa"/>
          </w:tcPr>
          <w:p w14:paraId="27A17BB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企业希望采购可追溯；财务人员希望付款与账务自动同步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 w14:paraId="4223C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24C735F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基本路径</w:t>
            </w:r>
          </w:p>
        </w:tc>
        <w:tc>
          <w:tcPr>
            <w:tcW w:w="5886" w:type="dxa"/>
          </w:tcPr>
          <w:p w14:paraId="6749F6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1、财务人员在系统中创建采购订单。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2、输入供应商、采购项目、金额、税率、支付方式。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3、系统校验供应商信息与预算余额。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4、系统生成应付账款记录及凭证草稿。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5、财务人员审核后提交付款申请。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6、系统调用银行接口执行付款。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7、银行返回确认信息，系统更新付款状态并自动过账。</w:t>
            </w:r>
          </w:p>
        </w:tc>
      </w:tr>
      <w:tr w14:paraId="41CBC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61C9315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扩展路径</w:t>
            </w:r>
          </w:p>
        </w:tc>
        <w:tc>
          <w:tcPr>
            <w:tcW w:w="5886" w:type="dxa"/>
          </w:tcPr>
          <w:p w14:paraId="0E7F1B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3a. 超预算 → 系统阻止保存并提示审批。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6a. 银行接口超时 → 系统记录错误并重试 3 次。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6b. 付款失败 → 系统回滚账务并提示用户。</w:t>
            </w:r>
          </w:p>
        </w:tc>
      </w:tr>
      <w:tr w14:paraId="39681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0D1A20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字段列表</w:t>
            </w:r>
          </w:p>
        </w:tc>
        <w:tc>
          <w:tcPr>
            <w:tcW w:w="5886" w:type="dxa"/>
          </w:tcPr>
          <w:p w14:paraId="486EE9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供应商编号、订单编号、项目编号、金额、税率、付款状态、凭证号、操作人</w:t>
            </w:r>
          </w:p>
        </w:tc>
      </w:tr>
      <w:tr w14:paraId="28F7C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29F130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业务规则</w:t>
            </w:r>
          </w:p>
        </w:tc>
        <w:tc>
          <w:tcPr>
            <w:tcW w:w="5886" w:type="dxa"/>
          </w:tcPr>
          <w:p w14:paraId="0C85665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采购金额不得超预算；税率按供应商类型自动带入；付款须双重签名；所有凭证需保留电子附件。</w:t>
            </w:r>
          </w:p>
        </w:tc>
      </w:tr>
      <w:tr w14:paraId="3C1BF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44798D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质量需求</w:t>
            </w:r>
          </w:p>
        </w:tc>
        <w:tc>
          <w:tcPr>
            <w:tcW w:w="5886" w:type="dxa"/>
          </w:tcPr>
          <w:p w14:paraId="1433F3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订单生成响应 &lt; 2 秒；付款确认延迟 ≤ 10 秒；数据一致性 100%</w:t>
            </w:r>
          </w:p>
        </w:tc>
      </w:tr>
      <w:tr w14:paraId="2C0BD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1AE978B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设计约束</w:t>
            </w:r>
          </w:p>
        </w:tc>
        <w:tc>
          <w:tcPr>
            <w:tcW w:w="5886" w:type="dxa"/>
          </w:tcPr>
          <w:p w14:paraId="50F2115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系统支持分布式事务管理</w:t>
            </w:r>
          </w:p>
        </w:tc>
      </w:tr>
    </w:tbl>
    <w:p w14:paraId="507DC7D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67ABCA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销售管理用例规约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6"/>
        <w:gridCol w:w="5886"/>
      </w:tblGrid>
      <w:tr w14:paraId="00637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2636" w:type="dxa"/>
          </w:tcPr>
          <w:p w14:paraId="56FBC4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</w:tc>
        <w:tc>
          <w:tcPr>
            <w:tcW w:w="5886" w:type="dxa"/>
            <w:vAlign w:val="top"/>
          </w:tcPr>
          <w:p w14:paraId="7ED2796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内容</w:t>
            </w:r>
          </w:p>
        </w:tc>
      </w:tr>
      <w:tr w14:paraId="4B011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2EF51EC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5886" w:type="dxa"/>
          </w:tcPr>
          <w:p w14:paraId="5DD9E33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UC3</w:t>
            </w:r>
          </w:p>
        </w:tc>
      </w:tr>
      <w:tr w14:paraId="0B6FD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7E8A01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用例名</w:t>
            </w:r>
          </w:p>
        </w:tc>
        <w:tc>
          <w:tcPr>
            <w:tcW w:w="5886" w:type="dxa"/>
          </w:tcPr>
          <w:p w14:paraId="469C472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销售管理</w:t>
            </w:r>
          </w:p>
        </w:tc>
      </w:tr>
      <w:tr w14:paraId="0410D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0F4942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执行者</w:t>
            </w:r>
          </w:p>
        </w:tc>
        <w:tc>
          <w:tcPr>
            <w:tcW w:w="5886" w:type="dxa"/>
          </w:tcPr>
          <w:p w14:paraId="008730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财务人员、销售人员</w:t>
            </w:r>
          </w:p>
        </w:tc>
      </w:tr>
      <w:tr w14:paraId="6C873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1A6CB6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5886" w:type="dxa"/>
          </w:tcPr>
          <w:p w14:paraId="4303B1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客户信息存在，系统中启用销售模块</w:t>
            </w:r>
          </w:p>
        </w:tc>
      </w:tr>
      <w:tr w14:paraId="20844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15DF7C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5886" w:type="dxa"/>
          </w:tcPr>
          <w:p w14:paraId="1CAE35C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生成应收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ascii="宋体" w:hAnsi="宋体" w:eastAsia="宋体" w:cs="宋体"/>
                <w:sz w:val="21"/>
                <w:szCs w:val="21"/>
              </w:rPr>
              <w:t>账款记录与销售凭证</w:t>
            </w:r>
          </w:p>
        </w:tc>
      </w:tr>
      <w:tr w14:paraId="51023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5CBB572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涉众利益</w:t>
            </w:r>
          </w:p>
        </w:tc>
        <w:tc>
          <w:tcPr>
            <w:tcW w:w="5886" w:type="dxa"/>
          </w:tcPr>
          <w:p w14:paraId="45A7FB6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客户及时开票、入账，减少坏账风险</w:t>
            </w:r>
          </w:p>
        </w:tc>
      </w:tr>
      <w:tr w14:paraId="627D9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5CAA38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基本路径</w:t>
            </w:r>
          </w:p>
        </w:tc>
        <w:tc>
          <w:tcPr>
            <w:tcW w:w="5886" w:type="dxa"/>
          </w:tcPr>
          <w:p w14:paraId="3963360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1、销售人员录入销售订单。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2、系统校验客户信用额度。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3、系统生成应收账款与发票草稿。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4、财务人员审核发票并确认。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5、客户付款后银行系统回传收款确认。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6、系统自动过账并更新客户余额。</w:t>
            </w:r>
          </w:p>
        </w:tc>
      </w:tr>
      <w:tr w14:paraId="12312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09C42A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扩展路径</w:t>
            </w:r>
          </w:p>
        </w:tc>
        <w:tc>
          <w:tcPr>
            <w:tcW w:w="5886" w:type="dxa"/>
          </w:tcPr>
          <w:p w14:paraId="1B4570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2a. 客户信用超限 → 系统发送审批请求给财务经理。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5a. 银行返回失败 → 系统记录日志并标记为“待核对”。</w:t>
            </w:r>
          </w:p>
        </w:tc>
      </w:tr>
      <w:tr w14:paraId="10634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39442B0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字段列表</w:t>
            </w:r>
          </w:p>
        </w:tc>
        <w:tc>
          <w:tcPr>
            <w:tcW w:w="5886" w:type="dxa"/>
          </w:tcPr>
          <w:p w14:paraId="63B598F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客户编号、销售单号、发票号、金额、税率、收款状态、开票日期</w:t>
            </w:r>
          </w:p>
        </w:tc>
      </w:tr>
      <w:tr w14:paraId="01EBF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5DD02E1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业务规则</w:t>
            </w:r>
          </w:p>
        </w:tc>
        <w:tc>
          <w:tcPr>
            <w:tcW w:w="5886" w:type="dxa"/>
          </w:tcPr>
          <w:p w14:paraId="662A4F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客户信用额度不得超限；发票号全局唯一；开票日期不得早于订单日期。</w:t>
            </w:r>
          </w:p>
        </w:tc>
      </w:tr>
      <w:tr w14:paraId="4529C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5F439B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质量需求</w:t>
            </w:r>
          </w:p>
        </w:tc>
        <w:tc>
          <w:tcPr>
            <w:tcW w:w="5886" w:type="dxa"/>
          </w:tcPr>
          <w:p w14:paraId="235A3C1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发票生成时间 &lt; 5 秒；接口调用成功率 ≥ 99.5%。</w:t>
            </w:r>
          </w:p>
        </w:tc>
      </w:tr>
      <w:tr w14:paraId="674B5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5397AD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设计约束</w:t>
            </w:r>
          </w:p>
        </w:tc>
        <w:tc>
          <w:tcPr>
            <w:tcW w:w="5886" w:type="dxa"/>
          </w:tcPr>
          <w:p w14:paraId="0F76EB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银行回调接口采用异步机制；支持电子发票自动生成。</w:t>
            </w:r>
          </w:p>
        </w:tc>
      </w:tr>
    </w:tbl>
    <w:p w14:paraId="111E250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5B56A4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费用管理用例规约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6"/>
        <w:gridCol w:w="5886"/>
      </w:tblGrid>
      <w:tr w14:paraId="38650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2636" w:type="dxa"/>
          </w:tcPr>
          <w:p w14:paraId="466814D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</w:tc>
        <w:tc>
          <w:tcPr>
            <w:tcW w:w="5886" w:type="dxa"/>
            <w:vAlign w:val="top"/>
          </w:tcPr>
          <w:p w14:paraId="60E4D17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内容</w:t>
            </w:r>
          </w:p>
        </w:tc>
      </w:tr>
      <w:tr w14:paraId="18C64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32F64E4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5886" w:type="dxa"/>
          </w:tcPr>
          <w:p w14:paraId="06ED91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UC4</w:t>
            </w:r>
          </w:p>
        </w:tc>
      </w:tr>
      <w:tr w14:paraId="7FF77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0E233EA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用例名</w:t>
            </w:r>
          </w:p>
        </w:tc>
        <w:tc>
          <w:tcPr>
            <w:tcW w:w="5886" w:type="dxa"/>
          </w:tcPr>
          <w:p w14:paraId="16B822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员工费用报销</w:t>
            </w:r>
          </w:p>
        </w:tc>
      </w:tr>
      <w:tr w14:paraId="77A2D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3419691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执行者</w:t>
            </w:r>
          </w:p>
        </w:tc>
        <w:tc>
          <w:tcPr>
            <w:tcW w:w="5886" w:type="dxa"/>
          </w:tcPr>
          <w:p w14:paraId="3154AD9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员工、财务经理</w:t>
            </w:r>
          </w:p>
        </w:tc>
      </w:tr>
      <w:tr w14:paraId="395D4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1EF391F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5886" w:type="dxa"/>
          </w:tcPr>
          <w:p w14:paraId="73FB87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员工具备系统账号</w:t>
            </w:r>
          </w:p>
        </w:tc>
      </w:tr>
      <w:tr w14:paraId="6EDBF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7CCFA5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5886" w:type="dxa"/>
          </w:tcPr>
          <w:p w14:paraId="1560467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报销款支付完成，凭证入账</w:t>
            </w:r>
          </w:p>
        </w:tc>
      </w:tr>
      <w:tr w14:paraId="0FB2B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577A1D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涉众利益</w:t>
            </w:r>
          </w:p>
        </w:tc>
        <w:tc>
          <w:tcPr>
            <w:tcW w:w="5886" w:type="dxa"/>
          </w:tcPr>
          <w:p w14:paraId="50EEB7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管理层希望费用合规；员工希望审批高效透明</w:t>
            </w:r>
          </w:p>
        </w:tc>
      </w:tr>
      <w:tr w14:paraId="22F92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0BE6F0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基本路径</w:t>
            </w:r>
          </w:p>
        </w:tc>
        <w:tc>
          <w:tcPr>
            <w:tcW w:w="5886" w:type="dxa"/>
          </w:tcPr>
          <w:p w14:paraId="229481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1、员工提交电子报销单并上传发票图片。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2、系统校验金额与预算余额。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3、财务经理接收审批请求并审核。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4、审批通过后系统生成付款凭证。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5、系统调用银行接口完成付款。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6、系统自动更新费用报表与预算余额。</w:t>
            </w:r>
          </w:p>
        </w:tc>
      </w:tr>
      <w:tr w14:paraId="46929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0BE44D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扩展路径</w:t>
            </w:r>
          </w:p>
        </w:tc>
        <w:tc>
          <w:tcPr>
            <w:tcW w:w="5886" w:type="dxa"/>
          </w:tcPr>
          <w:p w14:paraId="2011D0C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2a. 超预算 → 系统提示并进入二级审批。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5a. 银行接口异常 → 系统重试并通知财务人员。</w:t>
            </w:r>
          </w:p>
        </w:tc>
      </w:tr>
      <w:tr w14:paraId="05779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6BFB685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字段列表</w:t>
            </w:r>
          </w:p>
        </w:tc>
        <w:tc>
          <w:tcPr>
            <w:tcW w:w="5886" w:type="dxa"/>
          </w:tcPr>
          <w:p w14:paraId="2D5B37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报销单号、员工编号、费用类型、金额、审批状态、支付时间、凭证号</w:t>
            </w:r>
          </w:p>
        </w:tc>
      </w:tr>
      <w:tr w14:paraId="1E742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128E17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业务规则</w:t>
            </w:r>
          </w:p>
        </w:tc>
        <w:tc>
          <w:tcPr>
            <w:tcW w:w="5886" w:type="dxa"/>
          </w:tcPr>
          <w:p w14:paraId="799E62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单笔报销金额 &gt;5000 元需二级审批；同一报销单不可重复提交；所有票据须附凭证。</w:t>
            </w:r>
          </w:p>
        </w:tc>
      </w:tr>
      <w:tr w14:paraId="7FA99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59B1F58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质量需求</w:t>
            </w:r>
          </w:p>
        </w:tc>
        <w:tc>
          <w:tcPr>
            <w:tcW w:w="5886" w:type="dxa"/>
          </w:tcPr>
          <w:p w14:paraId="65D10A4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审批响应 &lt; 2 秒；失败重试机制稳定</w:t>
            </w:r>
          </w:p>
        </w:tc>
      </w:tr>
      <w:tr w14:paraId="4A997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363703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设计约束</w:t>
            </w:r>
          </w:p>
        </w:tc>
        <w:tc>
          <w:tcPr>
            <w:tcW w:w="5886" w:type="dxa"/>
          </w:tcPr>
          <w:p w14:paraId="26A100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支持移动端审批与 OCR 发票识别。</w:t>
            </w:r>
          </w:p>
        </w:tc>
      </w:tr>
    </w:tbl>
    <w:p w14:paraId="0E3149A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E45475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会计核算与过账用例规约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6"/>
        <w:gridCol w:w="5886"/>
      </w:tblGrid>
      <w:tr w14:paraId="269FA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2636" w:type="dxa"/>
          </w:tcPr>
          <w:p w14:paraId="1CC5F10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</w:tc>
        <w:tc>
          <w:tcPr>
            <w:tcW w:w="5886" w:type="dxa"/>
            <w:vAlign w:val="top"/>
          </w:tcPr>
          <w:p w14:paraId="17E4B83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内容</w:t>
            </w:r>
          </w:p>
        </w:tc>
      </w:tr>
      <w:tr w14:paraId="5FB42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7D45A9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5886" w:type="dxa"/>
          </w:tcPr>
          <w:p w14:paraId="32BF15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UC5</w:t>
            </w:r>
          </w:p>
        </w:tc>
      </w:tr>
      <w:tr w14:paraId="23635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1CD864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用例名</w:t>
            </w:r>
          </w:p>
        </w:tc>
        <w:tc>
          <w:tcPr>
            <w:tcW w:w="5886" w:type="dxa"/>
          </w:tcPr>
          <w:p w14:paraId="75F7CA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会计核算与过账</w:t>
            </w:r>
          </w:p>
        </w:tc>
      </w:tr>
      <w:tr w14:paraId="7F55C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6ED98A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执行者</w:t>
            </w:r>
          </w:p>
        </w:tc>
        <w:tc>
          <w:tcPr>
            <w:tcW w:w="5886" w:type="dxa"/>
          </w:tcPr>
          <w:p w14:paraId="53993E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财务人员、财务经理</w:t>
            </w:r>
          </w:p>
        </w:tc>
      </w:tr>
      <w:tr w14:paraId="12FF8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1A43B7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5886" w:type="dxa"/>
          </w:tcPr>
          <w:p w14:paraId="1F763B5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已存在分录或凭证</w:t>
            </w:r>
          </w:p>
        </w:tc>
      </w:tr>
      <w:tr w14:paraId="1C19B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3A8403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5886" w:type="dxa"/>
          </w:tcPr>
          <w:p w14:paraId="78CB62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分录过账至总账，生成试算平衡表</w:t>
            </w:r>
          </w:p>
        </w:tc>
      </w:tr>
      <w:tr w14:paraId="39221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40DA441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涉众利益</w:t>
            </w:r>
          </w:p>
        </w:tc>
        <w:tc>
          <w:tcPr>
            <w:tcW w:w="5886" w:type="dxa"/>
          </w:tcPr>
          <w:p w14:paraId="733CA7E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提高财务核算准确性与实时性</w:t>
            </w:r>
          </w:p>
        </w:tc>
      </w:tr>
      <w:tr w14:paraId="3256E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77170EE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基本路径</w:t>
            </w:r>
          </w:p>
        </w:tc>
        <w:tc>
          <w:tcPr>
            <w:tcW w:w="5886" w:type="dxa"/>
          </w:tcPr>
          <w:p w14:paraId="3600EB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1、系统每日汇总各模块分录。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2、财务人员审核凭证合法性。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3、财务经理审批过账。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4、系统更新总账与明细账。</w:t>
            </w:r>
          </w:p>
        </w:tc>
      </w:tr>
      <w:tr w14:paraId="12FD0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7DE2A3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扩展路径</w:t>
            </w:r>
          </w:p>
        </w:tc>
        <w:tc>
          <w:tcPr>
            <w:tcW w:w="5886" w:type="dxa"/>
          </w:tcPr>
          <w:p w14:paraId="23944F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2a. 凭证错误 → 系统提示修改。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4a. 过账失败 → 系统回滚并记录日志。</w:t>
            </w:r>
          </w:p>
        </w:tc>
      </w:tr>
      <w:tr w14:paraId="3AF40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734A4A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字段列表</w:t>
            </w:r>
          </w:p>
        </w:tc>
        <w:tc>
          <w:tcPr>
            <w:tcW w:w="5886" w:type="dxa"/>
          </w:tcPr>
          <w:p w14:paraId="5A42513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凭证号、分录日期、会计科目、借贷金额、审核状态</w:t>
            </w:r>
          </w:p>
        </w:tc>
      </w:tr>
      <w:tr w14:paraId="23E16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477F2B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业务规则</w:t>
            </w:r>
          </w:p>
        </w:tc>
        <w:tc>
          <w:tcPr>
            <w:tcW w:w="5886" w:type="dxa"/>
          </w:tcPr>
          <w:p w14:paraId="497A24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借贷必须平衡；每日自动平衡检测；过账须经理审批。</w:t>
            </w:r>
          </w:p>
        </w:tc>
      </w:tr>
      <w:tr w14:paraId="4E3C1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5C67F55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质量需求</w:t>
            </w:r>
          </w:p>
        </w:tc>
        <w:tc>
          <w:tcPr>
            <w:tcW w:w="5886" w:type="dxa"/>
          </w:tcPr>
          <w:p w14:paraId="236937C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每次过账事务保证原子性；错误日志必须可追溯</w:t>
            </w:r>
          </w:p>
        </w:tc>
      </w:tr>
      <w:tr w14:paraId="409C4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76B41A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设计约束</w:t>
            </w:r>
          </w:p>
        </w:tc>
        <w:tc>
          <w:tcPr>
            <w:tcW w:w="5886" w:type="dxa"/>
          </w:tcPr>
          <w:p w14:paraId="6866C4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支持多币种核算及凭证导入导出功能</w:t>
            </w:r>
          </w:p>
        </w:tc>
      </w:tr>
    </w:tbl>
    <w:p w14:paraId="1ED2C96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60A71F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财务报表生成用例规约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6"/>
        <w:gridCol w:w="5886"/>
      </w:tblGrid>
      <w:tr w14:paraId="1EB7C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2636" w:type="dxa"/>
          </w:tcPr>
          <w:p w14:paraId="513BD69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</w:tc>
        <w:tc>
          <w:tcPr>
            <w:tcW w:w="5886" w:type="dxa"/>
            <w:vAlign w:val="top"/>
          </w:tcPr>
          <w:p w14:paraId="73FCCB3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内容</w:t>
            </w:r>
          </w:p>
        </w:tc>
      </w:tr>
      <w:tr w14:paraId="29669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0BC33F2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5886" w:type="dxa"/>
          </w:tcPr>
          <w:p w14:paraId="1FB803D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UC6</w:t>
            </w:r>
          </w:p>
        </w:tc>
      </w:tr>
      <w:tr w14:paraId="75475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511B7C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用例名</w:t>
            </w:r>
          </w:p>
        </w:tc>
        <w:tc>
          <w:tcPr>
            <w:tcW w:w="5886" w:type="dxa"/>
          </w:tcPr>
          <w:p w14:paraId="5F27C41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生成财务报表</w:t>
            </w:r>
          </w:p>
        </w:tc>
      </w:tr>
      <w:tr w14:paraId="28D51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4F58A34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执行者</w:t>
            </w:r>
          </w:p>
        </w:tc>
        <w:tc>
          <w:tcPr>
            <w:tcW w:w="5886" w:type="dxa"/>
          </w:tcPr>
          <w:p w14:paraId="562B371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财务人员、老板</w:t>
            </w:r>
          </w:p>
        </w:tc>
      </w:tr>
      <w:tr w14:paraId="4A06E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0ED677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5886" w:type="dxa"/>
          </w:tcPr>
          <w:p w14:paraId="6104BD5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总账数据已生成</w:t>
            </w:r>
          </w:p>
        </w:tc>
      </w:tr>
      <w:tr w14:paraId="02C0C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55CD6E1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5886" w:type="dxa"/>
          </w:tcPr>
          <w:p w14:paraId="65B87F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生成资产负债表、利润表、现金流量表</w:t>
            </w:r>
          </w:p>
        </w:tc>
      </w:tr>
      <w:tr w14:paraId="3EAAF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299CE1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涉众利益</w:t>
            </w:r>
          </w:p>
        </w:tc>
        <w:tc>
          <w:tcPr>
            <w:tcW w:w="5886" w:type="dxa"/>
          </w:tcPr>
          <w:p w14:paraId="516C76A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管理层希望实时掌握财务状况</w:t>
            </w:r>
          </w:p>
        </w:tc>
      </w:tr>
      <w:tr w14:paraId="5BC0C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618D99C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基本路径</w:t>
            </w:r>
          </w:p>
        </w:tc>
        <w:tc>
          <w:tcPr>
            <w:tcW w:w="5886" w:type="dxa"/>
          </w:tcPr>
          <w:p w14:paraId="49F8D3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1、财务人员选择报表类型与会计期间。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2、系统汇总总账数据。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3、系统生成报表。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4、财务经理复核并提交。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5、老板查看分析图表。</w:t>
            </w:r>
          </w:p>
        </w:tc>
      </w:tr>
      <w:tr w14:paraId="3F4C6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1917521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扩展路径</w:t>
            </w:r>
          </w:p>
        </w:tc>
        <w:tc>
          <w:tcPr>
            <w:tcW w:w="5886" w:type="dxa"/>
          </w:tcPr>
          <w:p w14:paraId="3E08F7E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2a. 数据缺失 → 系统提示重新计算。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4a. 审核不通过 → 退回修改。</w:t>
            </w:r>
          </w:p>
        </w:tc>
      </w:tr>
      <w:tr w14:paraId="74804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1D441B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字段列表</w:t>
            </w:r>
          </w:p>
        </w:tc>
        <w:tc>
          <w:tcPr>
            <w:tcW w:w="5886" w:type="dxa"/>
          </w:tcPr>
          <w:p w14:paraId="5385970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报表类型、期间、生成日期、数据来源、生成状态</w:t>
            </w:r>
          </w:p>
        </w:tc>
      </w:tr>
      <w:tr w14:paraId="2A2B2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28F3F05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业务规则</w:t>
            </w:r>
          </w:p>
        </w:tc>
        <w:tc>
          <w:tcPr>
            <w:tcW w:w="5886" w:type="dxa"/>
          </w:tcPr>
          <w:p w14:paraId="1099E1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报表周期不可重叠；数据需与总账一致；已发布报表不可修改。</w:t>
            </w:r>
          </w:p>
        </w:tc>
      </w:tr>
      <w:tr w14:paraId="7E57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534F643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质量需求</w:t>
            </w:r>
          </w:p>
        </w:tc>
        <w:tc>
          <w:tcPr>
            <w:tcW w:w="5886" w:type="dxa"/>
          </w:tcPr>
          <w:p w14:paraId="7E5048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报表生成时间 &lt; 3 秒；误差率 0%</w:t>
            </w:r>
          </w:p>
        </w:tc>
      </w:tr>
      <w:tr w14:paraId="01DE7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5C916C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设计约束</w:t>
            </w:r>
          </w:p>
        </w:tc>
        <w:tc>
          <w:tcPr>
            <w:tcW w:w="5886" w:type="dxa"/>
          </w:tcPr>
          <w:p w14:paraId="082C2E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支持 PDF/Excel 导出及可视化分析图表</w:t>
            </w:r>
          </w:p>
        </w:tc>
      </w:tr>
    </w:tbl>
    <w:p w14:paraId="0BF8C4A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C51423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预算与审批用例规约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6"/>
        <w:gridCol w:w="5886"/>
      </w:tblGrid>
      <w:tr w14:paraId="38B56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2636" w:type="dxa"/>
          </w:tcPr>
          <w:p w14:paraId="71C98F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</w:tc>
        <w:tc>
          <w:tcPr>
            <w:tcW w:w="5886" w:type="dxa"/>
            <w:vAlign w:val="top"/>
          </w:tcPr>
          <w:p w14:paraId="6BE5BAE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内容</w:t>
            </w:r>
          </w:p>
        </w:tc>
      </w:tr>
      <w:tr w14:paraId="7103F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04EF29E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5886" w:type="dxa"/>
          </w:tcPr>
          <w:p w14:paraId="108EC6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UC7</w:t>
            </w:r>
          </w:p>
        </w:tc>
      </w:tr>
      <w:tr w14:paraId="2C909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48E13B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用例名</w:t>
            </w:r>
          </w:p>
        </w:tc>
        <w:tc>
          <w:tcPr>
            <w:tcW w:w="5886" w:type="dxa"/>
          </w:tcPr>
          <w:p w14:paraId="6745D9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预算与审批</w:t>
            </w:r>
          </w:p>
        </w:tc>
      </w:tr>
      <w:tr w14:paraId="340CA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4ACE2FA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执行者</w:t>
            </w:r>
          </w:p>
        </w:tc>
        <w:tc>
          <w:tcPr>
            <w:tcW w:w="5886" w:type="dxa"/>
          </w:tcPr>
          <w:p w14:paraId="23EA91F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财务经理、老板</w:t>
            </w:r>
          </w:p>
        </w:tc>
      </w:tr>
      <w:tr w14:paraId="331A5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5D0E1A9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5886" w:type="dxa"/>
          </w:tcPr>
          <w:p w14:paraId="11F4FC5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上一财务周期结束</w:t>
            </w:r>
          </w:p>
        </w:tc>
      </w:tr>
      <w:tr w14:paraId="6AEFE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67428EB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5886" w:type="dxa"/>
          </w:tcPr>
          <w:p w14:paraId="3BA873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新预算方案生效并存档</w:t>
            </w:r>
          </w:p>
        </w:tc>
      </w:tr>
      <w:tr w14:paraId="4490A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3B769E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涉众利益</w:t>
            </w:r>
          </w:p>
        </w:tc>
        <w:tc>
          <w:tcPr>
            <w:tcW w:w="5886" w:type="dxa"/>
          </w:tcPr>
          <w:p w14:paraId="53764CF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保证预算合理、支出合规</w:t>
            </w:r>
          </w:p>
        </w:tc>
      </w:tr>
      <w:tr w14:paraId="13439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79B4D07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基本路径</w:t>
            </w:r>
          </w:p>
        </w:tc>
        <w:tc>
          <w:tcPr>
            <w:tcW w:w="5886" w:type="dxa"/>
          </w:tcPr>
          <w:p w14:paraId="55B35E3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1. 财务经理创建预算方案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2. 系统计算预算分配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3. 老板审批预算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4. 系统锁定预算并生效</w:t>
            </w:r>
          </w:p>
        </w:tc>
      </w:tr>
      <w:tr w14:paraId="2028B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2C9C7A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扩展路径</w:t>
            </w:r>
          </w:p>
        </w:tc>
        <w:tc>
          <w:tcPr>
            <w:tcW w:w="5886" w:type="dxa"/>
          </w:tcPr>
          <w:p w14:paraId="0336D4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3a. 审批驳回 → 返回修改</w:t>
            </w:r>
          </w:p>
        </w:tc>
      </w:tr>
      <w:tr w14:paraId="42354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3D9933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字段列表</w:t>
            </w:r>
          </w:p>
        </w:tc>
        <w:tc>
          <w:tcPr>
            <w:tcW w:w="5886" w:type="dxa"/>
          </w:tcPr>
          <w:p w14:paraId="0C99624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部门、预算金额、期间、审批状态</w:t>
            </w:r>
          </w:p>
        </w:tc>
      </w:tr>
      <w:tr w14:paraId="7941F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54F4AE3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业务规则</w:t>
            </w:r>
          </w:p>
        </w:tc>
        <w:tc>
          <w:tcPr>
            <w:tcW w:w="5886" w:type="dxa"/>
          </w:tcPr>
          <w:p w14:paraId="2D8B0ED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所有部门预算总额 ≤ 总预算；审批后不可修改</w:t>
            </w:r>
          </w:p>
        </w:tc>
      </w:tr>
      <w:tr w14:paraId="1F82B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5DB8A5E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质量需求</w:t>
            </w:r>
          </w:p>
        </w:tc>
        <w:tc>
          <w:tcPr>
            <w:tcW w:w="5886" w:type="dxa"/>
          </w:tcPr>
          <w:p w14:paraId="712AC81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预算计算延迟 &lt; 2 秒</w:t>
            </w:r>
          </w:p>
        </w:tc>
      </w:tr>
      <w:tr w14:paraId="1AEAC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2C9DB3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设计约束</w:t>
            </w:r>
          </w:p>
        </w:tc>
        <w:tc>
          <w:tcPr>
            <w:tcW w:w="5886" w:type="dxa"/>
          </w:tcPr>
          <w:p w14:paraId="41E344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系统需支持多层级审批流配置</w:t>
            </w:r>
          </w:p>
        </w:tc>
      </w:tr>
    </w:tbl>
    <w:p w14:paraId="1E9F5DC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37F9E3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税务处理与申报用例规约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6"/>
        <w:gridCol w:w="5886"/>
      </w:tblGrid>
      <w:tr w14:paraId="2330B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2636" w:type="dxa"/>
          </w:tcPr>
          <w:p w14:paraId="021594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</w:tc>
        <w:tc>
          <w:tcPr>
            <w:tcW w:w="5886" w:type="dxa"/>
            <w:vAlign w:val="top"/>
          </w:tcPr>
          <w:p w14:paraId="67E0640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内容</w:t>
            </w:r>
          </w:p>
        </w:tc>
      </w:tr>
      <w:tr w14:paraId="6FF16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79F48DC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5886" w:type="dxa"/>
          </w:tcPr>
          <w:p w14:paraId="40372F1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UC8</w:t>
            </w:r>
          </w:p>
        </w:tc>
      </w:tr>
      <w:tr w14:paraId="44353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0E1AB3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用例名</w:t>
            </w:r>
          </w:p>
        </w:tc>
        <w:tc>
          <w:tcPr>
            <w:tcW w:w="5886" w:type="dxa"/>
          </w:tcPr>
          <w:p w14:paraId="6112D23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税务处理与申报</w:t>
            </w:r>
          </w:p>
        </w:tc>
      </w:tr>
      <w:tr w14:paraId="26EA6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63B69E3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执行者</w:t>
            </w:r>
          </w:p>
        </w:tc>
        <w:tc>
          <w:tcPr>
            <w:tcW w:w="5886" w:type="dxa"/>
          </w:tcPr>
          <w:p w14:paraId="70F4E23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财务人员、财务经理</w:t>
            </w:r>
          </w:p>
        </w:tc>
      </w:tr>
      <w:tr w14:paraId="793FE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00C5DB3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5886" w:type="dxa"/>
          </w:tcPr>
          <w:p w14:paraId="11614E1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系统有完整账务与发票数据</w:t>
            </w:r>
          </w:p>
        </w:tc>
      </w:tr>
      <w:tr w14:paraId="4C3CB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602B663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后置条件</w:t>
            </w:r>
          </w:p>
        </w:tc>
        <w:tc>
          <w:tcPr>
            <w:tcW w:w="5886" w:type="dxa"/>
          </w:tcPr>
          <w:p w14:paraId="308CEAD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税务申报表生成并上传税务系统</w:t>
            </w:r>
          </w:p>
        </w:tc>
      </w:tr>
      <w:tr w14:paraId="6CF51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044C54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涉众利益</w:t>
            </w:r>
          </w:p>
        </w:tc>
        <w:tc>
          <w:tcPr>
            <w:tcW w:w="5886" w:type="dxa"/>
          </w:tcPr>
          <w:p w14:paraId="4279343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企业希望合规申报、减少人工错误</w:t>
            </w:r>
          </w:p>
        </w:tc>
      </w:tr>
      <w:tr w14:paraId="2BB17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61DF6C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基本路径</w:t>
            </w:r>
          </w:p>
        </w:tc>
        <w:tc>
          <w:tcPr>
            <w:tcW w:w="5886" w:type="dxa"/>
          </w:tcPr>
          <w:p w14:paraId="4416DC3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1、财务人员在系统中生成税务申报表。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2、财务经理审核确认。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3、系统上传申报数据至税务系统。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4、税务系统返回结果。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5、系统归档回执信息。</w:t>
            </w:r>
          </w:p>
        </w:tc>
      </w:tr>
      <w:tr w14:paraId="7F9BD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110E4C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扩展路径</w:t>
            </w:r>
          </w:p>
        </w:tc>
        <w:tc>
          <w:tcPr>
            <w:tcW w:w="5886" w:type="dxa"/>
          </w:tcPr>
          <w:p w14:paraId="72A564E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3a. 网络异常 → 系统自动重试 3 次。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4a. 税务接口异常 → 系统记录错误日志并提示重试。</w:t>
            </w:r>
          </w:p>
        </w:tc>
      </w:tr>
      <w:tr w14:paraId="31F4A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36DB68C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字段列表</w:t>
            </w:r>
          </w:p>
        </w:tc>
        <w:tc>
          <w:tcPr>
            <w:tcW w:w="5886" w:type="dxa"/>
          </w:tcPr>
          <w:p w14:paraId="474AE85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税种、申报期、金额、状态、回执编号</w:t>
            </w:r>
          </w:p>
        </w:tc>
      </w:tr>
      <w:tr w14:paraId="60B22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2313A61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业务规则</w:t>
            </w:r>
          </w:p>
        </w:tc>
        <w:tc>
          <w:tcPr>
            <w:tcW w:w="5886" w:type="dxa"/>
          </w:tcPr>
          <w:p w14:paraId="21EAC6E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税额精确到小数点后两位；申报周期不得跨月；回执必须存档。</w:t>
            </w:r>
          </w:p>
        </w:tc>
      </w:tr>
      <w:tr w14:paraId="59A98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5332F98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质量需求</w:t>
            </w:r>
          </w:p>
        </w:tc>
        <w:tc>
          <w:tcPr>
            <w:tcW w:w="5886" w:type="dxa"/>
          </w:tcPr>
          <w:p w14:paraId="76C65B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上传延迟 &lt; 5 秒；错误率 &lt; 0.1%</w:t>
            </w:r>
          </w:p>
        </w:tc>
      </w:tr>
      <w:tr w14:paraId="49DEA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6" w:type="dxa"/>
          </w:tcPr>
          <w:p w14:paraId="3CC128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设计约束</w:t>
            </w:r>
          </w:p>
        </w:tc>
        <w:tc>
          <w:tcPr>
            <w:tcW w:w="5886" w:type="dxa"/>
          </w:tcPr>
          <w:p w14:paraId="3E5F9AF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接口符合国家税务总局电子申报规范</w:t>
            </w:r>
          </w:p>
        </w:tc>
      </w:tr>
    </w:tbl>
    <w:p w14:paraId="076C82C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分析类图</w:t>
      </w:r>
    </w:p>
    <w:p w14:paraId="211ADB38">
      <w:pPr>
        <w:keepNext w:val="0"/>
        <w:keepLines w:val="0"/>
        <w:widowControl/>
        <w:suppressLineNumbers w:val="0"/>
        <w:jc w:val="left"/>
      </w:pPr>
    </w:p>
    <w:p w14:paraId="547632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51120" cy="9683750"/>
            <wp:effectExtent l="0" t="0" r="0" b="0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968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2EDD7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分析序列图</w:t>
      </w:r>
    </w:p>
    <w:p w14:paraId="5DFE0960">
      <w:pPr>
        <w:widowControl w:val="0"/>
        <w:numPr>
          <w:ilvl w:val="0"/>
          <w:numId w:val="3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采购业务分析序列图</w:t>
      </w:r>
    </w:p>
    <w:p w14:paraId="216830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524500" cy="3749040"/>
            <wp:effectExtent l="0" t="0" r="7620" b="0"/>
            <wp:docPr id="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749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718CC9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0CBFC6D5">
      <w:pPr>
        <w:widowControl w:val="0"/>
        <w:numPr>
          <w:ilvl w:val="0"/>
          <w:numId w:val="3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销售业务分析序列图</w:t>
      </w:r>
    </w:p>
    <w:p w14:paraId="4C49AF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527675" cy="3658235"/>
            <wp:effectExtent l="0" t="0" r="4445" b="0"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7675" cy="3658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93B82F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D22BE8A">
      <w:pPr>
        <w:widowControl w:val="0"/>
        <w:numPr>
          <w:ilvl w:val="0"/>
          <w:numId w:val="3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会计核算分析序列图</w:t>
      </w:r>
    </w:p>
    <w:p w14:paraId="6D0F1D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39080" cy="2704465"/>
            <wp:effectExtent l="0" t="0" r="10160" b="0"/>
            <wp:docPr id="8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2704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AB31CB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76D606D">
      <w:pPr>
        <w:widowControl w:val="0"/>
        <w:numPr>
          <w:ilvl w:val="0"/>
          <w:numId w:val="3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收付款分析序列图</w:t>
      </w:r>
    </w:p>
    <w:p w14:paraId="765D60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90515" cy="3261995"/>
            <wp:effectExtent l="0" t="0" r="4445" b="0"/>
            <wp:docPr id="9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E6C4F9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CED29C5">
      <w:pPr>
        <w:widowControl w:val="0"/>
        <w:numPr>
          <w:ilvl w:val="0"/>
          <w:numId w:val="3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费用报销分析序列图</w:t>
      </w:r>
    </w:p>
    <w:p w14:paraId="32718D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89245" cy="3290570"/>
            <wp:effectExtent l="0" t="0" r="5715" b="0"/>
            <wp:docPr id="10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3290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69D125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4B34B4A">
      <w:pPr>
        <w:widowControl w:val="0"/>
        <w:numPr>
          <w:ilvl w:val="0"/>
          <w:numId w:val="3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预算审批分析序列图</w:t>
      </w:r>
    </w:p>
    <w:p w14:paraId="74F637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39410" cy="3893185"/>
            <wp:effectExtent l="0" t="0" r="1270" b="0"/>
            <wp:docPr id="11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9410" cy="3893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A3AA7A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712E21B">
      <w:pPr>
        <w:widowControl w:val="0"/>
        <w:numPr>
          <w:ilvl w:val="0"/>
          <w:numId w:val="3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税务申报与报表生成分析序列图</w:t>
      </w:r>
    </w:p>
    <w:p w14:paraId="6CE5FF0B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1D4E7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8435" cy="2894330"/>
            <wp:effectExtent l="0" t="0" r="14605" b="0"/>
            <wp:docPr id="12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94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62B83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数据库结构</w:t>
      </w:r>
    </w:p>
    <w:p w14:paraId="3C586F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542280" cy="5287645"/>
            <wp:effectExtent l="0" t="0" r="0" b="0"/>
            <wp:docPr id="15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2280" cy="5287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E1BDDB">
      <w:pPr>
        <w:keepNext w:val="0"/>
        <w:keepLines w:val="0"/>
        <w:widowControl/>
        <w:suppressLineNumbers w:val="0"/>
        <w:jc w:val="left"/>
      </w:pPr>
    </w:p>
    <w:p w14:paraId="3BE66604">
      <w:pPr>
        <w:keepNext w:val="0"/>
        <w:keepLines w:val="0"/>
        <w:widowControl/>
        <w:suppressLineNumbers w:val="0"/>
        <w:jc w:val="left"/>
      </w:pPr>
    </w:p>
    <w:p w14:paraId="22C78D82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73CE52"/>
    <w:multiLevelType w:val="singleLevel"/>
    <w:tmpl w:val="C473CE5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B392DCA"/>
    <w:multiLevelType w:val="singleLevel"/>
    <w:tmpl w:val="1B392D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12ACA94"/>
    <w:multiLevelType w:val="singleLevel"/>
    <w:tmpl w:val="512ACA9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9B6BDC"/>
    <w:rsid w:val="022F38D1"/>
    <w:rsid w:val="1504159C"/>
    <w:rsid w:val="24FB4A09"/>
    <w:rsid w:val="25AC28FE"/>
    <w:rsid w:val="2D4D0FCF"/>
    <w:rsid w:val="3A6015D2"/>
    <w:rsid w:val="5FF62481"/>
    <w:rsid w:val="687F4FFB"/>
    <w:rsid w:val="799B6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2693</Words>
  <Characters>2783</Characters>
  <Lines>0</Lines>
  <Paragraphs>0</Paragraphs>
  <TotalTime>0</TotalTime>
  <ScaleCrop>false</ScaleCrop>
  <LinksUpToDate>false</LinksUpToDate>
  <CharactersWithSpaces>2896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2025-10-16T08:26:00Z</dcterms:created>
  <dc:creator>我就是我</dc:creator>
  <cp:lastModifiedBy>我就是我</cp:lastModifiedBy>
  <dcterms:modified xsi:type="dcterms:W3CDTF">2025-10-26T15:50:25Z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0A64CFE27B894468B13C9F571C2E8236_11</vt:lpwstr>
  </property>
  <property fmtid="{D5CDD505-2E9C-101B-9397-08002B2CF9AE}" pid="4" name="KSOTemplateDocerSaveRecord">
    <vt:lpwstr>eyJoZGlkIjoiZTc2ZDhlMDJkZGJmMjc1ZDI2ZGZlMWNhY2UzNjM2ZGIiLCJ1c2VySWQiOiIxNTIyMzQ0NDIxIn0=</vt:lpwstr>
  </property>
</Properties>
</file>