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2D622">
      <w:pPr>
        <w:jc w:val="center"/>
        <w:rPr>
          <w:sz w:val="40"/>
          <w:szCs w:val="40"/>
        </w:rPr>
      </w:pPr>
      <w:bookmarkStart w:id="9" w:name="_GoBack"/>
      <w:bookmarkEnd w:id="9"/>
    </w:p>
    <w:p w14:paraId="23959B33">
      <w:pPr>
        <w:jc w:val="center"/>
        <w:rPr>
          <w:sz w:val="40"/>
          <w:szCs w:val="40"/>
        </w:rPr>
      </w:pPr>
    </w:p>
    <w:p w14:paraId="7FAF77DB">
      <w:pPr>
        <w:jc w:val="center"/>
        <w:rPr>
          <w:sz w:val="40"/>
          <w:szCs w:val="40"/>
        </w:rPr>
      </w:pPr>
    </w:p>
    <w:p w14:paraId="77E356B3">
      <w:pPr>
        <w:jc w:val="center"/>
        <w:rPr>
          <w:sz w:val="40"/>
          <w:szCs w:val="40"/>
        </w:rPr>
      </w:pPr>
    </w:p>
    <w:p w14:paraId="6B526B9E">
      <w:pPr>
        <w:jc w:val="center"/>
        <w:rPr>
          <w:sz w:val="40"/>
          <w:szCs w:val="40"/>
        </w:rPr>
      </w:pPr>
    </w:p>
    <w:p w14:paraId="6A00256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The Economic Effects of </w:t>
      </w:r>
    </w:p>
    <w:p w14:paraId="4494ABC2">
      <w:pPr>
        <w:jc w:val="center"/>
        <w:rPr>
          <w:sz w:val="40"/>
          <w:szCs w:val="40"/>
        </w:rPr>
      </w:pPr>
      <w:r>
        <w:rPr>
          <w:sz w:val="40"/>
          <w:szCs w:val="40"/>
        </w:rPr>
        <w:t>China’s OFDI in ASEAN Countries</w:t>
      </w:r>
    </w:p>
    <w:p w14:paraId="497D2F1B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——</w:t>
      </w:r>
      <w:r>
        <w:rPr>
          <w:sz w:val="40"/>
          <w:szCs w:val="40"/>
        </w:rPr>
        <w:t>A Perspective from Host Country Infrastructure Development</w:t>
      </w:r>
    </w:p>
    <w:p w14:paraId="2FDD6E79">
      <w:pPr>
        <w:jc w:val="center"/>
      </w:pPr>
      <w:r>
        <w:t>Undergraduate Dissertation</w:t>
      </w:r>
    </w:p>
    <w:p w14:paraId="1C411C92">
      <w:pPr>
        <w:jc w:val="center"/>
        <w:rPr>
          <w:i/>
          <w:iCs/>
        </w:rPr>
      </w:pPr>
      <w:r>
        <w:rPr>
          <w:i/>
          <w:iCs/>
        </w:rPr>
        <w:t>(English Abstract version)</w:t>
      </w:r>
    </w:p>
    <w:p w14:paraId="4106B165">
      <w:pPr>
        <w:jc w:val="center"/>
      </w:pPr>
      <w:r>
        <w:t>Author: CHAN JIE</w:t>
      </w:r>
    </w:p>
    <w:p w14:paraId="4F8023DF">
      <w:r>
        <w:br w:type="page"/>
      </w:r>
    </w:p>
    <w:sdt>
      <w:sdtPr>
        <w:id w:val="-162252122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MY" w:eastAsia="zh-CN"/>
          <w14:ligatures w14:val="standardContextual"/>
        </w:rPr>
      </w:sdtEndPr>
      <w:sdtContent>
        <w:p w14:paraId="08F7CFDC">
          <w:pPr>
            <w:pStyle w:val="38"/>
          </w:pPr>
          <w:r>
            <w:t>Contents</w:t>
          </w:r>
        </w:p>
        <w:p w14:paraId="7D0603E7">
          <w:pPr>
            <w:pStyle w:val="19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"_Toc218796394" </w:instrText>
          </w:r>
          <w:r>
            <w:fldChar w:fldCharType="separate"/>
          </w:r>
          <w:r>
            <w:rPr>
              <w:rStyle w:val="15"/>
            </w:rPr>
            <w:t>Executive Summary</w:t>
          </w:r>
          <w:r>
            <w:tab/>
          </w:r>
          <w:r>
            <w:fldChar w:fldCharType="begin"/>
          </w:r>
          <w:r>
            <w:instrText xml:space="preserve"> PAGEREF _Toc218796394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D809CBE">
          <w:pPr>
            <w:pStyle w:val="19"/>
            <w:tabs>
              <w:tab w:val="right" w:leader="dot" w:pos="9016"/>
            </w:tabs>
          </w:pPr>
          <w:r>
            <w:fldChar w:fldCharType="begin"/>
          </w:r>
          <w:r>
            <w:instrText xml:space="preserve"> HYPERLINK \l "_Toc218796395" </w:instrText>
          </w:r>
          <w:r>
            <w:fldChar w:fldCharType="separate"/>
          </w:r>
          <w:r>
            <w:rPr>
              <w:rStyle w:val="15"/>
            </w:rPr>
            <w:t>Variables and sources:</w:t>
          </w:r>
          <w:r>
            <w:tab/>
          </w:r>
          <w:r>
            <w:fldChar w:fldCharType="begin"/>
          </w:r>
          <w:r>
            <w:instrText xml:space="preserve"> PAGEREF _Toc218796395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AEBBC5B">
          <w:pPr>
            <w:pStyle w:val="19"/>
            <w:tabs>
              <w:tab w:val="right" w:leader="dot" w:pos="9016"/>
            </w:tabs>
          </w:pPr>
          <w:r>
            <w:fldChar w:fldCharType="begin"/>
          </w:r>
          <w:r>
            <w:instrText xml:space="preserve"> HYPERLINK \l "_Toc218796396" </w:instrText>
          </w:r>
          <w:r>
            <w:fldChar w:fldCharType="separate"/>
          </w:r>
          <w:r>
            <w:rPr>
              <w:rStyle w:val="15"/>
            </w:rPr>
            <w:t>Economic Model</w:t>
          </w:r>
          <w:r>
            <w:tab/>
          </w:r>
          <w:r>
            <w:fldChar w:fldCharType="begin"/>
          </w:r>
          <w:r>
            <w:instrText xml:space="preserve"> PAGEREF _Toc218796396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3E734C">
          <w:pPr>
            <w:pStyle w:val="19"/>
            <w:tabs>
              <w:tab w:val="right" w:leader="dot" w:pos="9016"/>
            </w:tabs>
          </w:pPr>
          <w:r>
            <w:fldChar w:fldCharType="begin"/>
          </w:r>
          <w:r>
            <w:instrText xml:space="preserve"> HYPERLINK \l "_Toc218796397" </w:instrText>
          </w:r>
          <w:r>
            <w:fldChar w:fldCharType="separate"/>
          </w:r>
          <w:r>
            <w:rPr>
              <w:rStyle w:val="15"/>
            </w:rPr>
            <w:t>Regression Analysis</w:t>
          </w:r>
          <w:r>
            <w:tab/>
          </w:r>
          <w:r>
            <w:fldChar w:fldCharType="begin"/>
          </w:r>
          <w:r>
            <w:instrText xml:space="preserve"> PAGEREF _Toc218796397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CFF7FD">
          <w:pPr>
            <w:pStyle w:val="19"/>
            <w:tabs>
              <w:tab w:val="right" w:leader="dot" w:pos="9016"/>
            </w:tabs>
          </w:pPr>
          <w:r>
            <w:fldChar w:fldCharType="begin"/>
          </w:r>
          <w:r>
            <w:instrText xml:space="preserve"> HYPERLINK \l "_Toc218796398" </w:instrText>
          </w:r>
          <w:r>
            <w:fldChar w:fldCharType="separate"/>
          </w:r>
          <w:r>
            <w:rPr>
              <w:rStyle w:val="15"/>
            </w:rPr>
            <w:t>Decarbonisation Effect of OFDI</w:t>
          </w:r>
          <w:r>
            <w:tab/>
          </w:r>
          <w:r>
            <w:fldChar w:fldCharType="begin"/>
          </w:r>
          <w:r>
            <w:instrText xml:space="preserve"> PAGEREF _Toc218796398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6425DA3">
          <w:pPr>
            <w:pStyle w:val="19"/>
            <w:tabs>
              <w:tab w:val="right" w:leader="dot" w:pos="9016"/>
            </w:tabs>
          </w:pPr>
          <w:r>
            <w:fldChar w:fldCharType="begin"/>
          </w:r>
          <w:r>
            <w:instrText xml:space="preserve"> HYPERLINK \l "_Toc218796399" </w:instrText>
          </w:r>
          <w:r>
            <w:fldChar w:fldCharType="separate"/>
          </w:r>
          <w:r>
            <w:rPr>
              <w:rStyle w:val="15"/>
            </w:rPr>
            <w:t>Endogenuity and Identification</w:t>
          </w:r>
          <w:r>
            <w:tab/>
          </w:r>
          <w:r>
            <w:fldChar w:fldCharType="begin"/>
          </w:r>
          <w:r>
            <w:instrText xml:space="preserve"> PAGEREF _Toc218796399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8079193">
          <w:pPr>
            <w:pStyle w:val="19"/>
            <w:tabs>
              <w:tab w:val="right" w:leader="dot" w:pos="9016"/>
            </w:tabs>
          </w:pPr>
          <w:r>
            <w:fldChar w:fldCharType="begin"/>
          </w:r>
          <w:r>
            <w:instrText xml:space="preserve"> HYPERLINK \l "_Toc218796400" </w:instrText>
          </w:r>
          <w:r>
            <w:fldChar w:fldCharType="separate"/>
          </w:r>
          <w:r>
            <w:rPr>
              <w:rStyle w:val="15"/>
            </w:rPr>
            <w:t>Policy Implications and Recommendations</w:t>
          </w:r>
          <w:r>
            <w:tab/>
          </w:r>
          <w:r>
            <w:fldChar w:fldCharType="begin"/>
          </w:r>
          <w:r>
            <w:instrText xml:space="preserve"> PAGEREF _Toc218796400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FBFB4A4">
          <w:pPr>
            <w:pStyle w:val="19"/>
            <w:tabs>
              <w:tab w:val="right" w:leader="dot" w:pos="9016"/>
            </w:tabs>
          </w:pPr>
          <w:r>
            <w:fldChar w:fldCharType="begin"/>
          </w:r>
          <w:r>
            <w:instrText xml:space="preserve"> HYPERLINK \l "_Toc218796401" </w:instrText>
          </w:r>
          <w:r>
            <w:fldChar w:fldCharType="separate"/>
          </w:r>
          <w:r>
            <w:rPr>
              <w:rStyle w:val="15"/>
            </w:rPr>
            <w:t>Appendix</w:t>
          </w:r>
          <w:r>
            <w:tab/>
          </w:r>
          <w:r>
            <w:fldChar w:fldCharType="begin"/>
          </w:r>
          <w:r>
            <w:instrText xml:space="preserve"> PAGEREF _Toc218796401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0F00CAE">
          <w:pPr>
            <w:pStyle w:val="19"/>
            <w:tabs>
              <w:tab w:val="right" w:leader="dot" w:pos="9016"/>
            </w:tabs>
          </w:pPr>
          <w:r>
            <w:fldChar w:fldCharType="begin"/>
          </w:r>
          <w:r>
            <w:instrText xml:space="preserve"> HYPERLINK \l "_Toc218796402" </w:instrText>
          </w:r>
          <w:r>
            <w:fldChar w:fldCharType="separate"/>
          </w:r>
          <w:r>
            <w:rPr>
              <w:rStyle w:val="15"/>
            </w:rPr>
            <w:t>Coding (Stata)</w:t>
          </w:r>
          <w:r>
            <w:tab/>
          </w:r>
          <w:r>
            <w:fldChar w:fldCharType="begin"/>
          </w:r>
          <w:r>
            <w:instrText xml:space="preserve"> PAGEREF _Toc218796402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EF160DE">
          <w:r>
            <w:rPr>
              <w:b/>
              <w:bCs/>
            </w:rPr>
            <w:fldChar w:fldCharType="end"/>
          </w:r>
        </w:p>
      </w:sdtContent>
    </w:sdt>
    <w:p w14:paraId="7BD99B09">
      <w:pPr>
        <w:pStyle w:val="2"/>
      </w:pPr>
      <w:bookmarkStart w:id="0" w:name="_Toc218796394"/>
      <w:r>
        <w:t>Executive Summary</w:t>
      </w:r>
      <w:bookmarkEnd w:id="0"/>
    </w:p>
    <w:p w14:paraId="4733942D">
      <w:pPr>
        <w:rPr>
          <w:b/>
          <w:bCs/>
        </w:rPr>
      </w:pPr>
      <w:r>
        <w:rPr>
          <w:b/>
          <w:bCs/>
        </w:rPr>
        <w:t>1. Research Question</w:t>
      </w:r>
    </w:p>
    <w:p w14:paraId="1F200291">
      <w:pPr>
        <w:numPr>
          <w:ilvl w:val="0"/>
          <w:numId w:val="1"/>
        </w:numPr>
      </w:pPr>
      <w:r>
        <w:t>MAIN: Does China’s OFDI in ASEAN promote economic growth in host countries?</w:t>
      </w:r>
    </w:p>
    <w:p w14:paraId="674535FE">
      <w:pPr>
        <w:numPr>
          <w:ilvl w:val="0"/>
          <w:numId w:val="1"/>
        </w:numPr>
      </w:pPr>
      <w:r>
        <w:t>MECHANISM: Is the effect moderated (or mediated) by host-country infrastructure development?</w:t>
      </w:r>
    </w:p>
    <w:p w14:paraId="35623A81">
      <w:pPr>
        <w:numPr>
          <w:ilvl w:val="0"/>
          <w:numId w:val="1"/>
        </w:numPr>
      </w:pPr>
      <w:r>
        <w:t>EXTRA: Decarbonisation Effect of OFDI</w:t>
      </w:r>
    </w:p>
    <w:p w14:paraId="58FE03CF">
      <w:pPr>
        <w:rPr>
          <w:b/>
          <w:bCs/>
        </w:rPr>
      </w:pPr>
      <w:r>
        <w:rPr>
          <w:b/>
          <w:bCs/>
        </w:rPr>
        <w:t>2. Contribution</w:t>
      </w:r>
    </w:p>
    <w:p w14:paraId="6EC0E94C">
      <w:pPr>
        <w:numPr>
          <w:ilvl w:val="0"/>
          <w:numId w:val="2"/>
        </w:numPr>
      </w:pPr>
      <w:r>
        <w:t>Mechanism analysis</w:t>
      </w:r>
    </w:p>
    <w:p w14:paraId="79A8D310">
      <w:pPr>
        <w:numPr>
          <w:ilvl w:val="0"/>
          <w:numId w:val="2"/>
        </w:numPr>
      </w:pPr>
      <w:r>
        <w:t>Policy implications for gov and enterprises</w:t>
      </w:r>
    </w:p>
    <w:p w14:paraId="4DA00C1E">
      <w:pPr>
        <w:rPr>
          <w:b/>
          <w:bCs/>
        </w:rPr>
      </w:pPr>
      <w:r>
        <w:rPr>
          <w:b/>
          <w:bCs/>
        </w:rPr>
        <w:t>3. Data</w:t>
      </w:r>
    </w:p>
    <w:p w14:paraId="5CA42A92">
      <w:pPr>
        <w:numPr>
          <w:ilvl w:val="0"/>
          <w:numId w:val="3"/>
        </w:numPr>
      </w:pPr>
      <w:r>
        <w:t>World Bank: GDP per capita, controls</w:t>
      </w:r>
    </w:p>
    <w:p w14:paraId="4BD4692D">
      <w:pPr>
        <w:numPr>
          <w:ilvl w:val="0"/>
          <w:numId w:val="3"/>
        </w:numPr>
      </w:pPr>
      <w:r>
        <w:t>Statistical Bulletin of China's OFDI: OFDI stock</w:t>
      </w:r>
    </w:p>
    <w:p w14:paraId="4EC70268">
      <w:pPr>
        <w:numPr>
          <w:ilvl w:val="0"/>
          <w:numId w:val="3"/>
        </w:numPr>
      </w:pPr>
      <w:r>
        <w:t>Period: 2003–2023</w:t>
      </w:r>
    </w:p>
    <w:p w14:paraId="0BBB02A6">
      <w:pPr>
        <w:rPr>
          <w:b/>
          <w:bCs/>
        </w:rPr>
      </w:pPr>
      <w:r>
        <w:rPr>
          <w:b/>
          <w:bCs/>
        </w:rPr>
        <w:t>4. Methodology</w:t>
      </w:r>
    </w:p>
    <w:p w14:paraId="2A77E742">
      <w:pPr>
        <w:numPr>
          <w:ilvl w:val="0"/>
          <w:numId w:val="4"/>
        </w:numPr>
      </w:pPr>
      <w:r>
        <w:t>Panel, two-way fixed effects</w:t>
      </w:r>
    </w:p>
    <w:p w14:paraId="60D8617F">
      <w:pPr>
        <w:numPr>
          <w:ilvl w:val="0"/>
          <w:numId w:val="4"/>
        </w:numPr>
      </w:pPr>
      <w:r>
        <w:t>Instrumental variables using lagged OFDI</w:t>
      </w:r>
    </w:p>
    <w:p w14:paraId="3D29F939">
      <w:pPr>
        <w:rPr>
          <w:b/>
          <w:bCs/>
        </w:rPr>
      </w:pPr>
      <w:r>
        <w:rPr>
          <w:b/>
          <w:bCs/>
        </w:rPr>
        <w:t>5. Results</w:t>
      </w:r>
    </w:p>
    <w:p w14:paraId="5E9201E9">
      <w:pPr>
        <w:numPr>
          <w:ilvl w:val="0"/>
          <w:numId w:val="5"/>
        </w:numPr>
      </w:pPr>
      <w:r>
        <w:t>OFDI has a positive and statistically significant effect on GDP growth.</w:t>
      </w:r>
    </w:p>
    <w:p w14:paraId="794E191D">
      <w:pPr>
        <w:numPr>
          <w:ilvl w:val="0"/>
          <w:numId w:val="5"/>
        </w:numPr>
      </w:pPr>
      <w:r>
        <w:t>Higher levels of urbanization and infrastructure weaken the short-term growth effect of China–ASEAN OFDI</w:t>
      </w:r>
    </w:p>
    <w:p w14:paraId="1F448784">
      <w:pPr>
        <w:numPr>
          <w:ilvl w:val="0"/>
          <w:numId w:val="5"/>
        </w:numPr>
      </w:pPr>
      <w:r>
        <w:t>China’s OFDI significantly reduces ASEAN countries’ carbon emissions.</w:t>
      </w:r>
    </w:p>
    <w:p w14:paraId="4594BB92">
      <w:r>
        <w:br w:type="page"/>
      </w:r>
    </w:p>
    <w:p w14:paraId="5AC07627">
      <w:pPr>
        <w:pStyle w:val="2"/>
      </w:pPr>
      <w:bookmarkStart w:id="1" w:name="_Toc218796395"/>
      <w:r>
        <w:t>Variables and sources:</w:t>
      </w:r>
      <w:bookmarkEnd w:id="1"/>
    </w:p>
    <w:tbl>
      <w:tblPr>
        <w:tblStyle w:val="12"/>
        <w:tblW w:w="82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5" w:type="dxa"/>
          <w:bottom w:w="0" w:type="dxa"/>
          <w:right w:w="75" w:type="dxa"/>
        </w:tblCellMar>
      </w:tblPr>
      <w:tblGrid>
        <w:gridCol w:w="1702"/>
        <w:gridCol w:w="2835"/>
        <w:gridCol w:w="3726"/>
      </w:tblGrid>
      <w:tr w14:paraId="7B75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atLeast"/>
          <w:jc w:val="center"/>
        </w:trPr>
        <w:tc>
          <w:tcPr>
            <w:tcW w:w="1702" w:type="dxa"/>
            <w:shd w:val="clear" w:color="auto" w:fill="D9E2F3" w:themeFill="accent1" w:themeFillTint="33"/>
            <w:vAlign w:val="center"/>
          </w:tcPr>
          <w:p w14:paraId="3347A39C">
            <w:pPr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2835" w:type="dxa"/>
            <w:shd w:val="clear" w:color="auto" w:fill="D9E2F3" w:themeFill="accent1" w:themeFillTint="33"/>
            <w:vAlign w:val="center"/>
          </w:tcPr>
          <w:p w14:paraId="260A8A33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3726" w:type="dxa"/>
            <w:shd w:val="clear" w:color="auto" w:fill="D9E2F3" w:themeFill="accent1" w:themeFillTint="33"/>
            <w:vAlign w:val="center"/>
          </w:tcPr>
          <w:p w14:paraId="30B5E3FE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14:paraId="49F1C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atLeast"/>
          <w:jc w:val="center"/>
        </w:trPr>
        <w:tc>
          <w:tcPr>
            <w:tcW w:w="1702" w:type="dxa"/>
            <w:vAlign w:val="center"/>
          </w:tcPr>
          <w:p w14:paraId="75BF13DC">
            <w:r>
              <w:drawing>
                <wp:inline distT="0" distB="0" distL="0" distR="0">
                  <wp:extent cx="679450" cy="158750"/>
                  <wp:effectExtent l="0" t="0" r="6350" b="0"/>
                  <wp:docPr id="36676826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768269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118C61EE">
            <w:r>
              <w:t>GDP per capita</w:t>
            </w:r>
          </w:p>
        </w:tc>
        <w:tc>
          <w:tcPr>
            <w:tcW w:w="3726" w:type="dxa"/>
            <w:vAlign w:val="center"/>
          </w:tcPr>
          <w:p w14:paraId="27F872BE">
            <w:r>
              <w:t>World Bank Data</w:t>
            </w:r>
          </w:p>
        </w:tc>
      </w:tr>
      <w:tr w14:paraId="634C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atLeast"/>
          <w:jc w:val="center"/>
        </w:trPr>
        <w:tc>
          <w:tcPr>
            <w:tcW w:w="1702" w:type="dxa"/>
            <w:vAlign w:val="center"/>
          </w:tcPr>
          <w:p w14:paraId="4D3F0AAF">
            <w:r>
              <w:drawing>
                <wp:inline distT="0" distB="0" distL="0" distR="0">
                  <wp:extent cx="660400" cy="158750"/>
                  <wp:effectExtent l="0" t="0" r="6350" b="0"/>
                  <wp:docPr id="169976674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76674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17025924">
            <w:r>
              <w:t>OFDI stock</w:t>
            </w:r>
          </w:p>
        </w:tc>
        <w:tc>
          <w:tcPr>
            <w:tcW w:w="3726" w:type="dxa"/>
            <w:vAlign w:val="center"/>
          </w:tcPr>
          <w:p w14:paraId="13246A8F">
            <w:r>
              <w:t>Statistical Bulletin of China's Outward Foreign Direct Investment</w:t>
            </w:r>
          </w:p>
        </w:tc>
      </w:tr>
      <w:tr w14:paraId="675F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atLeast"/>
          <w:jc w:val="center"/>
        </w:trPr>
        <w:tc>
          <w:tcPr>
            <w:tcW w:w="1702" w:type="dxa"/>
            <w:vAlign w:val="center"/>
          </w:tcPr>
          <w:p w14:paraId="7047D0B3">
            <w:r>
              <w:drawing>
                <wp:inline distT="0" distB="0" distL="0" distR="0">
                  <wp:extent cx="342900" cy="158750"/>
                  <wp:effectExtent l="0" t="0" r="0" b="0"/>
                  <wp:docPr id="51894519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945198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5B6C2AB6">
            <w:r>
              <w:t>Government spending</w:t>
            </w:r>
          </w:p>
        </w:tc>
        <w:tc>
          <w:tcPr>
            <w:tcW w:w="3726" w:type="dxa"/>
          </w:tcPr>
          <w:p w14:paraId="764F635C">
            <w:r>
              <w:rPr>
                <w:rFonts w:ascii="Arial" w:hAnsi="Arial" w:cs="Arial"/>
                <w:color w:val="000000"/>
                <w:sz w:val="22"/>
                <w:szCs w:val="22"/>
              </w:rPr>
              <w:t>World Bank Data</w:t>
            </w:r>
          </w:p>
        </w:tc>
      </w:tr>
      <w:tr w14:paraId="3436B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atLeast"/>
          <w:jc w:val="center"/>
        </w:trPr>
        <w:tc>
          <w:tcPr>
            <w:tcW w:w="1702" w:type="dxa"/>
            <w:vAlign w:val="center"/>
          </w:tcPr>
          <w:p w14:paraId="025076D6">
            <w:r>
              <w:drawing>
                <wp:inline distT="0" distB="0" distL="0" distR="0">
                  <wp:extent cx="514350" cy="158750"/>
                  <wp:effectExtent l="0" t="0" r="0" b="0"/>
                  <wp:docPr id="39015948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15948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689A3086">
            <w:r>
              <w:t>Openness of trade</w:t>
            </w:r>
          </w:p>
          <w:p w14:paraId="447A78AE">
            <w:r>
              <w:t>(trade-to-GDP ratio)</w:t>
            </w:r>
          </w:p>
        </w:tc>
        <w:tc>
          <w:tcPr>
            <w:tcW w:w="3726" w:type="dxa"/>
          </w:tcPr>
          <w:p w14:paraId="16A906A1">
            <w:r>
              <w:rPr>
                <w:rFonts w:ascii="Arial" w:hAnsi="Arial" w:cs="Arial"/>
                <w:color w:val="000000"/>
                <w:sz w:val="22"/>
                <w:szCs w:val="22"/>
              </w:rPr>
              <w:t>World Bank Data</w:t>
            </w:r>
          </w:p>
        </w:tc>
      </w:tr>
      <w:tr w14:paraId="432B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atLeast"/>
          <w:jc w:val="center"/>
        </w:trPr>
        <w:tc>
          <w:tcPr>
            <w:tcW w:w="1702" w:type="dxa"/>
            <w:vAlign w:val="center"/>
          </w:tcPr>
          <w:p w14:paraId="75B61947">
            <w:r>
              <w:drawing>
                <wp:inline distT="0" distB="0" distL="0" distR="0">
                  <wp:extent cx="317500" cy="158750"/>
                  <wp:effectExtent l="0" t="0" r="6350" b="0"/>
                  <wp:docPr id="168923077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230779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63390145">
            <w:r>
              <w:t>Financial Development</w:t>
            </w:r>
          </w:p>
          <w:p w14:paraId="7E931FDE">
            <w:r>
              <w:t>(M2-to-GDP ratio)</w:t>
            </w:r>
          </w:p>
        </w:tc>
        <w:tc>
          <w:tcPr>
            <w:tcW w:w="3726" w:type="dxa"/>
          </w:tcPr>
          <w:p w14:paraId="534CA238">
            <w:r>
              <w:rPr>
                <w:rFonts w:ascii="Arial" w:hAnsi="Arial" w:cs="Arial"/>
                <w:color w:val="000000"/>
                <w:sz w:val="22"/>
                <w:szCs w:val="22"/>
              </w:rPr>
              <w:t>World Bank Data</w:t>
            </w:r>
          </w:p>
        </w:tc>
      </w:tr>
      <w:tr w14:paraId="36FD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atLeast"/>
          <w:jc w:val="center"/>
        </w:trPr>
        <w:tc>
          <w:tcPr>
            <w:tcW w:w="1702" w:type="dxa"/>
            <w:vAlign w:val="center"/>
          </w:tcPr>
          <w:p w14:paraId="04C5AB7C">
            <w:r>
              <w:drawing>
                <wp:inline distT="0" distB="0" distL="0" distR="0">
                  <wp:extent cx="590550" cy="158750"/>
                  <wp:effectExtent l="0" t="0" r="0" b="0"/>
                  <wp:docPr id="23368048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68048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1D05C14F">
            <w:r>
              <w:t>Labor stock</w:t>
            </w:r>
          </w:p>
        </w:tc>
        <w:tc>
          <w:tcPr>
            <w:tcW w:w="3726" w:type="dxa"/>
          </w:tcPr>
          <w:p w14:paraId="74F18235">
            <w:r>
              <w:rPr>
                <w:rFonts w:ascii="Arial" w:hAnsi="Arial" w:cs="Arial"/>
                <w:color w:val="000000"/>
                <w:sz w:val="22"/>
                <w:szCs w:val="22"/>
              </w:rPr>
              <w:t>World Bank Data</w:t>
            </w:r>
          </w:p>
        </w:tc>
      </w:tr>
      <w:tr w14:paraId="58CE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atLeast"/>
          <w:jc w:val="center"/>
        </w:trPr>
        <w:tc>
          <w:tcPr>
            <w:tcW w:w="1702" w:type="dxa"/>
            <w:vAlign w:val="center"/>
          </w:tcPr>
          <w:p w14:paraId="527B2829">
            <w:r>
              <w:drawing>
                <wp:inline distT="0" distB="0" distL="0" distR="0">
                  <wp:extent cx="609600" cy="158750"/>
                  <wp:effectExtent l="0" t="0" r="0" b="0"/>
                  <wp:docPr id="22970945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709455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2E2BEC43">
            <w:r>
              <w:t>Urbanization</w:t>
            </w:r>
          </w:p>
          <w:p w14:paraId="559368AF">
            <w:r>
              <w:t>(urban population)</w:t>
            </w:r>
          </w:p>
        </w:tc>
        <w:tc>
          <w:tcPr>
            <w:tcW w:w="3726" w:type="dxa"/>
          </w:tcPr>
          <w:p w14:paraId="729A5146">
            <w:r>
              <w:rPr>
                <w:rFonts w:ascii="Arial" w:hAnsi="Arial" w:cs="Arial"/>
                <w:color w:val="000000"/>
                <w:sz w:val="22"/>
                <w:szCs w:val="22"/>
              </w:rPr>
              <w:t>World Bank Data</w:t>
            </w:r>
          </w:p>
        </w:tc>
      </w:tr>
      <w:tr w14:paraId="2260C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atLeast"/>
          <w:jc w:val="center"/>
        </w:trPr>
        <w:tc>
          <w:tcPr>
            <w:tcW w:w="1702" w:type="dxa"/>
            <w:vAlign w:val="center"/>
          </w:tcPr>
          <w:p w14:paraId="3FECBBFD">
            <w:r>
              <w:drawing>
                <wp:inline distT="0" distB="0" distL="0" distR="0">
                  <wp:extent cx="857250" cy="158750"/>
                  <wp:effectExtent l="0" t="0" r="0" b="0"/>
                  <wp:docPr id="89947162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47162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5E62A99C">
            <w:r>
              <w:t>Energy Infrastructure</w:t>
            </w:r>
          </w:p>
          <w:p w14:paraId="4C513FF6">
            <w:r>
              <w:t>(total average energy consumption)</w:t>
            </w:r>
          </w:p>
        </w:tc>
        <w:tc>
          <w:tcPr>
            <w:tcW w:w="3726" w:type="dxa"/>
          </w:tcPr>
          <w:p w14:paraId="679C9725">
            <w:r>
              <w:rPr>
                <w:rFonts w:ascii="Arial" w:hAnsi="Arial" w:cs="Arial"/>
                <w:color w:val="000000"/>
                <w:sz w:val="22"/>
                <w:szCs w:val="22"/>
              </w:rPr>
              <w:t>World Bank Data</w:t>
            </w:r>
          </w:p>
        </w:tc>
      </w:tr>
      <w:tr w14:paraId="7BD84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atLeast"/>
          <w:jc w:val="center"/>
        </w:trPr>
        <w:tc>
          <w:tcPr>
            <w:tcW w:w="1702" w:type="dxa"/>
            <w:vAlign w:val="center"/>
          </w:tcPr>
          <w:p w14:paraId="465D95B0">
            <w:r>
              <w:drawing>
                <wp:inline distT="0" distB="0" distL="0" distR="0">
                  <wp:extent cx="946150" cy="158750"/>
                  <wp:effectExtent l="0" t="0" r="6350" b="0"/>
                  <wp:docPr id="9807052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70524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1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27210621">
            <w:r>
              <w:t>Telecom Infrastructure</w:t>
            </w:r>
          </w:p>
          <w:p w14:paraId="11B5D805">
            <w:r>
              <w:t>(total number of communication device users)</w:t>
            </w:r>
          </w:p>
        </w:tc>
        <w:tc>
          <w:tcPr>
            <w:tcW w:w="3726" w:type="dxa"/>
            <w:vAlign w:val="center"/>
          </w:tcPr>
          <w:p w14:paraId="062E0D89">
            <w:r>
              <w:t>World Bank Data</w:t>
            </w:r>
          </w:p>
        </w:tc>
      </w:tr>
    </w:tbl>
    <w:p w14:paraId="23A9D3A9"/>
    <w:p w14:paraId="4AB0C2B4">
      <w:r>
        <w:br w:type="page"/>
      </w:r>
    </w:p>
    <w:p w14:paraId="7F830636">
      <w:pPr>
        <w:pStyle w:val="2"/>
      </w:pPr>
      <w:bookmarkStart w:id="2" w:name="_Toc218796396"/>
      <w:r>
        <w:t>Economic Model</w:t>
      </w:r>
      <w:bookmarkEnd w:id="2"/>
    </w:p>
    <w:p w14:paraId="5131879A">
      <w:pPr>
        <w:pStyle w:val="33"/>
        <w:numPr>
          <w:ilvl w:val="0"/>
          <w:numId w:val="6"/>
        </w:numPr>
      </w:pPr>
      <w:r>
        <w:t>Two-way fixed effect (baseline model)</w:t>
      </w:r>
    </w:p>
    <w:p w14:paraId="0A7E5B63">
      <w:pPr>
        <w:ind w:left="360" w:right="840"/>
        <w:rPr>
          <w:rFonts w:ascii="Times New Roman" w:hAnsi="Times New Roman" w:eastAsia="SimSun"/>
        </w:rPr>
      </w:pPr>
      <w:r>
        <w:drawing>
          <wp:inline distT="0" distB="0" distL="0" distR="0">
            <wp:extent cx="3200400" cy="161925"/>
            <wp:effectExtent l="0" t="0" r="0" b="9525"/>
            <wp:docPr id="13603308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30818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SimSun"/>
          <w:sz w:val="21"/>
          <w:szCs w:val="21"/>
        </w:rPr>
        <w:t xml:space="preserve">                         </w:t>
      </w:r>
    </w:p>
    <w:p w14:paraId="490596ED">
      <w:pPr>
        <w:ind w:left="360"/>
      </w:pPr>
    </w:p>
    <w:p w14:paraId="5031F477">
      <w:pPr>
        <w:pStyle w:val="33"/>
        <w:numPr>
          <w:ilvl w:val="0"/>
          <w:numId w:val="6"/>
        </w:numPr>
      </w:pPr>
      <w:r>
        <w:t>Moderator/interaction</w:t>
      </w:r>
    </w:p>
    <w:p w14:paraId="0EFA85D1">
      <w:pPr>
        <w:ind w:left="360" w:right="480"/>
        <w:rPr>
          <w:rFonts w:ascii="Times New Roman" w:hAnsi="Times New Roman" w:eastAsia="SimSun"/>
          <w:sz w:val="21"/>
          <w:szCs w:val="21"/>
        </w:rPr>
      </w:pPr>
      <w:r>
        <w:drawing>
          <wp:inline distT="0" distB="0" distL="0" distR="0">
            <wp:extent cx="4936490" cy="161925"/>
            <wp:effectExtent l="0" t="0" r="0" b="9525"/>
            <wp:docPr id="2296095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9566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SimSun"/>
          <w:sz w:val="21"/>
          <w:szCs w:val="21"/>
        </w:rPr>
        <w:t xml:space="preserve">      </w:t>
      </w:r>
      <w:r>
        <w:rPr>
          <w:rFonts w:hint="eastAsia" w:ascii="Times New Roman" w:hAnsi="Times New Roman" w:eastAsia="SimSun"/>
          <w:sz w:val="21"/>
          <w:szCs w:val="21"/>
        </w:rPr>
        <w:t xml:space="preserve">    </w:t>
      </w:r>
      <w:r>
        <w:drawing>
          <wp:inline distT="0" distB="0" distL="0" distR="0">
            <wp:extent cx="5179695" cy="161925"/>
            <wp:effectExtent l="0" t="0" r="1905" b="9525"/>
            <wp:docPr id="13775308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30827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SimSun"/>
          <w:sz w:val="21"/>
          <w:szCs w:val="21"/>
        </w:rPr>
        <w:t xml:space="preserve">        </w:t>
      </w:r>
      <w:r>
        <w:rPr>
          <w:rFonts w:hint="eastAsia" w:ascii="Times New Roman" w:hAnsi="Times New Roman" w:eastAsia="SimSun"/>
          <w:sz w:val="21"/>
          <w:szCs w:val="21"/>
        </w:rPr>
        <w:t xml:space="preserve">  </w:t>
      </w:r>
      <w:r>
        <w:drawing>
          <wp:inline distT="0" distB="0" distL="0" distR="0">
            <wp:extent cx="5260975" cy="161925"/>
            <wp:effectExtent l="0" t="0" r="0" b="9525"/>
            <wp:docPr id="15484848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84862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SimSun"/>
          <w:sz w:val="21"/>
          <w:szCs w:val="21"/>
        </w:rPr>
        <w:t xml:space="preserve">    </w:t>
      </w:r>
      <w:r>
        <w:rPr>
          <w:rFonts w:hint="eastAsia" w:ascii="Times New Roman" w:hAnsi="Times New Roman" w:eastAsia="SimSun"/>
          <w:sz w:val="21"/>
          <w:szCs w:val="21"/>
        </w:rPr>
        <w:t xml:space="preserve">  </w:t>
      </w:r>
    </w:p>
    <w:p w14:paraId="0AE88C12"/>
    <w:p w14:paraId="7373074D">
      <w:r>
        <w:t>*</w:t>
      </w:r>
      <w:r>
        <w:drawing>
          <wp:inline distT="0" distB="0" distL="0" distR="0">
            <wp:extent cx="444500" cy="158750"/>
            <wp:effectExtent l="0" t="0" r="0" b="0"/>
            <wp:docPr id="15586802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80289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represents a list of control variables including: Government spending, Openness of trade, Financial Development and Labor stock</w:t>
      </w:r>
    </w:p>
    <w:p w14:paraId="040A2D82">
      <w:r>
        <w:t>*</w:t>
      </w:r>
      <w:r>
        <w:drawing>
          <wp:inline distT="0" distB="0" distL="0" distR="0">
            <wp:extent cx="381000" cy="152400"/>
            <wp:effectExtent l="0" t="0" r="0" b="0"/>
            <wp:docPr id="1818155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5538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denotes individual (country) fixed effects</w:t>
      </w:r>
    </w:p>
    <w:p w14:paraId="6F314EB9">
      <w:r>
        <w:t>*</w:t>
      </w:r>
      <w:r>
        <w:drawing>
          <wp:inline distT="0" distB="0" distL="0" distR="0">
            <wp:extent cx="387350" cy="152400"/>
            <wp:effectExtent l="0" t="0" r="0" b="0"/>
            <wp:docPr id="3532082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08271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denotes year fixed effects</w:t>
      </w:r>
    </w:p>
    <w:p w14:paraId="560F7C54">
      <w:r>
        <w:t>*</w:t>
      </w:r>
      <w:r>
        <w:drawing>
          <wp:inline distT="0" distB="0" distL="0" distR="0">
            <wp:extent cx="425450" cy="158750"/>
            <wp:effectExtent l="0" t="0" r="0" b="0"/>
            <wp:docPr id="13659508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0876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is the random disturbance term</w:t>
      </w:r>
    </w:p>
    <w:p w14:paraId="3FF1542C">
      <w:r>
        <w:br w:type="page"/>
      </w:r>
    </w:p>
    <w:p w14:paraId="75BCB445">
      <w:pPr>
        <w:pStyle w:val="2"/>
      </w:pPr>
      <w:bookmarkStart w:id="3" w:name="_Toc218796397"/>
      <w:r>
        <w:t>Regression Analysis</w:t>
      </w:r>
      <w:bookmarkEnd w:id="3"/>
    </w:p>
    <w:p w14:paraId="036D8A92">
      <w:pPr>
        <w:pStyle w:val="33"/>
        <w:numPr>
          <w:ilvl w:val="0"/>
          <w:numId w:val="7"/>
        </w:numPr>
      </w:pPr>
      <w:r>
        <w:t>Baseline model (Results in Appendix Table 1)</w:t>
      </w:r>
    </w:p>
    <w:p w14:paraId="05CAA8EE">
      <w:pPr>
        <w:ind w:firstLine="720"/>
      </w:pPr>
      <w:r>
        <w:t>Empirical results show that China’s OFDI in ASEAN significantly promotes host-country economic growth. In all model specifications, the coefficient of China–ASEAN OFDI remains positive and significant at the 1% level. Quantitatively, a 1% increase in China’s OFDI stock raises ASEAN countries’ per capita GDP by about 0.06–0.12%.</w:t>
      </w:r>
    </w:p>
    <w:p w14:paraId="6C792DB0">
      <w:pPr>
        <w:ind w:firstLine="720"/>
      </w:pPr>
      <w:r>
        <w:t xml:space="preserve">This finding supports the </w:t>
      </w:r>
      <w:r>
        <w:rPr>
          <w:b/>
          <w:bCs/>
        </w:rPr>
        <w:t>capital accumulation effect</w:t>
      </w:r>
      <w:r>
        <w:t xml:space="preserve">, as China’s investment provides much-needed capital to ASEAN economies, stimulating production and development. It also aligns with the </w:t>
      </w:r>
      <w:r>
        <w:rPr>
          <w:b/>
          <w:bCs/>
        </w:rPr>
        <w:t>industrial upgrading mechanism</w:t>
      </w:r>
      <w:r>
        <w:t xml:space="preserve"> under the OLI framework (Dunning, 1977), where Chinese enterprises transfer technology and management expertise, accelerating innovation and productivity growth.</w:t>
      </w:r>
    </w:p>
    <w:p w14:paraId="27506C28">
      <w:pPr>
        <w:ind w:firstLine="720"/>
      </w:pPr>
      <w:r>
        <w:t xml:space="preserve">The </w:t>
      </w:r>
      <w:r>
        <w:rPr>
          <w:b/>
          <w:bCs/>
        </w:rPr>
        <w:t>positive impact of trade openness</w:t>
      </w:r>
      <w:r>
        <w:t xml:space="preserve"> further confirms that liberalized trade enhances economic efficiency through scale economies, technology diffusion, and competitiveness. Moreover, </w:t>
      </w:r>
      <w:r>
        <w:rPr>
          <w:b/>
          <w:bCs/>
        </w:rPr>
        <w:t>urbanization</w:t>
      </w:r>
      <w:r>
        <w:t xml:space="preserve"> and </w:t>
      </w:r>
      <w:r>
        <w:rPr>
          <w:b/>
          <w:bCs/>
        </w:rPr>
        <w:t>telecommunication infrastructure</w:t>
      </w:r>
      <w:r>
        <w:t xml:space="preserve"> are both significant drivers of growth, reflecting the role of infrastructure development in fostering industrial activity and improving communication efficiency across ASEAN economies.</w:t>
      </w:r>
    </w:p>
    <w:p w14:paraId="4D6C82FD">
      <w:pPr>
        <w:ind w:firstLine="720"/>
      </w:pPr>
      <w:r>
        <w:t>Overall, the results indicate that China–ASEAN OFDI serves as an important channel for regional economic integration and sustainable growth.</w:t>
      </w:r>
    </w:p>
    <w:p w14:paraId="46E5B962">
      <w:pPr>
        <w:ind w:firstLine="720"/>
      </w:pPr>
    </w:p>
    <w:p w14:paraId="6E976FD5">
      <w:pPr>
        <w:pStyle w:val="33"/>
        <w:numPr>
          <w:ilvl w:val="0"/>
          <w:numId w:val="7"/>
        </w:numPr>
      </w:pPr>
      <w:r>
        <w:t>Moderator Effect of Infrastructure Development (Results in Appendix Table 2)</w:t>
      </w:r>
    </w:p>
    <w:p w14:paraId="687EA320">
      <w:pPr>
        <w:ind w:firstLine="720"/>
      </w:pPr>
      <w:r>
        <w:t xml:space="preserve">The interaction term between OFDI and urbanization is significantly negative (–0.08, at the 1% level), indicating that </w:t>
      </w:r>
      <w:r>
        <w:rPr>
          <w:b/>
          <w:bCs/>
        </w:rPr>
        <w:t>larger urbanization scales weaken the positive impact of China–ASEAN OFDI on economic growth</w:t>
      </w:r>
      <w:r>
        <w:t>. Rapid urbanization may generate urban problems such as congestion, pollution, and higher operating costs, which offset the growth benefits of investment.</w:t>
      </w:r>
    </w:p>
    <w:p w14:paraId="1F8DC959">
      <w:pPr>
        <w:ind w:firstLine="720"/>
      </w:pPr>
      <w:r>
        <w:t xml:space="preserve">The interaction between OFDI and energy infrastructure is also negative (–0.011, at the 5% level), suggesting </w:t>
      </w:r>
      <w:r>
        <w:rPr>
          <w:b/>
          <w:bCs/>
        </w:rPr>
        <w:t>that higher energy infrastructure levels reduce the marginal effect of OFDI on growth</w:t>
      </w:r>
      <w:r>
        <w:t>. Since energy projects require large, long-term investments and face strong market competition, their economic spillovers are limited in the short run.</w:t>
      </w:r>
    </w:p>
    <w:p w14:paraId="34C13C8A">
      <w:pPr>
        <w:ind w:firstLine="720"/>
      </w:pPr>
      <w:r>
        <w:t xml:space="preserve">Similarly, the interaction between OFDI and telecommunication infrastructure is negative (–0.021, at the 1% level), implying that </w:t>
      </w:r>
      <w:r>
        <w:rPr>
          <w:b/>
          <w:bCs/>
        </w:rPr>
        <w:t>advanced telecom systems do not necessarily enhance OFDI’s growth effect</w:t>
      </w:r>
      <w:r>
        <w:t>. Unequal access to digital technology, weak institutional frameworks, and shortages of skilled labor in ASEAN countries may restrict the productivity gains and technology spillovers from OFDI.</w:t>
      </w:r>
    </w:p>
    <w:p w14:paraId="29571F02">
      <w:pPr>
        <w:ind w:firstLine="720"/>
      </w:pPr>
      <w:r>
        <w:t>Overall, while infrastructure development is essential for long-term growth, excessive or uneven development can diminish the short-term economic benefits of China–ASEAN OFDI.</w:t>
      </w:r>
    </w:p>
    <w:p w14:paraId="2FF62601">
      <w:pPr>
        <w:pStyle w:val="33"/>
      </w:pPr>
    </w:p>
    <w:p w14:paraId="74663C07">
      <w:r>
        <w:br w:type="page"/>
      </w:r>
    </w:p>
    <w:p w14:paraId="5C5815DF">
      <w:pPr>
        <w:pStyle w:val="2"/>
      </w:pPr>
      <w:bookmarkStart w:id="4" w:name="_Toc218796398"/>
      <w:r>
        <w:t>Decarbonisation Effect of OFDI</w:t>
      </w:r>
      <w:bookmarkEnd w:id="4"/>
    </w:p>
    <w:p w14:paraId="7E518385">
      <w:pPr>
        <w:ind w:firstLine="720"/>
      </w:pPr>
      <w:r>
        <w:t>Using country-level panel data from 2003–2023 covering nine ASEAN countries (excluding Brunei), the study examines the effect of China’s OFDI on environmental performance, measured by the ratio of CO₂ emissions to GDP (World Bank data).</w:t>
      </w:r>
    </w:p>
    <w:p w14:paraId="3341147E">
      <w:pPr>
        <w:ind w:firstLine="720"/>
      </w:pPr>
      <w:r>
        <w:t xml:space="preserve">Regression results (Appendix Table 3, columns 1 and 2) show that the coefficient of China’s OFDI stock is significantly negative, indicating that higher Chinese investment reduces ASEAN countries’ carbon emissions. Specifically, a 1% increase in China–ASEAN OFDI decreases emissions by about 0.03 units. This suggests that China’s OFDI contributes to </w:t>
      </w:r>
      <w:r>
        <w:rPr>
          <w:b/>
          <w:bCs/>
        </w:rPr>
        <w:t>high-quality and sustainable growth</w:t>
      </w:r>
      <w:r>
        <w:t>, improving GDP while lowering pollution levels.</w:t>
      </w:r>
    </w:p>
    <w:p w14:paraId="52215789">
      <w:pPr>
        <w:ind w:firstLine="720"/>
      </w:pPr>
      <w:r>
        <w:t xml:space="preserve">These findings are consistent with Zhu et al. (2016) and Renuka (2020), who noted that while early-stage FDI may concentrate in energy-intensive sectors, the long-term effects of technology transfer and efficiency gains eventually reduce emissions. China’s investment supports </w:t>
      </w:r>
      <w:r>
        <w:rPr>
          <w:b/>
          <w:bCs/>
        </w:rPr>
        <w:t>industrial upgrading</w:t>
      </w:r>
      <w:r>
        <w:t xml:space="preserve"> in ASEAN, shifting production from polluting industries to cleaner, higher-value sectors such as advanced manufacturing and modern services.</w:t>
      </w:r>
    </w:p>
    <w:p w14:paraId="7FA8CBEA">
      <w:pPr>
        <w:ind w:firstLine="720"/>
      </w:pPr>
      <w:r>
        <w:t>Moreover, China’s “Guidelines for Green Development in Outward Investment Cooperation” (2021) further promote environmentally responsible OFDI, ensuring that economic expansion aligns with regional sustainability goals.</w:t>
      </w:r>
    </w:p>
    <w:p w14:paraId="373CFDD5"/>
    <w:p w14:paraId="325227FC">
      <w:r>
        <w:br w:type="page"/>
      </w:r>
    </w:p>
    <w:p w14:paraId="3F4DBE7B">
      <w:pPr>
        <w:pStyle w:val="2"/>
      </w:pPr>
      <w:bookmarkStart w:id="5" w:name="_Toc218796399"/>
      <w:r>
        <w:t>Endogenuity and Identification</w:t>
      </w:r>
      <w:bookmarkEnd w:id="5"/>
    </w:p>
    <w:p w14:paraId="3A1B7999">
      <w:pPr>
        <w:ind w:firstLine="720"/>
      </w:pPr>
      <w:r>
        <w:t xml:space="preserve">To account for potential </w:t>
      </w:r>
      <w:r>
        <w:rPr>
          <w:b/>
          <w:bCs/>
        </w:rPr>
        <w:t>bidirectional causality</w:t>
      </w:r>
      <w:r>
        <w:t xml:space="preserve"> between China–ASEAN OFDI and host-country economic growth, this study follows Wu et al. (2024) and uses the </w:t>
      </w:r>
      <w:r>
        <w:rPr>
          <w:b/>
          <w:bCs/>
        </w:rPr>
        <w:t>lagged OFDI stock (one- and two-period lags)</w:t>
      </w:r>
      <w:r>
        <w:t xml:space="preserve"> as instrumental variables. Lagged OFDI is correlated with current OFDI (relevance) but not affected by contemporaneous shocks to economic growth (exogeneity), making it a valid instrument.</w:t>
      </w:r>
    </w:p>
    <w:p w14:paraId="52E1C6BA">
      <w:pPr>
        <w:ind w:firstLine="720"/>
      </w:pPr>
      <w:r>
        <w:t xml:space="preserve">Regression results (Appendix Tables 4 and 5) show that the </w:t>
      </w:r>
      <w:r>
        <w:rPr>
          <w:b/>
          <w:bCs/>
        </w:rPr>
        <w:t>first-stage F-statistics exceed 10</w:t>
      </w:r>
      <w:r>
        <w:t xml:space="preserve">, indicating no weak instrument problem. The IV estimates are positive and statistically significant at the 1% level, confirming that China–ASEAN OFDI </w:t>
      </w:r>
      <w:r>
        <w:rPr>
          <w:b/>
          <w:bCs/>
        </w:rPr>
        <w:t>promotes host-country economic growth</w:t>
      </w:r>
      <w:r>
        <w:t xml:space="preserve">. These results </w:t>
      </w:r>
      <w:r>
        <w:rPr>
          <w:b/>
          <w:bCs/>
        </w:rPr>
        <w:t>reinforce the robustness</w:t>
      </w:r>
      <w:r>
        <w:t xml:space="preserve"> of the baseline findings.</w:t>
      </w:r>
    </w:p>
    <w:p w14:paraId="2B6A58D8">
      <w:r>
        <w:br w:type="page"/>
      </w:r>
    </w:p>
    <w:p w14:paraId="00EAB85A">
      <w:pPr>
        <w:pStyle w:val="2"/>
      </w:pPr>
      <w:bookmarkStart w:id="6" w:name="_Toc218796400"/>
      <w:r>
        <w:t>Policy Implications and Recommendations</w:t>
      </w:r>
      <w:bookmarkEnd w:id="6"/>
    </w:p>
    <w:p w14:paraId="72144CAB">
      <w:pPr>
        <w:ind w:firstLine="720"/>
      </w:pPr>
      <w:r>
        <w:t xml:space="preserve">Based on the findings, ASEAN countries should enhance the </w:t>
      </w:r>
      <w:r>
        <w:rPr>
          <w:b/>
          <w:bCs/>
        </w:rPr>
        <w:t>quality of infrastructure</w:t>
      </w:r>
      <w:r>
        <w:t xml:space="preserve">, including better urban management, optimized city planning, and improved public services, to increase economic efficiency and residents’ well-being. Governments should also invest in </w:t>
      </w:r>
      <w:r>
        <w:rPr>
          <w:b/>
          <w:bCs/>
        </w:rPr>
        <w:t>clean energy</w:t>
      </w:r>
      <w:r>
        <w:t xml:space="preserve"> (solar, wind) to reduce fossil fuel dependence and promote environmental sustainability. In telecommunications, expanding broadband coverage, especially in rural areas, will help bridge the digital divide and support the digital economy.</w:t>
      </w:r>
    </w:p>
    <w:p w14:paraId="17D88DA8">
      <w:pPr>
        <w:ind w:firstLine="720"/>
      </w:pPr>
      <w:r>
        <w:t xml:space="preserve">For China, OFDI should continue to focus on </w:t>
      </w:r>
      <w:r>
        <w:rPr>
          <w:b/>
          <w:bCs/>
        </w:rPr>
        <w:t>high-value sectors</w:t>
      </w:r>
      <w:r>
        <w:t xml:space="preserve"> such as internet and financial services to promote industrial upgrading in ASEAN. Both governments should encourage </w:t>
      </w:r>
      <w:r>
        <w:rPr>
          <w:b/>
          <w:bCs/>
        </w:rPr>
        <w:t>green investment</w:t>
      </w:r>
      <w:r>
        <w:t xml:space="preserve"> through incentives like tax breaks and low-interest loans, supporting environmentally sustainable growth.</w:t>
      </w:r>
    </w:p>
    <w:p w14:paraId="7FA96D30">
      <w:pPr>
        <w:ind w:firstLine="720"/>
      </w:pPr>
      <w:r>
        <w:t xml:space="preserve">ASEAN should leverage FDI to absorb technology and management know-how while investing in </w:t>
      </w:r>
      <w:r>
        <w:rPr>
          <w:b/>
          <w:bCs/>
        </w:rPr>
        <w:t>domestic innovation and talent development</w:t>
      </w:r>
      <w:r>
        <w:t xml:space="preserve"> to maintain competitiveness and avoid overdependence on foreign capital. Chinese enterprises should integrate </w:t>
      </w:r>
      <w:r>
        <w:rPr>
          <w:b/>
          <w:bCs/>
        </w:rPr>
        <w:t>green strategies</w:t>
      </w:r>
      <w:r>
        <w:t xml:space="preserve"> and social responsibility into their investments, minimizing environmental impact while enhancing their reputation in host countries.</w:t>
      </w:r>
    </w:p>
    <w:p w14:paraId="7BCA78E0">
      <w:r>
        <w:br w:type="page"/>
      </w:r>
    </w:p>
    <w:p w14:paraId="426D7570">
      <w:pPr>
        <w:pStyle w:val="2"/>
      </w:pPr>
      <w:bookmarkStart w:id="7" w:name="_Toc218796401"/>
      <w:r>
        <w:t>Appendix</w:t>
      </w:r>
      <w:bookmarkEnd w:id="7"/>
    </w:p>
    <w:p w14:paraId="729C3C1D">
      <w:pPr>
        <w:jc w:val="center"/>
        <w:rPr>
          <w:i/>
          <w:iCs/>
        </w:rPr>
      </w:pPr>
      <w:r>
        <w:rPr>
          <w:i/>
          <w:iCs/>
        </w:rPr>
        <w:t>Table 1: Baseline model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75" w:type="dxa"/>
          <w:bottom w:w="0" w:type="dxa"/>
          <w:right w:w="75" w:type="dxa"/>
        </w:tblCellMar>
      </w:tblPr>
      <w:tblGrid>
        <w:gridCol w:w="2119"/>
        <w:gridCol w:w="1230"/>
        <w:gridCol w:w="1230"/>
        <w:gridCol w:w="1230"/>
      </w:tblGrid>
      <w:tr w14:paraId="2A4F99F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6EC382AC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0810806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(1)</w:t>
            </w: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17A6165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)</w:t>
            </w: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1FBC9BA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)</w:t>
            </w:r>
          </w:p>
        </w:tc>
      </w:tr>
      <w:tr w14:paraId="15FEC90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62CEF49E">
            <w:pPr>
              <w:ind w:firstLine="420" w:firstLineChars="200"/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698F1F38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0448D02D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14E4FC5C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</w:tr>
      <w:tr w14:paraId="0FF48C3B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5BF966F">
            <w:pPr>
              <w:spacing w:after="0" w:line="240" w:lineRule="auto"/>
              <w:rPr>
                <w:rFonts w:ascii="Times New Roman" w:hAnsi="Cambria Math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Ln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(</m:t>
                    </m:r>
                    <m:r>
                      <m:rPr/>
                      <w:rPr>
                        <w:rFonts w:hint="eastAsia" w:ascii="Cambria Math" w:hAnsi="Cambria Math" w:eastAsia="SimSun"/>
                        <w:sz w:val="21"/>
                        <w:szCs w:val="21"/>
                      </w:rPr>
                      <m:t>O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FDI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1CA4EE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0.061*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2F4998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0.118***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66A365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0.098***</w:t>
            </w:r>
          </w:p>
        </w:tc>
      </w:tr>
      <w:tr w14:paraId="575FA1D7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97DF3D9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21CCFD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(1.78)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6CCCC7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(4.40)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D451C0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(3.22)</w:t>
            </w:r>
          </w:p>
        </w:tc>
      </w:tr>
      <w:tr w14:paraId="6930EF5F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AF23759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GOV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7B64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75143D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0.008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042938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0.011</w:t>
            </w:r>
          </w:p>
        </w:tc>
      </w:tr>
      <w:tr w14:paraId="62F5CAF6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9404104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6986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C036B5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(0.98)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F83B68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(1.25)</w:t>
            </w:r>
          </w:p>
        </w:tc>
      </w:tr>
      <w:tr w14:paraId="770BFF7F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BDD7E0B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TRADE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7B62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695A64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0.006***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92CF66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0.004***</w:t>
            </w:r>
          </w:p>
        </w:tc>
      </w:tr>
      <w:tr w14:paraId="16741729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7DD26FD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87D2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F7DB6D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(8.78)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442BB5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(5.09)</w:t>
            </w:r>
          </w:p>
        </w:tc>
      </w:tr>
      <w:tr w14:paraId="3705B4C6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197D3B7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FIN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26C0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81E23D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CDAD97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-0.001</w:t>
            </w:r>
          </w:p>
        </w:tc>
      </w:tr>
      <w:tr w14:paraId="7D69239E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E24FE3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A699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4E051F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(0.61)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2CE986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(-0.62)</w:t>
            </w:r>
          </w:p>
        </w:tc>
      </w:tr>
      <w:tr w14:paraId="23E723C2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C42F581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LAB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F1AE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310DE2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-0.185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106EB6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0.310</w:t>
            </w:r>
          </w:p>
        </w:tc>
      </w:tr>
      <w:tr w14:paraId="15292201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E03C109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2BCA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B81553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(-1.05)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A405AD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(1.42)</w:t>
            </w:r>
          </w:p>
        </w:tc>
      </w:tr>
      <w:tr w14:paraId="1C0D94BF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39D7343">
            <w:pPr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URB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A69F2B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E0FB95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E566B8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0.509*</w:t>
            </w:r>
          </w:p>
        </w:tc>
      </w:tr>
      <w:tr w14:paraId="15535448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902D9BB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D190E8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D4D0DF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2CB29F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(1.68)</w:t>
            </w:r>
          </w:p>
        </w:tc>
      </w:tr>
      <w:tr w14:paraId="2BDE500C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57ED4A9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ENERGY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17F713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44A3C0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20B773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0.023</w:t>
            </w:r>
          </w:p>
        </w:tc>
      </w:tr>
      <w:tr w14:paraId="4BD25DAF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F77E6C3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57EA6F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40D00A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80E2A2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(1.52)</w:t>
            </w:r>
          </w:p>
        </w:tc>
      </w:tr>
      <w:tr w14:paraId="0E3B025A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CAD4BBB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TELECOM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72145C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4FC2E3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700C9D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0.066***</w:t>
            </w:r>
          </w:p>
        </w:tc>
      </w:tr>
      <w:tr w14:paraId="4B5591F9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B125058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FF0F8B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1B20F8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140193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(3.18)</w:t>
            </w:r>
          </w:p>
        </w:tc>
      </w:tr>
      <w:tr w14:paraId="7810DD47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224DF0C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A63F3F4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74BCF82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D244846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</w:tr>
      <w:tr w14:paraId="41BC44AF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859F4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Observation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C43BDB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189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3AD7E8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189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7623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1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76</w:t>
            </w:r>
          </w:p>
        </w:tc>
      </w:tr>
      <w:tr w14:paraId="1D5B56A8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AD7B8">
            <w:pPr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R²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CFEF36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0.897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1BA65A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0.945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9154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0.948</w:t>
            </w:r>
          </w:p>
        </w:tc>
      </w:tr>
      <w:tr w14:paraId="6DC32B69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31627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Individual Fixed Effect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940D0B2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5B65D41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FD538E0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</w:tr>
      <w:tr w14:paraId="0FFBD8D0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60AA5382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Year Fixed Effect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57E32ED8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1CBFADFD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321FEDAA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</w:tr>
    </w:tbl>
    <w:p w14:paraId="790C06DA"/>
    <w:p w14:paraId="1FAA863D"/>
    <w:p w14:paraId="3629522B">
      <w:r>
        <w:br w:type="page"/>
      </w:r>
    </w:p>
    <w:p w14:paraId="20D733FD">
      <w:pPr>
        <w:jc w:val="center"/>
        <w:rPr>
          <w:i/>
          <w:iCs/>
        </w:rPr>
      </w:pPr>
      <w:r>
        <w:rPr>
          <w:i/>
          <w:iCs/>
        </w:rPr>
        <w:t>Table 2: Moderator Effect of Infrastructure Development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75" w:type="dxa"/>
          <w:bottom w:w="0" w:type="dxa"/>
          <w:right w:w="75" w:type="dxa"/>
        </w:tblCellMar>
      </w:tblPr>
      <w:tblGrid>
        <w:gridCol w:w="3099"/>
        <w:gridCol w:w="1584"/>
        <w:gridCol w:w="1296"/>
        <w:gridCol w:w="1440"/>
      </w:tblGrid>
      <w:tr w14:paraId="163EAED3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5D3368B7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587DC40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)</w:t>
            </w:r>
          </w:p>
        </w:tc>
        <w:tc>
          <w:tcPr>
            <w:tcW w:w="1296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7B2A9DB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)</w:t>
            </w:r>
          </w:p>
        </w:tc>
        <w:tc>
          <w:tcPr>
            <w:tcW w:w="144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462B81A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)</w:t>
            </w:r>
          </w:p>
        </w:tc>
      </w:tr>
      <w:tr w14:paraId="57DD1F65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7E428432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13C6B13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96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74071E5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44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47F1EC6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</w:tr>
      <w:tr w14:paraId="5E09C71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51288538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Ln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(</m:t>
                    </m:r>
                    <m:r>
                      <m:rPr/>
                      <w:rPr>
                        <w:rFonts w:hint="eastAsia" w:ascii="Cambria Math" w:hAnsi="Cambria Math" w:eastAsia="SimSun"/>
                        <w:sz w:val="21"/>
                        <w:szCs w:val="21"/>
                      </w:rPr>
                      <m:t>O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FDI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A711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0.384***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E18B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0.187***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F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0.425***</w:t>
            </w:r>
          </w:p>
        </w:tc>
      </w:tr>
      <w:tr w14:paraId="71FAFBEC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6FD1A8BF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D09D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(4.78)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EB4B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(3.63)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25FD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(6.08)</w:t>
            </w:r>
          </w:p>
        </w:tc>
      </w:tr>
      <w:tr w14:paraId="2765BB9B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23EACA8A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URB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)×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Ln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(</m:t>
                    </m:r>
                    <m:r>
                      <m:rPr/>
                      <w:rPr>
                        <w:rFonts w:hint="eastAsia" w:ascii="Cambria Math" w:hAnsi="Cambria Math" w:eastAsia="SimSun"/>
                        <w:sz w:val="21"/>
                        <w:szCs w:val="21"/>
                      </w:rPr>
                      <m:t>O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FDI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5720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-0.080***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40A9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7903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</w:tr>
      <w:tr w14:paraId="15812C9D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1486E91B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1073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(-3.82)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9855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42E1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</w:tr>
      <w:tr w14:paraId="4DFDF0DC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3C4A9383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ENERGY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)×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Ln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(</m:t>
                    </m:r>
                    <m:r>
                      <m:rPr/>
                      <w:rPr>
                        <w:rFonts w:hint="eastAsia" w:ascii="Cambria Math" w:hAnsi="Cambria Math" w:eastAsia="SimSun"/>
                        <w:sz w:val="21"/>
                        <w:szCs w:val="21"/>
                      </w:rPr>
                      <m:t>O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FDI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4F4C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ECF6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-0.011**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4D07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</w:tr>
      <w:tr w14:paraId="72929463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445B661C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0900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F45C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(-2.13)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4F62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</w:tr>
      <w:tr w14:paraId="6186653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6BD566E5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TELECOM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)×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Ln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(</m:t>
                    </m:r>
                    <m:r>
                      <m:rPr/>
                      <w:rPr>
                        <w:rFonts w:hint="eastAsia" w:ascii="Cambria Math" w:hAnsi="Cambria Math" w:eastAsia="SimSun"/>
                        <w:sz w:val="21"/>
                        <w:szCs w:val="21"/>
                      </w:rPr>
                      <m:t>O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FDI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BB3A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C4EE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8AD6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-0.021***</w:t>
            </w:r>
          </w:p>
        </w:tc>
      </w:tr>
      <w:tr w14:paraId="5596C09D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right w:val="nil"/>
            </w:tcBorders>
          </w:tcPr>
          <w:p w14:paraId="6B02F0E9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right w:val="nil"/>
            </w:tcBorders>
            <w:vAlign w:val="center"/>
          </w:tcPr>
          <w:p w14:paraId="3186816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right w:val="nil"/>
            </w:tcBorders>
            <w:vAlign w:val="center"/>
          </w:tcPr>
          <w:p w14:paraId="2088750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vAlign w:val="center"/>
          </w:tcPr>
          <w:p w14:paraId="3C21885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(-5.11)</w:t>
            </w:r>
          </w:p>
        </w:tc>
      </w:tr>
      <w:tr w14:paraId="2F349A38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right w:val="nil"/>
            </w:tcBorders>
          </w:tcPr>
          <w:p w14:paraId="0CC0FFC0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GOV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584" w:type="dxa"/>
            <w:tcBorders>
              <w:top w:val="nil"/>
              <w:left w:val="nil"/>
              <w:right w:val="nil"/>
            </w:tcBorders>
            <w:vAlign w:val="center"/>
          </w:tcPr>
          <w:p w14:paraId="0D0916B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0.008</w:t>
            </w:r>
          </w:p>
        </w:tc>
        <w:tc>
          <w:tcPr>
            <w:tcW w:w="1296" w:type="dxa"/>
            <w:tcBorders>
              <w:top w:val="nil"/>
              <w:left w:val="nil"/>
              <w:right w:val="nil"/>
            </w:tcBorders>
            <w:vAlign w:val="center"/>
          </w:tcPr>
          <w:p w14:paraId="31C8076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0.007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vAlign w:val="center"/>
          </w:tcPr>
          <w:p w14:paraId="1D2E1CA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0.008</w:t>
            </w:r>
          </w:p>
        </w:tc>
      </w:tr>
      <w:tr w14:paraId="730F6428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left w:val="nil"/>
              <w:bottom w:val="nil"/>
              <w:right w:val="nil"/>
            </w:tcBorders>
          </w:tcPr>
          <w:p w14:paraId="2D460898">
            <w:pPr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left w:val="nil"/>
              <w:bottom w:val="nil"/>
              <w:right w:val="nil"/>
            </w:tcBorders>
            <w:vAlign w:val="center"/>
          </w:tcPr>
          <w:p w14:paraId="4F84866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(0.99)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vAlign w:val="center"/>
          </w:tcPr>
          <w:p w14:paraId="37D0743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(0.76)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vAlign w:val="center"/>
          </w:tcPr>
          <w:p w14:paraId="693FB4D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(1.00)</w:t>
            </w:r>
          </w:p>
        </w:tc>
      </w:tr>
      <w:tr w14:paraId="3DB9F6ED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004CDD5D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TRADE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BBD1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0.004***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E8C1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0.004***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B49E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0.004***</w:t>
            </w:r>
          </w:p>
        </w:tc>
      </w:tr>
      <w:tr w14:paraId="25A6CE35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45816F56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FA89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(4.64)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E5BD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(4.40)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B6CE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(5.31)</w:t>
            </w:r>
          </w:p>
        </w:tc>
      </w:tr>
      <w:tr w14:paraId="3ED1E205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39C334B7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FIN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EFB0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-0.001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372A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-0.000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7871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-0.002**</w:t>
            </w:r>
          </w:p>
        </w:tc>
      </w:tr>
      <w:tr w14:paraId="5D0089A6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7315DC81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DDA5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(-1.11)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B59C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(-0.32)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B5D0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(-2.37)</w:t>
            </w:r>
          </w:p>
        </w:tc>
      </w:tr>
      <w:tr w14:paraId="0C5A2588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21C4559B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LAB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3539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0.314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0EEE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0.335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049F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-0.040</w:t>
            </w:r>
          </w:p>
        </w:tc>
      </w:tr>
      <w:tr w14:paraId="2E55BFA3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05872B84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B70C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(1.52)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A5C9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(1.56)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7403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(-0.19)</w:t>
            </w:r>
          </w:p>
        </w:tc>
      </w:tr>
      <w:tr w14:paraId="3971EC23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5F21FD2E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URB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E445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0.862***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F7AF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0.557*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AD3F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0.724**</w:t>
            </w:r>
          </w:p>
        </w:tc>
      </w:tr>
      <w:tr w14:paraId="211EF1CD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0EEBF4FB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2CCF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(2.85)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9AB4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(1.86)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0A6B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(2.58)</w:t>
            </w:r>
          </w:p>
        </w:tc>
      </w:tr>
      <w:tr w14:paraId="56B4C455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25A588C9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ENERGY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C9F9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74BA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0.155**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E379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0.023*</w:t>
            </w:r>
          </w:p>
        </w:tc>
      </w:tr>
      <w:tr w14:paraId="24F02B22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3A54CAD3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AB3C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(0.33)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54B9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(2.43)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BD15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(1.69)</w:t>
            </w:r>
          </w:p>
        </w:tc>
      </w:tr>
      <w:tr w14:paraId="5BA9031B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7DF9BA16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TELECOM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290E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0.015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4A47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0.045**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3D33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0.276***</w:t>
            </w:r>
          </w:p>
        </w:tc>
      </w:tr>
      <w:tr w14:paraId="4EEE4452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642536A0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E911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(0.63)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132A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(2.01)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FEE2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(6.09)</w:t>
            </w:r>
          </w:p>
        </w:tc>
      </w:tr>
      <w:tr w14:paraId="5BF802F3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435DBFDA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5423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4AE3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1885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</w:tr>
      <w:tr w14:paraId="4990506C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BF799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Observation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2167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176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206B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176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E768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176</w:t>
            </w:r>
          </w:p>
        </w:tc>
      </w:tr>
      <w:tr w14:paraId="5A3C0EB5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0D653">
            <w:pPr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R²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92F4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0.953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B702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0.949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661B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0.956</w:t>
            </w:r>
          </w:p>
        </w:tc>
      </w:tr>
      <w:tr w14:paraId="2901D735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0D903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Individual Fixed Effect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</w:tcPr>
          <w:p w14:paraId="617C9CA6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938DCA0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EC6D482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</w:tr>
      <w:tr w14:paraId="44EC8DC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309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081BC1C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Year Fixed Effect</w:t>
            </w:r>
          </w:p>
        </w:tc>
        <w:tc>
          <w:tcPr>
            <w:tcW w:w="158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1D10396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41B3400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3DF3BC7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</w:tr>
    </w:tbl>
    <w:p w14:paraId="3BE50D67">
      <w:pPr>
        <w:rPr>
          <w:i/>
          <w:iCs/>
        </w:rPr>
      </w:pPr>
    </w:p>
    <w:p w14:paraId="34039CD3">
      <w:r>
        <w:br w:type="page"/>
      </w:r>
    </w:p>
    <w:p w14:paraId="17D77D90">
      <w:pPr>
        <w:jc w:val="center"/>
        <w:rPr>
          <w:i/>
          <w:iCs/>
        </w:rPr>
      </w:pPr>
      <w:r>
        <w:rPr>
          <w:i/>
          <w:iCs/>
        </w:rPr>
        <w:t>Table 3: Decarbonisation Effect of OFDI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75" w:type="dxa"/>
          <w:bottom w:w="0" w:type="dxa"/>
          <w:right w:w="75" w:type="dxa"/>
        </w:tblCellMar>
      </w:tblPr>
      <w:tblGrid>
        <w:gridCol w:w="2119"/>
        <w:gridCol w:w="1230"/>
        <w:gridCol w:w="1230"/>
        <w:gridCol w:w="1230"/>
      </w:tblGrid>
      <w:tr w14:paraId="56B0648B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7C65C6A8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22DF8AB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(1)</w:t>
            </w: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49409F0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)</w:t>
            </w: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414B4D3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)</w:t>
            </w:r>
          </w:p>
        </w:tc>
      </w:tr>
      <w:tr w14:paraId="1E1A8F16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0CC2932E">
            <w:pPr>
              <w:ind w:firstLine="420" w:firstLineChars="200"/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36107A71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29021CBF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5B576A44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(p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</w:tr>
      <w:tr w14:paraId="64746901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46E1F12">
            <w:pPr>
              <w:spacing w:after="0" w:line="240" w:lineRule="auto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Ln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(</m:t>
                    </m:r>
                    <m:r>
                      <m:rPr/>
                      <w:rPr>
                        <w:rFonts w:hint="eastAsia" w:ascii="Cambria Math" w:hAnsi="Cambria Math" w:eastAsia="SimSun"/>
                        <w:sz w:val="21"/>
                        <w:szCs w:val="21"/>
                      </w:rPr>
                      <m:t>O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FDI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4D019A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0.121***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969597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0.191***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21D6F8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0.207***</w:t>
            </w:r>
          </w:p>
        </w:tc>
      </w:tr>
      <w:tr w14:paraId="37A3ABEF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754DA5E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AA10B8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(2.67)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965AAF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(4.97)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1FD1F1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(4.37)</w:t>
            </w:r>
          </w:p>
        </w:tc>
      </w:tr>
      <w:tr w14:paraId="0F378CB7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E69A73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GOV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AF7223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D4FB1A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0.015*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CB4AC3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0.016*</w:t>
            </w:r>
          </w:p>
        </w:tc>
      </w:tr>
      <w:tr w14:paraId="67B69777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F0A650B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1BCFDC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E744E1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(1.81)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42CAE4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(1.84)</w:t>
            </w:r>
          </w:p>
        </w:tc>
      </w:tr>
      <w:tr w14:paraId="58ED5256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5D066D6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TRADE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5F8DB7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01018E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0.006***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7E5172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0.004***</w:t>
            </w:r>
          </w:p>
        </w:tc>
      </w:tr>
      <w:tr w14:paraId="138CC63A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E199073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3CFE60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2AD365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(9.27)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42BB99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(4.72)</w:t>
            </w:r>
          </w:p>
        </w:tc>
      </w:tr>
      <w:tr w14:paraId="78D8E333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09F5768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FIN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C5CD3C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70B4DC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4A87F4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-0.001</w:t>
            </w:r>
          </w:p>
        </w:tc>
      </w:tr>
      <w:tr w14:paraId="0EBB6587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4ECD7EC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644629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58816C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(0.57)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53CBCB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(-0.86)</w:t>
            </w:r>
          </w:p>
        </w:tc>
      </w:tr>
      <w:tr w14:paraId="0B1A65B6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B20A8FC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LAB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8B81AF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DCC92E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-0.202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A9A12F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0.144</w:t>
            </w:r>
          </w:p>
        </w:tc>
      </w:tr>
      <w:tr w14:paraId="5427799E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2B89020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A78240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D0889C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(-1.13)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5AD8DB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(0.65)</w:t>
            </w:r>
          </w:p>
        </w:tc>
      </w:tr>
      <w:tr w14:paraId="427EC71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4594DAC">
            <w:pPr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URB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E625FC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A9BEAC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019A9C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0.773**</w:t>
            </w:r>
          </w:p>
        </w:tc>
      </w:tr>
      <w:tr w14:paraId="1A6C84BE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ABCD63A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ED4280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1DED21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BAC89D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(2.30)</w:t>
            </w:r>
          </w:p>
        </w:tc>
      </w:tr>
      <w:tr w14:paraId="63412DA5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424E20F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ENERGY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52BAB2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2C7236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208B6E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0.038**</w:t>
            </w:r>
          </w:p>
        </w:tc>
      </w:tr>
      <w:tr w14:paraId="2CF99193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666D06D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563C0A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C7632C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629017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(2.48)</w:t>
            </w:r>
          </w:p>
        </w:tc>
      </w:tr>
      <w:tr w14:paraId="182AC147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B94FAF7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TELECOM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2050E5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007B95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96A625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0.068***</w:t>
            </w:r>
          </w:p>
        </w:tc>
      </w:tr>
      <w:tr w14:paraId="2768B0A8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88DC2FE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3F6CBA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3B6351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B23E43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(3.11)</w:t>
            </w:r>
          </w:p>
        </w:tc>
      </w:tr>
      <w:tr w14:paraId="5374C56F"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6DA4C86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DA9EA85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9855FF3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AF8325B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</w:tr>
      <w:tr w14:paraId="0D54E13A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C26C2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Observation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138B16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180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3B49E6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180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BFCAD4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168</w:t>
            </w:r>
          </w:p>
        </w:tc>
      </w:tr>
      <w:tr w14:paraId="4ED4A845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4E85C">
            <w:pPr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R²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705448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0.877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992611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0.930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51FE1E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0.930</w:t>
            </w:r>
          </w:p>
        </w:tc>
      </w:tr>
      <w:tr w14:paraId="4B85AAC9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9599C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Individual Fixed Effect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7E45F5C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7688E38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28E53ED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</w:tr>
      <w:tr w14:paraId="4F6BD00A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F5B24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Year Fixed Effect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5DA19E8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3E6D30F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A528DE1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</w:tr>
      <w:tr w14:paraId="5D1C07CD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068B865B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F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5D65C14C">
            <w:pPr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238.688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688E7A6B">
            <w:pPr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197.221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22BD2C10">
            <w:pPr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128.391</w:t>
            </w:r>
          </w:p>
        </w:tc>
      </w:tr>
    </w:tbl>
    <w:p w14:paraId="689A334E">
      <w:pPr>
        <w:jc w:val="center"/>
        <w:rPr>
          <w:i/>
          <w:iCs/>
        </w:rPr>
      </w:pPr>
    </w:p>
    <w:p w14:paraId="535A0062">
      <w:r>
        <w:br w:type="page"/>
      </w:r>
    </w:p>
    <w:p w14:paraId="52E2A1E5">
      <w:pPr>
        <w:jc w:val="center"/>
        <w:rPr>
          <w:i/>
          <w:iCs/>
        </w:rPr>
      </w:pPr>
      <w:r>
        <w:rPr>
          <w:i/>
          <w:iCs/>
        </w:rPr>
        <w:t>Table 4: 1-period lagged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75" w:type="dxa"/>
          <w:bottom w:w="0" w:type="dxa"/>
          <w:right w:w="75" w:type="dxa"/>
        </w:tblCellMar>
      </w:tblPr>
      <w:tblGrid>
        <w:gridCol w:w="2119"/>
        <w:gridCol w:w="1230"/>
        <w:gridCol w:w="1230"/>
        <w:gridCol w:w="1230"/>
      </w:tblGrid>
      <w:tr w14:paraId="35F24104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3F50F658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1DF9EBE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(1)</w:t>
            </w: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13ABD1B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)</w:t>
            </w: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4459134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)</w:t>
            </w:r>
          </w:p>
        </w:tc>
      </w:tr>
      <w:tr w14:paraId="5C389787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167563C5">
            <w:pPr>
              <w:ind w:firstLine="420" w:firstLineChars="200"/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4E3CD468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502E6985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0C8CDA1D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(p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</w:tr>
      <w:tr w14:paraId="173D9D18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079A4EE">
            <w:pPr>
              <w:spacing w:after="0" w:line="240" w:lineRule="auto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Ln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(</m:t>
                    </m:r>
                    <m:r>
                      <m:rPr/>
                      <w:rPr>
                        <w:rFonts w:hint="eastAsia" w:ascii="Cambria Math" w:hAnsi="Cambria Math" w:eastAsia="SimSun"/>
                        <w:sz w:val="21"/>
                        <w:szCs w:val="21"/>
                      </w:rPr>
                      <m:t>O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FDI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EE5048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0.121***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35D4D9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0.191***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9E5806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0.207***</w:t>
            </w:r>
          </w:p>
        </w:tc>
      </w:tr>
      <w:tr w14:paraId="661D2B87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89F5284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034A93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(2.67)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31C196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(4.97)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CA3A12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(4.37)</w:t>
            </w:r>
          </w:p>
        </w:tc>
      </w:tr>
      <w:tr w14:paraId="0F0D3F3E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5BF40C0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GOV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256A74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849ABC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0.015*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F59501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0.016*</w:t>
            </w:r>
          </w:p>
        </w:tc>
      </w:tr>
      <w:tr w14:paraId="7C9BC8E9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BA6187F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F4AD79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82CC72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(1.81)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512199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(1.84)</w:t>
            </w:r>
          </w:p>
        </w:tc>
      </w:tr>
      <w:tr w14:paraId="0467BF89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489E573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TRADE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41B547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890A86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0.006***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7B171E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0.004***</w:t>
            </w:r>
          </w:p>
        </w:tc>
      </w:tr>
      <w:tr w14:paraId="6985C8CD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C69F0B6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7B9E9D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DB8339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(9.27)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A7EF9B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(4.72)</w:t>
            </w:r>
          </w:p>
        </w:tc>
      </w:tr>
      <w:tr w14:paraId="75ED8BAF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63E9AD1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FIN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68342C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2E71E9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02B5CA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-0.001</w:t>
            </w:r>
          </w:p>
        </w:tc>
      </w:tr>
      <w:tr w14:paraId="140703F2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4CA36E5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385B04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58B8BD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(0.57)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5F35AF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(-0.86)</w:t>
            </w:r>
          </w:p>
        </w:tc>
      </w:tr>
      <w:tr w14:paraId="1DF6AF47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8773BBD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LAB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526F11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2B12A6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-0.202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BC9489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0.144</w:t>
            </w:r>
          </w:p>
        </w:tc>
      </w:tr>
      <w:tr w14:paraId="2DD494EA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64E91A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841C18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FC7422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(-1.13)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22753F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(0.65)</w:t>
            </w:r>
          </w:p>
        </w:tc>
      </w:tr>
      <w:tr w14:paraId="78A6BBCF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40326E8">
            <w:pPr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URB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81E9CA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EB83B4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3E67A2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0.773**</w:t>
            </w:r>
          </w:p>
        </w:tc>
      </w:tr>
      <w:tr w14:paraId="6469BE25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025DE1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0165EA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49ACC0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7C5C8F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(2.30)</w:t>
            </w:r>
          </w:p>
        </w:tc>
      </w:tr>
      <w:tr w14:paraId="1FC21AF4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458EC9C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ENERGY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DCCE89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C3F754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8D8556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0.038**</w:t>
            </w:r>
          </w:p>
        </w:tc>
      </w:tr>
      <w:tr w14:paraId="03EEDE84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FD11706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7ADAE4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7D24F1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9F10AD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(2.48)</w:t>
            </w:r>
          </w:p>
        </w:tc>
      </w:tr>
      <w:tr w14:paraId="74C49941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B6BFC26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TELECOM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F4EC91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C45816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169C9E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0.068***</w:t>
            </w:r>
          </w:p>
        </w:tc>
      </w:tr>
      <w:tr w14:paraId="2BB0D81C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174664C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923C0F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F5176A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22FBB8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(3.11)</w:t>
            </w:r>
          </w:p>
        </w:tc>
      </w:tr>
      <w:tr w14:paraId="08CDD85F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0C00007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29E1ABF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202AFF8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CA75100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</w:tr>
      <w:tr w14:paraId="4EA4567E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A6EBE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Observation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4A26A9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180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50961E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180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C2FCEE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168</w:t>
            </w:r>
          </w:p>
        </w:tc>
      </w:tr>
      <w:tr w14:paraId="4E5F2B9E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D3788">
            <w:pPr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R²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D7F2AE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0.877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47F3E0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0.930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174EF4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0.930</w:t>
            </w:r>
          </w:p>
        </w:tc>
      </w:tr>
      <w:tr w14:paraId="2B78B8B9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26CED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Individual Fixed Effect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A3255C8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1BED8E2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32FE86A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</w:tr>
      <w:tr w14:paraId="57157098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B27FF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Year Fixed Effect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FDBCE1A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2A6A107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5FA40EE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</w:tr>
      <w:tr w14:paraId="01842BA5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24002498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F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64D562A8">
            <w:pPr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238.688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59BA2EF8">
            <w:pPr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197.221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153EF7AB">
            <w:pPr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128.391</w:t>
            </w:r>
          </w:p>
        </w:tc>
      </w:tr>
    </w:tbl>
    <w:p w14:paraId="2B635B11">
      <w:pPr>
        <w:jc w:val="center"/>
        <w:rPr>
          <w:i/>
          <w:iCs/>
        </w:rPr>
      </w:pPr>
    </w:p>
    <w:p w14:paraId="3A2349DE">
      <w:r>
        <w:br w:type="page"/>
      </w:r>
    </w:p>
    <w:p w14:paraId="6B93A345">
      <w:pPr>
        <w:jc w:val="center"/>
        <w:rPr>
          <w:i/>
          <w:iCs/>
        </w:rPr>
      </w:pPr>
      <w:r>
        <w:rPr>
          <w:i/>
          <w:iCs/>
        </w:rPr>
        <w:t>Table 5: 2-period lagged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75" w:type="dxa"/>
          <w:bottom w:w="0" w:type="dxa"/>
          <w:right w:w="75" w:type="dxa"/>
        </w:tblCellMar>
      </w:tblPr>
      <w:tblGrid>
        <w:gridCol w:w="2119"/>
        <w:gridCol w:w="1230"/>
        <w:gridCol w:w="1230"/>
        <w:gridCol w:w="1230"/>
      </w:tblGrid>
      <w:tr w14:paraId="36696A4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08AA81C3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01DD94A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(1)</w:t>
            </w: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40794F2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)</w:t>
            </w:r>
          </w:p>
        </w:tc>
        <w:tc>
          <w:tcPr>
            <w:tcW w:w="1230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0AC8D9F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(</w:t>
            </w:r>
            <w:r>
              <w:rPr>
                <w:rFonts w:hint="eastAsia" w:ascii="Times New Roman" w:hAnsi="Times New Roman" w:eastAsia="SimSu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)</w:t>
            </w:r>
          </w:p>
        </w:tc>
      </w:tr>
      <w:tr w14:paraId="17D4D60A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757F1A06">
            <w:pPr>
              <w:ind w:firstLine="420" w:firstLineChars="200"/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01B3E0A3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2DB998EE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pGDP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279CDC72">
            <w:pPr>
              <w:ind w:firstLine="420" w:firstLineChars="200"/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m:oMathPara>
              <m:oMath>
                <m:r>
                  <m:rPr/>
                  <w:rPr>
                    <w:rFonts w:ascii="Cambria Math" w:hAnsi="Cambria Math" w:eastAsia="SimSun" w:cs="Times New Roma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(p</m:t>
                </m:r>
                <m:sSub>
                  <m:sSubP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GDP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 w:cs="Times New Roman"/>
                    <w:sz w:val="21"/>
                    <w:szCs w:val="21"/>
                  </w:rPr>
                  <m:t>)</m:t>
                </m:r>
              </m:oMath>
            </m:oMathPara>
          </w:p>
        </w:tc>
      </w:tr>
      <w:tr w14:paraId="6BED37A3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8C21184">
            <w:pPr>
              <w:spacing w:after="0" w:line="240" w:lineRule="auto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Ln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(</m:t>
                    </m:r>
                    <m:r>
                      <m:rPr/>
                      <w:rPr>
                        <w:rFonts w:hint="eastAsia" w:ascii="Cambria Math" w:hAnsi="Cambria Math" w:eastAsia="SimSun"/>
                        <w:sz w:val="21"/>
                        <w:szCs w:val="21"/>
                      </w:rPr>
                      <m:t>O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FDI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73659F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0.196***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55F2FF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0.293***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926043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0.326***</w:t>
            </w:r>
          </w:p>
        </w:tc>
      </w:tr>
      <w:tr w14:paraId="3FFBDD0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96A2E6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E3CB90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(2.93)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7ECA36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(4.52)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7DF202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(4.70)</w:t>
            </w:r>
          </w:p>
        </w:tc>
      </w:tr>
      <w:tr w14:paraId="2DFF8232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E4B6E7B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GOV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B2B2F0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CB5DFE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0.025**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60AC79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0.023**</w:t>
            </w:r>
          </w:p>
        </w:tc>
      </w:tr>
      <w:tr w14:paraId="4736EFE1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22156A9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7932A2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6B6839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(2.52)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8B2570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(2.16)</w:t>
            </w:r>
          </w:p>
        </w:tc>
      </w:tr>
      <w:tr w14:paraId="0D5AF3F2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820C51A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TRADE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689E3B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1599DF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0.006***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3B6F2D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0.004***</w:t>
            </w:r>
          </w:p>
        </w:tc>
      </w:tr>
      <w:tr w14:paraId="010D2D1C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7B7954B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4B4E2DE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E040C5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(8.33)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CCEB9E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(4.25)</w:t>
            </w:r>
          </w:p>
        </w:tc>
      </w:tr>
      <w:tr w14:paraId="3CF806FC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7A61123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FIN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08794F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FAB0F0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7C45290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-0.001</w:t>
            </w:r>
          </w:p>
        </w:tc>
      </w:tr>
      <w:tr w14:paraId="5231855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AB29443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0B5539C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9C524B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(0.79)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FE79D6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(-0.77)</w:t>
            </w:r>
          </w:p>
        </w:tc>
      </w:tr>
      <w:tr w14:paraId="7A721A2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6A244B8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LAB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F1B695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817531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-0.226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35D973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-0.044</w:t>
            </w:r>
          </w:p>
        </w:tc>
      </w:tr>
      <w:tr w14:paraId="78EA1E3E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4FA199E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ED8EBF4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F77581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(-1.10)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F2F0EA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(-0.17)</w:t>
            </w:r>
          </w:p>
        </w:tc>
      </w:tr>
      <w:tr w14:paraId="2E3D6A79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EE7CC24">
            <w:pPr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URB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A955C17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8F41D18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1647B0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0.774*</w:t>
            </w:r>
          </w:p>
        </w:tc>
      </w:tr>
      <w:tr w14:paraId="3D2BC7A9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77BD81F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EB921D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D7E64F1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9EC914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(1.90)</w:t>
            </w:r>
          </w:p>
        </w:tc>
      </w:tr>
      <w:tr w14:paraId="58076DA6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C1FAE4F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ENERGY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B83583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04FEA3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332C83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0.053***</w:t>
            </w:r>
          </w:p>
        </w:tc>
      </w:tr>
      <w:tr w14:paraId="539AC521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8337750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A17BB7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C5C3CAF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AB7464A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(2.98)</w:t>
            </w:r>
          </w:p>
        </w:tc>
      </w:tr>
      <w:tr w14:paraId="3053D8E6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C448592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SimSun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TELECOM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,</m:t>
                    </m:r>
                    <m:r>
                      <m:rPr/>
                      <w:rPr>
                        <w:rFonts w:ascii="Cambria Math" w:hAnsi="Cambria Math" w:eastAsia="SimSun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 w:eastAsia="SimSu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SimSun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AFA50B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4B52E71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D85514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0.067**</w:t>
            </w:r>
          </w:p>
        </w:tc>
      </w:tr>
      <w:tr w14:paraId="598C1035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2A060F9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B3457A2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2F7AC0E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3AFEE2B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(2.54)</w:t>
            </w:r>
          </w:p>
        </w:tc>
      </w:tr>
      <w:tr w14:paraId="21E46941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4016217">
            <w:pPr>
              <w:ind w:firstLine="420" w:firstLineChars="200"/>
              <w:rPr>
                <w:rFonts w:ascii="Times New Roman" w:hAnsi="Times New Roman" w:eastAsia="SimSu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46C4286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E118466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29292AA">
            <w:pPr>
              <w:ind w:firstLine="420" w:firstLineChars="200"/>
              <w:rPr>
                <w:rFonts w:ascii="Times New Roman" w:hAnsi="Times New Roman" w:eastAsia="SimSun" w:cs="Times New Roman"/>
                <w:sz w:val="21"/>
                <w:szCs w:val="21"/>
              </w:rPr>
            </w:pPr>
          </w:p>
        </w:tc>
      </w:tr>
      <w:tr w14:paraId="08B0A07A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CF229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Observation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B4C6A9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171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2178E39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171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749D356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160</w:t>
            </w:r>
          </w:p>
        </w:tc>
      </w:tr>
      <w:tr w14:paraId="67CB980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2A103">
            <w:pPr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>R²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C9CEF3D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0.844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0A6D48B3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0.899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5F62AC85">
            <w:pPr>
              <w:jc w:val="center"/>
              <w:rPr>
                <w:rFonts w:ascii="Times New Roman" w:hAnsi="Times New Roman" w:eastAsia="SimSun" w:cs="Times New Roman"/>
                <w:sz w:val="21"/>
                <w:szCs w:val="21"/>
              </w:rPr>
            </w:pPr>
            <w:r>
              <w:rPr>
                <w:rFonts w:ascii="Times New Roman" w:hAnsi="Times New Roman" w:eastAsia="SimSun" w:cs="Times New Roman"/>
                <w:kern w:val="0"/>
                <w:sz w:val="21"/>
                <w:szCs w:val="21"/>
              </w:rPr>
              <w:t>0.898</w:t>
            </w:r>
          </w:p>
        </w:tc>
      </w:tr>
      <w:tr w14:paraId="32E05250">
        <w:tblPrEx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28257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Individual Fixed Effect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DA38C58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8CEAF16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6573D554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</w:tr>
      <w:tr w14:paraId="46BCBA51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7A056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ascii="Times New Roman" w:hAnsi="Times New Roman" w:eastAsia="SimSun"/>
                <w:sz w:val="21"/>
                <w:szCs w:val="21"/>
              </w:rPr>
              <w:t>Year Fixed Effect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703587EA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145B415F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</w:tcPr>
          <w:p w14:paraId="3763045D">
            <w:pPr>
              <w:jc w:val="center"/>
            </w:pPr>
            <w:r>
              <w:rPr>
                <w:rFonts w:ascii="Times New Roman" w:hAnsi="Times New Roman" w:eastAsia="SimSun"/>
                <w:sz w:val="21"/>
                <w:szCs w:val="21"/>
              </w:rPr>
              <w:t>Y</w:t>
            </w:r>
          </w:p>
        </w:tc>
      </w:tr>
      <w:tr w14:paraId="13AC4A98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5" w:type="dxa"/>
            <w:bottom w:w="0" w:type="dxa"/>
            <w:right w:w="75" w:type="dxa"/>
          </w:tblCellMar>
        </w:tblPrEx>
        <w:trPr>
          <w:trHeight w:val="284" w:hRule="exact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4704A37F">
            <w:pPr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F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453DFAEE">
            <w:pPr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72.296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25EF7B4E">
            <w:pPr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55.152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257EF434">
            <w:pPr>
              <w:jc w:val="center"/>
              <w:rPr>
                <w:rFonts w:ascii="Times New Roman" w:hAnsi="Times New Roman" w:eastAsia="SimSu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</w:rPr>
              <w:t>58.466</w:t>
            </w:r>
          </w:p>
        </w:tc>
      </w:tr>
    </w:tbl>
    <w:p w14:paraId="1ACEFAF8"/>
    <w:p w14:paraId="08692301">
      <w:r>
        <w:br w:type="page"/>
      </w:r>
    </w:p>
    <w:p w14:paraId="78A2F7B6">
      <w:pPr>
        <w:pStyle w:val="2"/>
      </w:pPr>
      <w:bookmarkStart w:id="8" w:name="_Toc218796402"/>
      <w:r>
        <w:t>Coding (Stata)</w:t>
      </w:r>
      <w:bookmarkEnd w:id="8"/>
    </w:p>
    <w:p w14:paraId="03ECFE83">
      <w:r>
        <w:t>* setup panel data</w:t>
      </w:r>
    </w:p>
    <w:p w14:paraId="49F05A34">
      <w:r>
        <w:t>xtset country year</w:t>
      </w:r>
    </w:p>
    <w:p w14:paraId="3151DFCD"/>
    <w:p w14:paraId="74E53274">
      <w:r>
        <w:t>* Remove duplicates based on country and year</w:t>
      </w:r>
    </w:p>
    <w:p w14:paraId="30E65577">
      <w:r>
        <w:t>duplicates drop country year, force</w:t>
      </w:r>
    </w:p>
    <w:p w14:paraId="36B0AD41"/>
    <w:p w14:paraId="2DFB55D9">
      <w:r>
        <w:t>* Sort by panel structure</w:t>
      </w:r>
    </w:p>
    <w:p w14:paraId="437F31EC">
      <w:r>
        <w:t>sort country year</w:t>
      </w:r>
    </w:p>
    <w:p w14:paraId="3FDCCD52"/>
    <w:p w14:paraId="15E06445">
      <w:r>
        <w:t>* log transformation</w:t>
      </w:r>
    </w:p>
    <w:p w14:paraId="2123A9F6">
      <w:r>
        <w:t>gen ln_pGDP    = log(pGDP)</w:t>
      </w:r>
    </w:p>
    <w:p w14:paraId="4C3E3527">
      <w:r>
        <w:t>gen ln_OFDI    = log(OFDI + 1)</w:t>
      </w:r>
    </w:p>
    <w:p w14:paraId="5368EC96">
      <w:r>
        <w:t>gen ln_LAB     = log(LAB)</w:t>
      </w:r>
    </w:p>
    <w:p w14:paraId="71EFBC05">
      <w:r>
        <w:t>gen ln_URB     = log(URB)</w:t>
      </w:r>
    </w:p>
    <w:p w14:paraId="37626B44">
      <w:r>
        <w:t>gen ln_ENERGY  = log(ENERGY)</w:t>
      </w:r>
    </w:p>
    <w:p w14:paraId="72D62936">
      <w:r>
        <w:t>gen ln_TELECOM = log(TELECOM)</w:t>
      </w:r>
    </w:p>
    <w:p w14:paraId="6C36C235"/>
    <w:p w14:paraId="0AFF4187">
      <w:r>
        <w:t>* replace missing values with average mean within country</w:t>
      </w:r>
    </w:p>
    <w:p w14:paraId="226F9BA3">
      <w:r>
        <w:t>foreach var in ln_pGDP ln_OFDI GOV TRADE FIN ln_LAB ln_URB ln_ENERGY ln_TELECOM {</w:t>
      </w:r>
    </w:p>
    <w:p w14:paraId="341E7FC5">
      <w:r>
        <w:t>    by country: egen mean_`var' = mean(`var')</w:t>
      </w:r>
    </w:p>
    <w:p w14:paraId="01D0C591">
      <w:r>
        <w:t>    replace `var' = mean_`var' if missing(`var')</w:t>
      </w:r>
    </w:p>
    <w:p w14:paraId="2B133582">
      <w:r>
        <w:t>    drop mean_`var'</w:t>
      </w:r>
    </w:p>
    <w:p w14:paraId="37BEB110">
      <w:r>
        <w:t>}</w:t>
      </w:r>
    </w:p>
    <w:p w14:paraId="436B9CD7"/>
    <w:p w14:paraId="3936970C">
      <w:r>
        <w:t>* Baseline Two-Way Fixed Effects Regression</w:t>
      </w:r>
    </w:p>
    <w:p w14:paraId="72A73A63">
      <w:r>
        <w:t>ssc install reghdfe, replace</w:t>
      </w:r>
    </w:p>
    <w:p w14:paraId="42F25EAD">
      <w:r>
        <w:t>reghdfe ln_pGDP ln_OFDI GOV TRADE FIN ln_LAB ln_URB ln_ENERGY ln_TELECOM, ///</w:t>
      </w:r>
    </w:p>
    <w:p w14:paraId="3E3567DF">
      <w:r>
        <w:t>    absorb(country year) vce(cluster country)</w:t>
      </w:r>
    </w:p>
    <w:p w14:paraId="6D990932"/>
    <w:p w14:paraId="5E191963">
      <w:r>
        <w:t>* interaction model</w:t>
      </w:r>
    </w:p>
    <w:p w14:paraId="0E040717">
      <w:r>
        <w:t>gen OFDI_TELECOM = ln_OFDI * ln_TELECOM</w:t>
      </w:r>
    </w:p>
    <w:p w14:paraId="35AAB3A5"/>
    <w:p w14:paraId="3D2CFD0F">
      <w:r>
        <w:t>reghdfe ln_pGDP ln_OFDI ln_TELECOM OFDI_TELECOM GOV TRADE FIN ln_LAB ln_URB ln_ENERGY, ///</w:t>
      </w:r>
    </w:p>
    <w:p w14:paraId="7A1AE446">
      <w:r>
        <w:t>    absorb(country year) vce(cluster country)</w:t>
      </w:r>
    </w:p>
    <w:p w14:paraId="365A917E"/>
    <w:p w14:paraId="1FA081D8">
      <w:r>
        <w:t>* environmental effect model</w:t>
      </w:r>
    </w:p>
    <w:p w14:paraId="7E842E0E">
      <w:r>
        <w:t>reghdfe CO2_GDP ln_OFDI GOV TRADE FIN ln_LAB ln_URB ln_ENERGY ln_TELECOM, ///</w:t>
      </w:r>
    </w:p>
    <w:p w14:paraId="58468276">
      <w:r>
        <w:t>    absorb(country year) vce(cluster country)</w:t>
      </w:r>
    </w:p>
    <w:p w14:paraId="250BDF32"/>
    <w:p w14:paraId="71FB85D7">
      <w:r>
        <w:t>* lagged model</w:t>
      </w:r>
    </w:p>
    <w:p w14:paraId="6D1ED04A">
      <w:r>
        <w:t>xtset country year</w:t>
      </w:r>
    </w:p>
    <w:p w14:paraId="588CC87B"/>
    <w:p w14:paraId="49A44F1D">
      <w:r>
        <w:t>gen ln_OFDI_lag1 = L1.ln_OFDI</w:t>
      </w:r>
    </w:p>
    <w:p w14:paraId="60F138C3">
      <w:r>
        <w:t>gen ln_OFDI_lag2 = L2.ln_OFDI</w:t>
      </w:r>
    </w:p>
    <w:p w14:paraId="2D4A19E9">
      <w:r>
        <w:t>drop if missing(ln_pGDP, ln_OFDI, ln_OFDI_lag1, ln_OFDI_lag2)</w:t>
      </w:r>
    </w:p>
    <w:p w14:paraId="3C39B6F4">
      <w:r>
        <w:t>ssc install ivreghdfe, replace</w:t>
      </w:r>
    </w:p>
    <w:p w14:paraId="7A260E55"/>
    <w:p w14:paraId="48550505">
      <w:r>
        <w:t>ivreghdfe ln_pGDP GOV TRADE FIN ln_LAB ln_URB ln_ENERGY ln_TELECOM ///</w:t>
      </w:r>
    </w:p>
    <w:p w14:paraId="0F4A7CB4">
      <w:r>
        <w:t>    (ln_OFDI = ln_OFDI_lag1 ln_OFDI_lag2), ///</w:t>
      </w:r>
    </w:p>
    <w:p w14:paraId="1FBD893F">
      <w:r>
        <w:t>    absorb(country year) vce(cluster country)</w:t>
      </w:r>
    </w:p>
    <w:p w14:paraId="6198D63C"/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A1F6D">
    <w:pPr>
      <w:pStyle w:val="14"/>
    </w:pPr>
    <w:r>
      <w:rPr>
        <w:sz w:val="18"/>
      </w:rPr>
      <w:pict>
        <v:shape id="PowerPlusWaterMarkObject15285" o:spid="_x0000_s2049" o:spt="136" type="#_x0000_t136" style="position:absolute;left:0pt;height:153.8pt;width:484.3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CHAN JIE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E46E8"/>
    <w:multiLevelType w:val="multilevel"/>
    <w:tmpl w:val="01DE4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882A2C"/>
    <w:multiLevelType w:val="multilevel"/>
    <w:tmpl w:val="07882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9479AA"/>
    <w:multiLevelType w:val="multilevel"/>
    <w:tmpl w:val="15947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ED735F3"/>
    <w:multiLevelType w:val="multilevel"/>
    <w:tmpl w:val="2ED735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8420275"/>
    <w:multiLevelType w:val="multilevel"/>
    <w:tmpl w:val="384202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EBE4F5A"/>
    <w:multiLevelType w:val="multilevel"/>
    <w:tmpl w:val="3EBE4F5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277516"/>
    <w:multiLevelType w:val="multilevel"/>
    <w:tmpl w:val="5227751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D0C"/>
    <w:rsid w:val="000C0E95"/>
    <w:rsid w:val="001730D9"/>
    <w:rsid w:val="002E6D12"/>
    <w:rsid w:val="005842F4"/>
    <w:rsid w:val="006A63FA"/>
    <w:rsid w:val="00751D0C"/>
    <w:rsid w:val="00AD6D50"/>
    <w:rsid w:val="00B86724"/>
    <w:rsid w:val="00B94DB4"/>
    <w:rsid w:val="00CC79B5"/>
    <w:rsid w:val="66EF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MY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toc 1"/>
    <w:basedOn w:val="1"/>
    <w:next w:val="1"/>
    <w:autoRedefine/>
    <w:unhideWhenUsed/>
    <w:qFormat/>
    <w:uiPriority w:val="39"/>
    <w:pPr>
      <w:spacing w:after="100"/>
    </w:p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A54110-24D9-4639-91F4-A75603EEF9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2102</Words>
  <Characters>11987</Characters>
  <Lines>99</Lines>
  <Paragraphs>28</Paragraphs>
  <TotalTime>95</TotalTime>
  <ScaleCrop>false</ScaleCrop>
  <LinksUpToDate>false</LinksUpToDate>
  <CharactersWithSpaces>14061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2026-01-08T10:51:00Z</dcterms:created>
  <dc:creator>Chan Jie</dc:creator>
  <cp:lastModifiedBy>Chan Jie</cp:lastModifiedBy>
  <dcterms:modified xsi:type="dcterms:W3CDTF">2026-01-08T12:29:21Z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81CF4B471AC44694B6BEE19EB77C15EA_12</vt:lpwstr>
  </property>
</Properties>
</file>