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IoT设备接入流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98541357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Arial" w:hAnsi="Arial" w:eastAsia="黑体" w:cstheme="minorBidi"/>
              <w:b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_Toc823451586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1、硬件设备接入流程</w:t>
          </w:r>
          <w:r>
            <w:tab/>
          </w:r>
          <w:r>
            <w:fldChar w:fldCharType="begin"/>
          </w:r>
          <w:r>
            <w:instrText xml:space="preserve"> PAGEREF _Toc823451586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_Toc1366184634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2、设备接入开发流程</w:t>
          </w:r>
          <w:r>
            <w:tab/>
          </w:r>
          <w:r>
            <w:fldChar w:fldCharType="begin"/>
          </w:r>
          <w:r>
            <w:instrText xml:space="preserve"> PAGEREF _Toc1366184634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_Toc569989914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3、IoT设备接入方案</w:t>
          </w:r>
          <w:r>
            <w:tab/>
          </w:r>
          <w:r>
            <w:fldChar w:fldCharType="begin"/>
          </w:r>
          <w:r>
            <w:instrText xml:space="preserve"> PAGEREF _Toc569989914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_Toc2043418978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4、云联方案</w:t>
          </w:r>
          <w:r>
            <w:tab/>
          </w:r>
          <w:r>
            <w:fldChar w:fldCharType="begin"/>
          </w:r>
          <w:r>
            <w:instrText xml:space="preserve"> PAGEREF _Toc2043418978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_Toc1184280422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5、直连方案</w:t>
          </w:r>
          <w:r>
            <w:tab/>
          </w:r>
          <w:r>
            <w:fldChar w:fldCharType="begin"/>
          </w:r>
          <w:r>
            <w:instrText xml:space="preserve"> PAGEREF _Toc1184280422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_Toc1322612158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5.1、</w:t>
          </w:r>
          <w:r>
            <w:rPr>
              <w:rFonts w:hint="eastAsia"/>
            </w:rPr>
            <w:t>设备直接对接C-life云</w:t>
          </w:r>
          <w:r>
            <w:tab/>
          </w:r>
          <w:r>
            <w:fldChar w:fldCharType="begin"/>
          </w:r>
          <w:r>
            <w:instrText xml:space="preserve"> PAGEREF _Toc1322612158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_Toc539309409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5.2、蓝牙通讯对接APP</w:t>
          </w:r>
          <w:r>
            <w:tab/>
          </w:r>
          <w:r>
            <w:fldChar w:fldCharType="begin"/>
          </w:r>
          <w:r>
            <w:instrText xml:space="preserve"> PAGEREF _Toc539309409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_Toc1792246723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6、IoT设备接入周期优化</w:t>
          </w:r>
          <w:r>
            <w:tab/>
          </w:r>
          <w:r>
            <w:fldChar w:fldCharType="begin"/>
          </w:r>
          <w:r>
            <w:instrText xml:space="preserve"> PAGEREF _Toc1792246723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_Toc1685040639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7、KPI规划与下半年工作任务</w:t>
          </w:r>
          <w:r>
            <w:tab/>
          </w:r>
          <w:r>
            <w:fldChar w:fldCharType="begin"/>
          </w:r>
          <w:r>
            <w:instrText xml:space="preserve"> PAGEREF _Toc1685040639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_Toc1611166684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7.1、KPI规划</w:t>
          </w:r>
          <w:r>
            <w:tab/>
          </w:r>
          <w:r>
            <w:fldChar w:fldCharType="begin"/>
          </w:r>
          <w:r>
            <w:instrText xml:space="preserve"> PAGEREF _Toc1611166684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instrText xml:space="preserve"> HYPERLINK \l _Toc1257152965 </w:instrTex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7.2、下半年工作任何</w:t>
          </w:r>
          <w:r>
            <w:tab/>
          </w:r>
          <w:r>
            <w:fldChar w:fldCharType="begin"/>
          </w:r>
          <w:r>
            <w:instrText xml:space="preserve"> PAGEREF _Toc1257152965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Arial" w:hAnsi="Arial" w:eastAsia="黑体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Arial" w:hAnsi="Arial" w:eastAsia="黑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0" w:name="_Toc823451586"/>
      <w:bookmarkStart w:id="1" w:name="_Toc1906399963"/>
      <w:r>
        <w:rPr>
          <w:rFonts w:hint="eastAsia"/>
          <w:lang w:val="en-US" w:eastAsia="zh-CN"/>
        </w:rPr>
        <w:t>1、硬件设备接入流程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041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467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outlineLvl w:val="0"/>
        <w:rPr>
          <w:rFonts w:hint="eastAsia"/>
          <w:b/>
          <w:lang w:val="en-US" w:eastAsia="zh-CN"/>
        </w:rPr>
      </w:pPr>
      <w:bookmarkStart w:id="2" w:name="_Toc1366184634"/>
      <w:bookmarkStart w:id="3" w:name="_Toc408164901"/>
      <w:bookmarkStart w:id="4" w:name="_Toc1216491346"/>
      <w:bookmarkStart w:id="5" w:name="_Toc1220245708"/>
      <w:bookmarkStart w:id="6" w:name="_Toc40749952"/>
      <w:bookmarkStart w:id="7" w:name="_Toc187444327"/>
      <w:bookmarkStart w:id="8" w:name="_Toc1898368232"/>
      <w:bookmarkStart w:id="9" w:name="_Toc1825935170"/>
      <w:r>
        <w:rPr>
          <w:rFonts w:hint="eastAsia"/>
          <w:b/>
          <w:lang w:val="en-US" w:eastAsia="zh-CN"/>
        </w:rPr>
        <w:t>2、设备接入开发流程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r>
        <w:drawing>
          <wp:inline distT="0" distB="0" distL="114300" distR="114300">
            <wp:extent cx="5271135" cy="330009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0"/>
        <w:rPr>
          <w:rFonts w:hint="default"/>
          <w:b/>
          <w:lang w:val="en-US" w:eastAsia="zh-CN"/>
        </w:rPr>
      </w:pPr>
      <w:bookmarkStart w:id="10" w:name="_Toc569989914"/>
      <w:bookmarkStart w:id="11" w:name="_Toc964722589"/>
      <w:bookmarkStart w:id="12" w:name="_Toc1525732782"/>
      <w:bookmarkStart w:id="13" w:name="_Toc951086560"/>
      <w:bookmarkStart w:id="14" w:name="_Toc200785506"/>
      <w:bookmarkStart w:id="15" w:name="_Toc710331745"/>
      <w:bookmarkStart w:id="16" w:name="_Toc1984643518"/>
      <w:bookmarkStart w:id="17" w:name="_Toc18293740"/>
      <w:r>
        <w:rPr>
          <w:rFonts w:hint="eastAsia"/>
          <w:b/>
          <w:lang w:val="en-US" w:eastAsia="zh-CN"/>
        </w:rPr>
        <w:t>3、IoT设备接入方案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047365"/>
            <wp:effectExtent l="0" t="0" r="13970" b="635"/>
            <wp:docPr id="5" name="图片 5" descr="设备接入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设备接入方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0"/>
        <w:rPr>
          <w:rFonts w:hint="eastAsia"/>
          <w:b/>
          <w:lang w:val="en-US" w:eastAsia="zh-CN"/>
        </w:rPr>
      </w:pPr>
      <w:bookmarkStart w:id="18" w:name="_Toc2036121894"/>
      <w:bookmarkStart w:id="19" w:name="_Toc2043418978"/>
      <w:bookmarkStart w:id="20" w:name="_Toc905189905"/>
      <w:bookmarkStart w:id="21" w:name="_Toc372726659"/>
      <w:bookmarkStart w:id="22" w:name="_Toc684044542"/>
      <w:bookmarkStart w:id="23" w:name="_Toc1191029299"/>
      <w:bookmarkStart w:id="24" w:name="_Toc591018473"/>
      <w:bookmarkStart w:id="25" w:name="_Toc1187601822"/>
      <w:r>
        <w:rPr>
          <w:rFonts w:hint="eastAsia"/>
          <w:b/>
          <w:lang w:val="en-US" w:eastAsia="zh-CN"/>
        </w:rPr>
        <w:t>4、云联方案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515110"/>
            <wp:effectExtent l="0" t="0" r="1270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硬件产品经互联网连接C-link云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需要C-link做与第三方厂商云做权限认证，授权，打通数据通路。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依据C-life平台设备标准协议规则，做账号管理、授权、权限管理、通道方式转换 、访问令牌管理、上行数据(运行数据、告警数据、异常数据)、下行(控制数据、配置数据)协议转换、通道方式转换、事件转化、数据通道加解密、云端绑定、解绑、控制。协议匹配，设备消息格式统一。。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注: 属于非标准接入方式。需要进行非标转化。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b/>
          <w:lang w:val="en-US" w:eastAsia="zh-CN"/>
        </w:rPr>
      </w:pPr>
      <w:bookmarkStart w:id="26" w:name="_Toc934354606"/>
      <w:bookmarkStart w:id="27" w:name="_Toc752577987"/>
      <w:bookmarkStart w:id="28" w:name="_Toc1256655003"/>
      <w:bookmarkStart w:id="29" w:name="_Toc1184280422"/>
      <w:bookmarkStart w:id="30" w:name="_Toc207159514"/>
      <w:bookmarkStart w:id="31" w:name="_Toc948757513"/>
      <w:bookmarkStart w:id="32" w:name="_Toc1310807136"/>
      <w:bookmarkStart w:id="33" w:name="_Toc1135608336"/>
      <w:r>
        <w:rPr>
          <w:rFonts w:hint="eastAsia"/>
          <w:b/>
          <w:lang w:val="en-US" w:eastAsia="zh-CN"/>
        </w:rPr>
        <w:t>5、直连方案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34" w:name="_Toc701442016"/>
      <w:bookmarkStart w:id="35" w:name="_Toc1322612158"/>
      <w:bookmarkStart w:id="36" w:name="_Toc1482132263"/>
      <w:bookmarkStart w:id="37" w:name="_Toc98967176"/>
      <w:bookmarkStart w:id="38" w:name="_Toc1848283826"/>
      <w:r>
        <w:rPr>
          <w:rFonts w:hint="eastAsia"/>
          <w:lang w:val="en-US" w:eastAsia="zh-CN"/>
        </w:rPr>
        <w:t>5.1、</w:t>
      </w:r>
      <w:r>
        <w:rPr>
          <w:rFonts w:hint="eastAsia"/>
        </w:rPr>
        <w:t>设备直接对接C-life云</w:t>
      </w:r>
      <w:bookmarkEnd w:id="34"/>
      <w:bookmarkEnd w:id="35"/>
      <w:bookmarkEnd w:id="36"/>
      <w:bookmarkEnd w:id="37"/>
      <w:bookmarkEnd w:id="38"/>
    </w:p>
    <w:p>
      <w:r>
        <w:drawing>
          <wp:inline distT="0" distB="0" distL="114300" distR="114300">
            <wp:extent cx="5271135" cy="2312670"/>
            <wp:effectExtent l="0" t="0" r="12065" b="241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设备与C-life通过TCP,MQTT,实现数据上下行。利用公司底层5A协议、物模型协议。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这种类型接入方式，属于标准的接入C-life接入方式，按照已有流程开展。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第三方厂商需要使用支持C-life标准的5A协议、物模型协议的Wi-Fi模组、3G/4G模组、NB-IOT模组、Android SDK、以太网网线的linux的SDK等等。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设备和C-life云的注册认证、配网方式等采用C-life已有流程。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第三方可以直接使用APP SDK、C-life已经开发的通讯模组进行进行进一步硬件产品的研发。</w:t>
      </w:r>
    </w:p>
    <w:p>
      <w:pPr>
        <w:pStyle w:val="5"/>
        <w:bidi w:val="0"/>
        <w:outlineLvl w:val="1"/>
        <w:rPr>
          <w:rFonts w:hint="eastAsia"/>
          <w:b/>
          <w:lang w:val="en-US" w:eastAsia="zh-CN"/>
        </w:rPr>
      </w:pPr>
      <w:bookmarkStart w:id="39" w:name="_Toc1188984254"/>
      <w:bookmarkStart w:id="40" w:name="_Toc1598224529"/>
      <w:bookmarkStart w:id="41" w:name="_Toc1534122688"/>
      <w:bookmarkStart w:id="42" w:name="_Toc755309727"/>
      <w:bookmarkStart w:id="43" w:name="_Toc539309409"/>
      <w:r>
        <w:rPr>
          <w:rFonts w:hint="eastAsia"/>
          <w:b/>
          <w:lang w:val="en-US" w:eastAsia="zh-CN"/>
        </w:rPr>
        <w:t>5.2、蓝牙通讯对接APP</w:t>
      </w:r>
      <w:bookmarkEnd w:id="39"/>
      <w:bookmarkEnd w:id="40"/>
      <w:bookmarkEnd w:id="41"/>
      <w:bookmarkEnd w:id="42"/>
      <w:bookmarkEnd w:id="43"/>
    </w:p>
    <w:p>
      <w:r>
        <w:drawing>
          <wp:inline distT="0" distB="0" distL="114300" distR="114300">
            <wp:extent cx="5267325" cy="2143125"/>
            <wp:effectExtent l="0" t="0" r="15875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蓝牙通讯采用标准协议(第三方厂家在C-life平台)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第三方厂商需要使用支持C-life标准蓝牙协议，采用C-life标准蓝牙模组选型。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蓝牙模组通讯认证、广播名规则、广播数据规则、服务特征规则等采用C-life已有规范。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第三方可以直接使用APP SDK、C-life已经开发的通讯模组进行进行进一步硬件产品的研发。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注: 属于标准的接入C-life接入方式，按照已有流程开展。不需要进行非标转化。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蓝牙通讯采用非标准协议(C-life平台接入第三方成品)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第三方厂商使用非C-life标准蓝牙协议，采用蓝牙自选模组。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不采用C-life已有规范蓝牙模组通讯认证、广播名规则、广播数据规则、服务特征规则等。均自定义。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C-life需要使用第三方SDK，实现设备的连接、认证、数据通讯、数据转换。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注: 属于非标准接入方式。需要进行非标转化。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b/>
          <w:lang w:val="en-US" w:eastAsia="zh-CN"/>
        </w:rPr>
      </w:pPr>
      <w:bookmarkStart w:id="44" w:name="_Toc923021643"/>
      <w:bookmarkStart w:id="45" w:name="_Toc2047030326"/>
      <w:bookmarkStart w:id="46" w:name="_Toc1311351334"/>
      <w:bookmarkStart w:id="47" w:name="_Toc714744272"/>
      <w:bookmarkStart w:id="48" w:name="_Toc658960011"/>
      <w:bookmarkStart w:id="49" w:name="_Toc634202227"/>
      <w:bookmarkStart w:id="50" w:name="_Toc1297436178"/>
      <w:bookmarkStart w:id="51" w:name="_Toc1792246723"/>
      <w:r>
        <w:rPr>
          <w:rFonts w:hint="eastAsia"/>
          <w:b/>
          <w:lang w:val="en-US" w:eastAsia="zh-CN"/>
        </w:rPr>
        <w:t>6、IoT设备接入周期优化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1480"/>
        <w:gridCol w:w="1407"/>
        <w:gridCol w:w="1408"/>
        <w:gridCol w:w="1409"/>
      </w:tblGrid>
      <w:tr>
        <w:tc>
          <w:tcPr>
            <w:tcW w:w="1409" w:type="dxa"/>
            <w:shd w:val="clear" w:color="auto" w:fill="4874CB" w:themeFill="accen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连接方式</w:t>
            </w:r>
          </w:p>
        </w:tc>
        <w:tc>
          <w:tcPr>
            <w:tcW w:w="1480" w:type="dxa"/>
            <w:shd w:val="clear" w:color="auto" w:fill="4874CB" w:themeFill="accen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通讯方式</w:t>
            </w:r>
          </w:p>
        </w:tc>
        <w:tc>
          <w:tcPr>
            <w:tcW w:w="1407" w:type="dxa"/>
            <w:shd w:val="clear" w:color="auto" w:fill="4874CB" w:themeFill="accen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开发周期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天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1408" w:type="dxa"/>
            <w:shd w:val="clear" w:color="auto" w:fill="4874CB" w:themeFill="accen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自测周期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天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  <w:tc>
          <w:tcPr>
            <w:tcW w:w="1409" w:type="dxa"/>
            <w:shd w:val="clear" w:color="auto" w:fill="4874CB" w:themeFill="accent1"/>
          </w:tcPr>
          <w:p>
            <w:pP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测试周期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(</w:t>
            </w: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天</w:t>
            </w:r>
            <w:r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)</w:t>
            </w:r>
          </w:p>
        </w:tc>
      </w:tr>
      <w:tr>
        <w:tc>
          <w:tcPr>
            <w:tcW w:w="1409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云联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HTTP/HTTPS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9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MQTT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NSQ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09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直连</w:t>
            </w: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BLE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0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0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涉及业务</w:t>
      </w:r>
      <w:r>
        <w:rPr>
          <w:rFonts w:hint="eastAsia"/>
          <w:lang w:val="en-US" w:eastAsia="zh-CN"/>
        </w:rPr>
        <w:t>数据复杂大和需第三方沟通调试的</w:t>
      </w:r>
      <w:r>
        <w:rPr>
          <w:rFonts w:hint="default"/>
          <w:lang w:val="en-US" w:eastAsia="zh-CN"/>
        </w:rPr>
        <w:t>按照</w:t>
      </w:r>
      <w:r>
        <w:rPr>
          <w:rFonts w:hint="eastAsia"/>
          <w:lang w:val="en-US" w:eastAsia="zh-CN"/>
        </w:rPr>
        <w:t>实际情况</w:t>
      </w:r>
      <w:r>
        <w:rPr>
          <w:rFonts w:hint="default"/>
          <w:lang w:val="en-US" w:eastAsia="zh-CN"/>
        </w:rPr>
        <w:t>另行</w:t>
      </w:r>
      <w:r>
        <w:rPr>
          <w:rFonts w:hint="eastAsia"/>
          <w:lang w:val="en-US" w:eastAsia="zh-CN"/>
        </w:rPr>
        <w:t>评估周期；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给数联定制类未经测试的按照实际情况另行评估周期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b/>
          <w:lang w:val="en-US" w:eastAsia="zh-CN"/>
        </w:rPr>
      </w:pPr>
      <w:bookmarkStart w:id="52" w:name="_Toc1685040639"/>
      <w:bookmarkStart w:id="53" w:name="_Toc1145431288"/>
      <w:bookmarkStart w:id="54" w:name="_Toc899142213"/>
      <w:bookmarkStart w:id="55" w:name="_Toc666956809"/>
      <w:bookmarkStart w:id="56" w:name="_Toc28095275"/>
      <w:bookmarkStart w:id="57" w:name="_Toc1299592052"/>
      <w:bookmarkStart w:id="58" w:name="_Toc1446336877"/>
      <w:r>
        <w:rPr>
          <w:rFonts w:hint="eastAsia"/>
          <w:b/>
          <w:lang w:val="en-US" w:eastAsia="zh-CN"/>
        </w:rPr>
        <w:t>7、KPI规划与下半年工作任务</w:t>
      </w:r>
      <w:bookmarkEnd w:id="52"/>
    </w:p>
    <w:p>
      <w:pPr>
        <w:pStyle w:val="5"/>
        <w:bidi w:val="0"/>
        <w:outlineLvl w:val="1"/>
        <w:rPr>
          <w:rFonts w:hint="eastAsia"/>
          <w:lang w:val="en-US" w:eastAsia="zh-CN"/>
        </w:rPr>
      </w:pPr>
      <w:bookmarkStart w:id="59" w:name="_Toc1611166684"/>
      <w:r>
        <w:rPr>
          <w:rFonts w:hint="eastAsia"/>
          <w:lang w:val="en-US" w:eastAsia="zh-CN"/>
        </w:rPr>
        <w:t>7.1、KPI规划</w:t>
      </w:r>
      <w:bookmarkEnd w:id="59"/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 提升IoT设备云连与直连接入效率，平均提高20%（定制类与特殊需求接入周期按照实际评估）；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2. IoT设备接入服务数量优化，平均降低至10%；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3. IoT设备接入服务资源消耗优化，根据设备数量动态降低资源消耗，平均降低至10%；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 降低设备接入服务开发BUG率，平均降到10%；</w:t>
      </w:r>
    </w:p>
    <w:p>
      <w:pPr>
        <w:pStyle w:val="5"/>
        <w:bidi w:val="0"/>
        <w:outlineLvl w:val="1"/>
        <w:rPr>
          <w:rFonts w:hint="default"/>
          <w:lang w:val="en-US" w:eastAsia="zh-CN"/>
        </w:rPr>
      </w:pPr>
      <w:bookmarkStart w:id="60" w:name="_Toc1257152965"/>
      <w:r>
        <w:rPr>
          <w:rFonts w:hint="default"/>
          <w:lang w:val="en-US" w:eastAsia="zh-CN"/>
        </w:rPr>
        <w:t>7.2、下半年工作</w:t>
      </w:r>
      <w:bookmarkEnd w:id="60"/>
      <w:r>
        <w:rPr>
          <w:rFonts w:hint="eastAsia"/>
          <w:lang w:val="en-US" w:eastAsia="zh-CN"/>
        </w:rPr>
        <w:t>任务</w:t>
      </w:r>
      <w:bookmarkStart w:id="61" w:name="_GoBack"/>
      <w:bookmarkEnd w:id="61"/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1. 河南临颍设备服务私有化部署评估、部署、联调；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2. 青岛城阳教育新增设备服务私有化部署支持；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3. 青岛城阳康养设备接入需求评估与私有化方案支持；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4. 无极县项目支持；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bookmarkEnd w:id="53"/>
    <w:bookmarkEnd w:id="54"/>
    <w:bookmarkEnd w:id="55"/>
    <w:bookmarkEnd w:id="56"/>
    <w:bookmarkEnd w:id="57"/>
    <w:bookmarkEnd w:id="58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D1E9C"/>
    <w:multiLevelType w:val="singleLevel"/>
    <w:tmpl w:val="E77D1E9C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1">
    <w:nsid w:val="0242440C"/>
    <w:multiLevelType w:val="multilevel"/>
    <w:tmpl w:val="0242440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D5B06"/>
    <w:multiLevelType w:val="multilevel"/>
    <w:tmpl w:val="611D5B06"/>
    <w:lvl w:ilvl="0" w:tentative="0">
      <w:start w:val="4"/>
      <w:numFmt w:val="decimal"/>
      <w:suff w:val="nothing"/>
      <w:lvlText w:val="%1 "/>
      <w:lvlJc w:val="left"/>
      <w:pPr>
        <w:ind w:left="0" w:firstLine="0"/>
      </w:pPr>
      <w:rPr>
        <w:rFonts w:hint="eastAsia" w:asciiTheme="minorEastAsia" w:hAnsiTheme="minorEastAsia" w:eastAsiaTheme="minorEastAsia"/>
        <w:sz w:val="24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Theme="minorEastAsia" w:hAnsiTheme="minorEastAsia" w:eastAsiaTheme="minorEastAsia"/>
        <w:b/>
      </w:rPr>
    </w:lvl>
    <w:lvl w:ilvl="2" w:tentative="0">
      <w:start w:val="1"/>
      <w:numFmt w:val="decimal"/>
      <w:pStyle w:val="3"/>
      <w:suff w:val="nothing"/>
      <w:lvlText w:val="%1.%2.%3 "/>
      <w:lvlJc w:val="left"/>
      <w:pPr>
        <w:ind w:left="667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142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142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142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142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142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142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AC7B48"/>
    <w:rsid w:val="2BEEA8E8"/>
    <w:rsid w:val="3ABF50C3"/>
    <w:rsid w:val="6EE7EC0C"/>
    <w:rsid w:val="7FED2924"/>
    <w:rsid w:val="DB9F9456"/>
    <w:rsid w:val="DD4F7E16"/>
    <w:rsid w:val="DEF75599"/>
    <w:rsid w:val="E7AC7B48"/>
    <w:rsid w:val="FBFD746D"/>
    <w:rsid w:val="FDD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Office_6.0.1.8148_F1E327BC-269C-435d-A152-05C5408002CA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2023-09-12T14:32:00Z</dcterms:created>
  <dc:creator>uuxia</dc:creator>
  <cp:lastModifiedBy>uuxia</cp:lastModifiedBy>
  <dcterms:modified xsi:type="dcterms:W3CDTF">2023-10-17T10:05:58Z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2052-6.0.1.8148</vt:lpwstr>
  </property>
  <property fmtid="{D5CDD505-2E9C-101B-9397-08002B2CF9AE}" pid="3" name="ICV">
    <vt:lpwstr>DF18334B27FBDDB484B4FE6436E5587D_41</vt:lpwstr>
  </property>
</Properties>
</file>