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Ростехнадзора от 14.11.2018 N 553</w:t>
              <w:br/>
              <w:t xml:space="preserve">(ред. от 08.07.2024)</w:t>
              <w:br/>
              <w:t xml:space="preserve">"Об утверждении федеральных норм и правил в области использования атомной энергии "Правила контроля металла оборудования и трубопроводов атомных энергетических установок при изготовлении и монтаже"</w:t>
              <w:br/>
              <w:t xml:space="preserve">(вместе с "НП-105-18. Федеральные нормы и правила...")</w:t>
              <w:br/>
              <w:t xml:space="preserve">(Зарегистрировано в Минюсте России 20.12.2018 N 53090)</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03.09.2024</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20 декабря 2018 г. N 53090</w:t>
      </w:r>
    </w:p>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ФЕДЕРАЛЬНАЯ СЛУЖБА ПО ЭКОЛОГИЧЕСКОМУ, ТЕХНОЛОГИЧЕСКОМУ</w:t>
      </w:r>
    </w:p>
    <w:p>
      <w:pPr>
        <w:pStyle w:val="2"/>
        <w:jc w:val="center"/>
      </w:pPr>
      <w:r>
        <w:rPr>
          <w:sz w:val="20"/>
        </w:rPr>
        <w:t xml:space="preserve">И АТОМНОМУ НАДЗОРУ</w:t>
      </w:r>
    </w:p>
    <w:p>
      <w:pPr>
        <w:pStyle w:val="2"/>
        <w:jc w:val="both"/>
      </w:pPr>
      <w:r>
        <w:rPr>
          <w:sz w:val="20"/>
        </w:rPr>
      </w:r>
    </w:p>
    <w:p>
      <w:pPr>
        <w:pStyle w:val="2"/>
        <w:jc w:val="center"/>
      </w:pPr>
      <w:r>
        <w:rPr>
          <w:sz w:val="20"/>
        </w:rPr>
        <w:t xml:space="preserve">ПРИКАЗ</w:t>
      </w:r>
    </w:p>
    <w:p>
      <w:pPr>
        <w:pStyle w:val="2"/>
        <w:jc w:val="center"/>
      </w:pPr>
      <w:r>
        <w:rPr>
          <w:sz w:val="20"/>
        </w:rPr>
        <w:t xml:space="preserve">от 14 ноября 2018 г. N 553</w:t>
      </w:r>
    </w:p>
    <w:p>
      <w:pPr>
        <w:pStyle w:val="2"/>
        <w:jc w:val="both"/>
      </w:pPr>
      <w:r>
        <w:rPr>
          <w:sz w:val="20"/>
        </w:rPr>
      </w:r>
    </w:p>
    <w:p>
      <w:pPr>
        <w:pStyle w:val="2"/>
        <w:jc w:val="center"/>
      </w:pPr>
      <w:r>
        <w:rPr>
          <w:sz w:val="20"/>
        </w:rPr>
        <w:t xml:space="preserve">ОБ УТВЕРЖДЕНИИ ФЕДЕРАЛЬНЫХ НОРМ И ПРАВИЛ</w:t>
      </w:r>
    </w:p>
    <w:p>
      <w:pPr>
        <w:pStyle w:val="2"/>
        <w:jc w:val="center"/>
      </w:pPr>
      <w:r>
        <w:rPr>
          <w:sz w:val="20"/>
        </w:rPr>
        <w:t xml:space="preserve">В ОБЛАСТИ ИСПОЛЬЗОВАНИЯ АТОМНОЙ ЭНЕРГИИ "ПРАВИЛА КОНТРОЛЯ</w:t>
      </w:r>
    </w:p>
    <w:p>
      <w:pPr>
        <w:pStyle w:val="2"/>
        <w:jc w:val="center"/>
      </w:pPr>
      <w:r>
        <w:rPr>
          <w:sz w:val="20"/>
        </w:rPr>
        <w:t xml:space="preserve">МЕТАЛЛА ОБОРУДОВАНИЯ И ТРУБОПРОВОДОВ АТОМНЫХ ЭНЕРГЕТИЧЕСКИХ</w:t>
      </w:r>
    </w:p>
    <w:p>
      <w:pPr>
        <w:pStyle w:val="2"/>
        <w:jc w:val="center"/>
      </w:pPr>
      <w:r>
        <w:rPr>
          <w:sz w:val="20"/>
        </w:rPr>
        <w:t xml:space="preserve">УСТАНОВОК ПРИ ИЗГОТОВЛЕНИИ И МОНТАЖЕ"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7"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color w:val="392c69"/>
              </w:rPr>
              <w:t xml:space="preserve"> Ростехнадзора от 08.07.2024 N 211)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В соответствии со </w:t>
      </w:r>
      <w:hyperlink w:history="0" r:id="rId8" w:tooltip="Федеральный закон от 21.11.1995 N 170-ФЗ (ред. от 28.06.2022) &quot;Об использовании атомной энергии&quot; {КонсультантПлюс}">
        <w:r>
          <w:rPr>
            <w:sz w:val="20"/>
            <w:color w:val="0000ff"/>
          </w:rPr>
          <w:t xml:space="preserve">статьей 6</w:t>
        </w:r>
      </w:hyperlink>
      <w:r>
        <w:rPr>
          <w:sz w:val="20"/>
        </w:rPr>
        <w:t xml:space="preserve"> Федерального закона от 21 ноября 1995 г. N 170-ФЗ "Об использовании атомной энергии" (Собрание законодательства Российской Федерации, 1995, N 48, ст. 4552; 1997, N 7, ст. 808; 2001, N 29, ст. 2949; 2002, N 1, ст. 2; N 13, ст. 1180; 2003, N 46, ст. 4436; 2004, N 35, ст. 3607; 2006, N 52, ст. 5498; 2007, N 7, ст. 834; N 49, ст. 6079; 2008, N 29, ст. 3418; N 30, ст. 3616; 2009, N 1, ст. 17; N 52, ст. 6450; 2011, N 29, ст. 4281; N 30, ст. 4590, ст. 4596; N 45, ст. 6333; N 48, ст. 6732; N 49, ст. 7025; 2012, N 26, ст. 3446; 2013, N 27, ст. 3451; 2016, N 14, ст. 1904; N 15, ст. 2066; N 27, ст. 4289; 2018, N 22, ст. 3042; N 32, ст. 5135), </w:t>
      </w:r>
      <w:hyperlink w:history="0" r:id="rId9" w:tooltip="Постановление Правительства РФ от 30.07.2004 N 401 (ред. от 31.10.2023) &quot;О Федеральной службе по экологическому, технологическому и атомному надзору&quot; ------------ Недействующая редакция {КонсультантПлюс}">
        <w:r>
          <w:rPr>
            <w:sz w:val="20"/>
            <w:color w:val="0000ff"/>
          </w:rPr>
          <w:t xml:space="preserve">подпунктом 5.2.2.1 пункта 5</w:t>
        </w:r>
      </w:hyperlink>
      <w:r>
        <w:rPr>
          <w:sz w:val="20"/>
        </w:rP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2006, N 5, ст. 544; N 23, ст. 2527; N 52, ст. 5587; 2008, N 22, ст. 2581; N 46, ст. 5337; 2009, N 6, ст. 738; N 33, ст. 4081; N 49, ст. 5976; 2010, N 9, ст. 960; N 26, ст. 3350; N 38, ст. 4835; 2011, N 6, ст. 888; N 14, ст. 1935; N 41, ст. 5750; N 50, ст. 7385; 2012, N 29, ст. 4123; N 42, ст. 5726; 2013, N 12, ст. 1343; N 45, ст. 5822; 2014, N 2, ст. 108; N 35, ст. 4773; 2015, N 2, ст. 491; N 4, ст. 661; 2016, N 28, ст. 4741; N 48, ст. 6789; 2017, N 12, ст. 1729; N 26, ст. 3847; 2018, N 29, ст. 4438), приказываю:</w:t>
      </w:r>
    </w:p>
    <w:p>
      <w:pPr>
        <w:pStyle w:val="0"/>
        <w:spacing w:before="200" w:line-rule="auto"/>
        <w:ind w:firstLine="540"/>
        <w:jc w:val="both"/>
      </w:pPr>
      <w:r>
        <w:rPr>
          <w:sz w:val="20"/>
        </w:rPr>
        <w:t xml:space="preserve">Утвердить прилагаемые федеральные </w:t>
      </w:r>
      <w:hyperlink w:history="0" w:anchor="P33" w:tooltip="ФЕДЕРАЛЬНЫЕ НОРМЫ И ПРАВИЛА">
        <w:r>
          <w:rPr>
            <w:sz w:val="20"/>
            <w:color w:val="0000ff"/>
          </w:rPr>
          <w:t xml:space="preserve">нормы и правила</w:t>
        </w:r>
      </w:hyperlink>
      <w:r>
        <w:rPr>
          <w:sz w:val="20"/>
        </w:rPr>
        <w:t xml:space="preserve"> в области использования атомной энергии "Правила контроля металла оборудования и трубопроводов атомных энергетических установок при изготовлении и монтаже" (НП-105-18).</w:t>
      </w:r>
    </w:p>
    <w:p>
      <w:pPr>
        <w:pStyle w:val="0"/>
        <w:jc w:val="both"/>
      </w:pPr>
      <w:r>
        <w:rPr>
          <w:sz w:val="20"/>
        </w:rPr>
      </w:r>
    </w:p>
    <w:p>
      <w:pPr>
        <w:pStyle w:val="0"/>
        <w:jc w:val="right"/>
      </w:pPr>
      <w:r>
        <w:rPr>
          <w:sz w:val="20"/>
        </w:rPr>
        <w:t xml:space="preserve">Руководитель</w:t>
      </w:r>
    </w:p>
    <w:p>
      <w:pPr>
        <w:pStyle w:val="0"/>
        <w:jc w:val="right"/>
      </w:pPr>
      <w:r>
        <w:rPr>
          <w:sz w:val="20"/>
        </w:rPr>
        <w:t xml:space="preserve">А.В.АЛЕШИН</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Утверждены</w:t>
      </w:r>
    </w:p>
    <w:p>
      <w:pPr>
        <w:pStyle w:val="0"/>
        <w:jc w:val="right"/>
      </w:pPr>
      <w:r>
        <w:rPr>
          <w:sz w:val="20"/>
        </w:rPr>
        <w:t xml:space="preserve">приказом Федеральной службы</w:t>
      </w:r>
    </w:p>
    <w:p>
      <w:pPr>
        <w:pStyle w:val="0"/>
        <w:jc w:val="right"/>
      </w:pPr>
      <w:r>
        <w:rPr>
          <w:sz w:val="20"/>
        </w:rPr>
        <w:t xml:space="preserve">по экологическому, технологическому</w:t>
      </w:r>
    </w:p>
    <w:p>
      <w:pPr>
        <w:pStyle w:val="0"/>
        <w:jc w:val="right"/>
      </w:pPr>
      <w:r>
        <w:rPr>
          <w:sz w:val="20"/>
        </w:rPr>
        <w:t xml:space="preserve">и атомному надзору</w:t>
      </w:r>
    </w:p>
    <w:p>
      <w:pPr>
        <w:pStyle w:val="0"/>
        <w:jc w:val="right"/>
      </w:pPr>
      <w:r>
        <w:rPr>
          <w:sz w:val="20"/>
        </w:rPr>
        <w:t xml:space="preserve">от 14 ноября 2018 г. N 553</w:t>
      </w:r>
    </w:p>
    <w:p>
      <w:pPr>
        <w:pStyle w:val="0"/>
        <w:jc w:val="both"/>
      </w:pPr>
      <w:r>
        <w:rPr>
          <w:sz w:val="20"/>
        </w:rPr>
      </w:r>
    </w:p>
    <w:bookmarkStart w:id="33" w:name="P33"/>
    <w:bookmarkEnd w:id="33"/>
    <w:p>
      <w:pPr>
        <w:pStyle w:val="2"/>
        <w:jc w:val="center"/>
      </w:pPr>
      <w:r>
        <w:rPr>
          <w:sz w:val="20"/>
        </w:rPr>
        <w:t xml:space="preserve">ФЕДЕРАЛЬНЫЕ НОРМЫ И ПРАВИЛА</w:t>
      </w:r>
    </w:p>
    <w:p>
      <w:pPr>
        <w:pStyle w:val="2"/>
        <w:jc w:val="center"/>
      </w:pPr>
      <w:r>
        <w:rPr>
          <w:sz w:val="20"/>
        </w:rPr>
        <w:t xml:space="preserve">В ОБЛАСТИ ИСПОЛЬЗОВАНИЯ АТОМНОЙ ЭНЕРГИИ "ПРАВИЛА КОНТРОЛЯ</w:t>
      </w:r>
    </w:p>
    <w:p>
      <w:pPr>
        <w:pStyle w:val="2"/>
        <w:jc w:val="center"/>
      </w:pPr>
      <w:r>
        <w:rPr>
          <w:sz w:val="20"/>
        </w:rPr>
        <w:t xml:space="preserve">МЕТАЛЛА ОБОРУДОВАНИЯ И ТРУБОПРОВОДОВ АТОМНЫХ ЭНЕРГЕТИЧЕСКИХ</w:t>
      </w:r>
    </w:p>
    <w:p>
      <w:pPr>
        <w:pStyle w:val="2"/>
        <w:jc w:val="center"/>
      </w:pPr>
      <w:r>
        <w:rPr>
          <w:sz w:val="20"/>
        </w:rPr>
        <w:t xml:space="preserve">УСТАНОВОК ПРИ ИЗГОТОВЛЕНИИ И МОНТАЖЕ"</w:t>
      </w:r>
    </w:p>
    <w:p>
      <w:pPr>
        <w:pStyle w:val="2"/>
        <w:jc w:val="center"/>
      </w:pPr>
      <w:r>
        <w:rPr>
          <w:sz w:val="20"/>
        </w:rPr>
        <w:t xml:space="preserve">(НП-105-18)</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0"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color w:val="392c69"/>
              </w:rPr>
              <w:t xml:space="preserve"> Ростехнадзора от 08.07.2024 N 211)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1"/>
        <w:jc w:val="center"/>
      </w:pPr>
      <w:r>
        <w:rPr>
          <w:sz w:val="20"/>
        </w:rPr>
        <w:t xml:space="preserve">I. Назначение и область применения</w:t>
      </w:r>
    </w:p>
    <w:p>
      <w:pPr>
        <w:pStyle w:val="0"/>
        <w:jc w:val="both"/>
      </w:pPr>
      <w:r>
        <w:rPr>
          <w:sz w:val="20"/>
        </w:rPr>
      </w:r>
    </w:p>
    <w:p>
      <w:pPr>
        <w:pStyle w:val="0"/>
        <w:ind w:firstLine="540"/>
        <w:jc w:val="both"/>
      </w:pPr>
      <w:r>
        <w:rPr>
          <w:sz w:val="20"/>
        </w:rPr>
        <w:t xml:space="preserve">1. Настоящие федеральные нормы и правила в области использования атомной энергии "Правила контроля металла оборудования и трубопроводов атомных энергетических установок при изготовлении и монтаже" (НП-105-18) (далее - Правила) разработаны в соответствии с Федеральным </w:t>
      </w:r>
      <w:hyperlink w:history="0" r:id="rId11" w:tooltip="Федеральный закон от 21.11.1995 N 170-ФЗ (ред. от 28.06.2022) &quot;Об использовании атомной энергии&quot; {КонсультантПлюс}">
        <w:r>
          <w:rPr>
            <w:sz w:val="20"/>
            <w:color w:val="0000ff"/>
          </w:rPr>
          <w:t xml:space="preserve">законом</w:t>
        </w:r>
      </w:hyperlink>
      <w:r>
        <w:rPr>
          <w:sz w:val="20"/>
        </w:rPr>
        <w:t xml:space="preserve"> от 21 ноября 1995 г. N 170-ФЗ "Об использовании атомной энергии", </w:t>
      </w:r>
      <w:hyperlink w:history="0" r:id="rId12" w:tooltip="Постановление Правительства РФ от 01.12.1997 N 1511 (ред. от 22.08.2023) &quot;Об утверждении Положения о разработке и утверждении федеральных норм и правил в области использования атомной энергии&quot; {КонсультантПлюс}">
        <w:r>
          <w:rPr>
            <w:sz w:val="20"/>
            <w:color w:val="0000ff"/>
          </w:rPr>
          <w:t xml:space="preserve">Положением</w:t>
        </w:r>
      </w:hyperlink>
      <w:r>
        <w:rPr>
          <w:sz w:val="20"/>
        </w:rPr>
        <w:t xml:space="preserve"> о разработке и утверждении федеральных норм и правил в области использования атомной энергии, утвержденным постановлением Правительства Российской Федерации от 1 декабря 1997 г. N 1511 (Собрание законодательства Российской Федерации, 1997, N 49, ст. 5600; 2012, N 51, ст. 7203).</w:t>
      </w:r>
    </w:p>
    <w:p>
      <w:pPr>
        <w:pStyle w:val="0"/>
        <w:spacing w:before="200" w:line-rule="auto"/>
        <w:ind w:firstLine="540"/>
        <w:jc w:val="both"/>
      </w:pPr>
      <w:r>
        <w:rPr>
          <w:sz w:val="20"/>
        </w:rPr>
        <w:t xml:space="preserve">2. Настоящие Правила устанавливают требования к контролю (порядок проведения, виды, объемы, методы, нормы оценки качества по результатам контроля) состояния основного металла, металла сварных соединений и металла наплавленных поверхностей (далее, если не оговорено особо, - металла) при конструировании, проектировании, изготовлении и монтаже указанных в </w:t>
      </w:r>
      <w:hyperlink w:history="0" w:anchor="P45" w:tooltip="3. При изготовлении и монтаже должен выполняться контроль состояния металла:">
        <w:r>
          <w:rPr>
            <w:sz w:val="20"/>
            <w:color w:val="0000ff"/>
          </w:rPr>
          <w:t xml:space="preserve">пункте 3</w:t>
        </w:r>
      </w:hyperlink>
      <w:r>
        <w:rPr>
          <w:sz w:val="20"/>
        </w:rPr>
        <w:t xml:space="preserve"> настоящих Правил оборудования и трубопроводов атомных энергетических установок.</w:t>
      </w:r>
    </w:p>
    <w:bookmarkStart w:id="45" w:name="P45"/>
    <w:bookmarkEnd w:id="45"/>
    <w:p>
      <w:pPr>
        <w:pStyle w:val="0"/>
        <w:spacing w:before="200" w:line-rule="auto"/>
        <w:ind w:firstLine="540"/>
        <w:jc w:val="both"/>
      </w:pPr>
      <w:r>
        <w:rPr>
          <w:sz w:val="20"/>
        </w:rPr>
        <w:t xml:space="preserve">3. При изготовлении и монтаже должен выполняться контроль состояния металла:</w:t>
      </w:r>
    </w:p>
    <w:bookmarkStart w:id="46" w:name="P46"/>
    <w:bookmarkEnd w:id="46"/>
    <w:p>
      <w:pPr>
        <w:pStyle w:val="0"/>
        <w:spacing w:before="200" w:line-rule="auto"/>
        <w:ind w:firstLine="540"/>
        <w:jc w:val="both"/>
      </w:pPr>
      <w:r>
        <w:rPr>
          <w:sz w:val="20"/>
        </w:rPr>
        <w:t xml:space="preserve">а) оборудования и трубопроводов, на которые распространяется действие федеральных </w:t>
      </w:r>
      <w:hyperlink w:history="0" r:id="rId13" w:tooltip="Приказ Ростехнадзора от 17.12.2015 N 521 (ред. от 19.11.2019) &quot;Об утверждении федеральных норм и правил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вместе с &quot;НП-089-15. Федеральные нормы и правила...&quot;) (Зарегистрировано в Минюсте России 09.02.2016 N 41010) {КонсультантПлюс}">
        <w:r>
          <w:rPr>
            <w:sz w:val="20"/>
            <w:color w:val="0000ff"/>
          </w:rPr>
          <w:t xml:space="preserve">норм и правил</w:t>
        </w:r>
      </w:hyperlink>
      <w:r>
        <w:rPr>
          <w:sz w:val="20"/>
        </w:rPr>
        <w:t xml:space="preserve"> в области использования атомной энергии "Правила устройства и безопасной эксплуатации оборудования и трубопроводов атомных энергетических установок" (НП-089-15), утвержденных приказом Федеральной службы по экологическому, технологическому и атомному надзору от 16 декабря 2015 г. N 521 и зарегистрированных Минюстом России 9 февраля 2015 г. N 41010 (далее - НП-089-15);</w:t>
      </w:r>
    </w:p>
    <w:bookmarkStart w:id="47" w:name="P47"/>
    <w:bookmarkEnd w:id="47"/>
    <w:p>
      <w:pPr>
        <w:pStyle w:val="0"/>
        <w:spacing w:before="200" w:line-rule="auto"/>
        <w:ind w:firstLine="540"/>
        <w:jc w:val="both"/>
      </w:pPr>
      <w:r>
        <w:rPr>
          <w:sz w:val="20"/>
        </w:rPr>
        <w:t xml:space="preserve">б) оборудования и трубопроводов, работающих под избыточным, гидростатическим или вакуумметрическим давлением и отнесенных к элементам третьего класса безопасности, на которые не распространяется действие </w:t>
      </w:r>
      <w:hyperlink w:history="0" r:id="rId14" w:tooltip="Приказ Ростехнадзора от 17.12.2015 N 521 (ред. от 19.11.2019) &quot;Об утверждении федеральных норм и правил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вместе с &quot;НП-089-15. Федеральные нормы и правила...&quot;) (Зарегистрировано в Минюсте России 09.02.2016 N 41010) {КонсультантПлюс}">
        <w:r>
          <w:rPr>
            <w:sz w:val="20"/>
            <w:color w:val="0000ff"/>
          </w:rPr>
          <w:t xml:space="preserve">НП-089-15</w:t>
        </w:r>
      </w:hyperlink>
      <w:r>
        <w:rPr>
          <w:sz w:val="20"/>
        </w:rPr>
        <w:t xml:space="preserve">;</w:t>
      </w:r>
    </w:p>
    <w:p>
      <w:pPr>
        <w:pStyle w:val="0"/>
        <w:spacing w:before="200" w:line-rule="auto"/>
        <w:ind w:firstLine="540"/>
        <w:jc w:val="both"/>
      </w:pPr>
      <w:r>
        <w:rPr>
          <w:sz w:val="20"/>
        </w:rPr>
        <w:t xml:space="preserve">в) опор, подвесок, крепежных изделий оборудования и трубопроводов, указанных в </w:t>
      </w:r>
      <w:hyperlink w:history="0" w:anchor="P46" w:tooltip="а) оборудования и трубопроводов, на которые распространяется действие федеральных норм и правил в области использования атомной энергии &quot;Правила устройства и безопасной эксплуатации оборудования и трубопроводов атомных энергетических установок&quot; (НП-089-15), утвержденных приказом Федеральной службы по экологическому, технологическому и атомному надзору от 16 декабря 2015 г. N 521 и зарегистрированных Минюстом России 9 февраля 2015 г. N 41010 (далее - НП-089-15);">
        <w:r>
          <w:rPr>
            <w:sz w:val="20"/>
            <w:color w:val="0000ff"/>
          </w:rPr>
          <w:t xml:space="preserve">подпунктах "а"</w:t>
        </w:r>
      </w:hyperlink>
      <w:r>
        <w:rPr>
          <w:sz w:val="20"/>
        </w:rPr>
        <w:t xml:space="preserve"> и </w:t>
      </w:r>
      <w:hyperlink w:history="0" w:anchor="P47" w:tooltip="б) оборудования и трубопроводов, работающих под избыточным, гидростатическим или вакуумметрическим давлением и отнесенных к элементам третьего класса безопасности, на которые не распространяется действие НП-089-15;">
        <w:r>
          <w:rPr>
            <w:sz w:val="20"/>
            <w:color w:val="0000ff"/>
          </w:rPr>
          <w:t xml:space="preserve">"б"</w:t>
        </w:r>
      </w:hyperlink>
      <w:r>
        <w:rPr>
          <w:sz w:val="20"/>
        </w:rPr>
        <w:t xml:space="preserve"> настоящего пункта;</w:t>
      </w:r>
    </w:p>
    <w:p>
      <w:pPr>
        <w:pStyle w:val="0"/>
        <w:spacing w:before="200" w:line-rule="auto"/>
        <w:ind w:firstLine="540"/>
        <w:jc w:val="both"/>
      </w:pPr>
      <w:r>
        <w:rPr>
          <w:sz w:val="20"/>
        </w:rPr>
        <w:t xml:space="preserve">г) внутрикорпусных устройств водо-водяных реакторов и реакторов на быстрых нейтронах;</w:t>
      </w:r>
    </w:p>
    <w:p>
      <w:pPr>
        <w:pStyle w:val="0"/>
        <w:spacing w:before="200" w:line-rule="auto"/>
        <w:ind w:firstLine="540"/>
        <w:jc w:val="both"/>
      </w:pPr>
      <w:r>
        <w:rPr>
          <w:sz w:val="20"/>
        </w:rPr>
        <w:t xml:space="preserve">д) металлоконструкций бассейнов выдержки, бассейнов перегрузки и хранения отработавшего ядерного топлива атомных энергетических установок.</w:t>
      </w:r>
    </w:p>
    <w:p>
      <w:pPr>
        <w:pStyle w:val="0"/>
        <w:spacing w:before="200" w:line-rule="auto"/>
        <w:ind w:firstLine="540"/>
        <w:jc w:val="both"/>
      </w:pPr>
      <w:r>
        <w:rPr>
          <w:sz w:val="20"/>
        </w:rPr>
        <w:t xml:space="preserve">3(1). Требования настоящих Правил не распространяются на корпус реакторного блока атомных энергетических установок с реактором на быстрых нейтронах с жидкометаллическим свинцовым теплоносителем, внутрикорпусные устройства (включая элементы активной зоны), оборудование и трубопроводы контура циркуляции свинцового теплоносителя, находящиеся в контакте со свинцовым теплоносителем и (или) защитным газом до первой отсечной арматуры, а также оборудование и трубопроводы второго пароводяного контура от парогенератора до второй со стороны парогенератора арматуры (отсечной или обратной).</w:t>
      </w:r>
    </w:p>
    <w:p>
      <w:pPr>
        <w:pStyle w:val="0"/>
        <w:jc w:val="both"/>
      </w:pPr>
      <w:r>
        <w:rPr>
          <w:sz w:val="20"/>
        </w:rPr>
        <w:t xml:space="preserve">(п. 3(1) введен </w:t>
      </w:r>
      <w:hyperlink w:history="0" r:id="rId15"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Приказом</w:t>
        </w:r>
      </w:hyperlink>
      <w:r>
        <w:rPr>
          <w:sz w:val="20"/>
        </w:rPr>
        <w:t xml:space="preserve"> Ростехнадзора от 08.07.2024 N 211)</w:t>
      </w:r>
    </w:p>
    <w:p>
      <w:pPr>
        <w:pStyle w:val="0"/>
        <w:spacing w:before="200" w:line-rule="auto"/>
        <w:ind w:firstLine="540"/>
        <w:jc w:val="both"/>
      </w:pPr>
      <w:r>
        <w:rPr>
          <w:sz w:val="20"/>
        </w:rPr>
        <w:t xml:space="preserve">4. Организация-изготовитель и (или) монтажная организация должны контролировать состояние металла оборудования и трубопроводов в соответствии с технологической документацией на проведение контроля, разработанной с учетом требований конструкторской документации.</w:t>
      </w:r>
    </w:p>
    <w:p>
      <w:pPr>
        <w:pStyle w:val="0"/>
        <w:spacing w:before="200" w:line-rule="auto"/>
        <w:ind w:firstLine="540"/>
        <w:jc w:val="both"/>
      </w:pPr>
      <w:r>
        <w:rPr>
          <w:sz w:val="20"/>
        </w:rPr>
        <w:t xml:space="preserve">5. Конструкторская документация в части, относящейся к контролю состояния металла, подлежит оценке соответствия в форме экспертизы.</w:t>
      </w:r>
    </w:p>
    <w:p>
      <w:pPr>
        <w:pStyle w:val="0"/>
        <w:spacing w:before="200" w:line-rule="auto"/>
        <w:ind w:firstLine="540"/>
        <w:jc w:val="both"/>
      </w:pPr>
      <w:r>
        <w:rPr>
          <w:sz w:val="20"/>
        </w:rPr>
        <w:t xml:space="preserve">6. Технологическая документация на проведение контроля (далее - технологическая документация) оборудования, деталей и сборочных единиц трубопроводов, изготовленных (смонтированных) до вступления в силу настоящих Правил или находящихся в изготовлении (монтаже) на момент их вступления в силу, переработке не подлежит.</w:t>
      </w:r>
    </w:p>
    <w:p>
      <w:pPr>
        <w:pStyle w:val="0"/>
        <w:spacing w:before="200" w:line-rule="auto"/>
        <w:ind w:firstLine="540"/>
        <w:jc w:val="both"/>
      </w:pPr>
      <w:r>
        <w:rPr>
          <w:sz w:val="20"/>
        </w:rPr>
        <w:t xml:space="preserve">7. Контроль состояния металла оборудования и трубопроводов при изготовлении и монтаже должен выполняться персоналом, прошедшим соответствующую теоретическую и практическую подготовку и допущенным к самостоятельной работе в порядке, установленном </w:t>
      </w:r>
      <w:hyperlink w:history="0" r:id="rId16" w:tooltip="&quot;ГОСТ Р 50.05.11-2018. Национальный стандарт Российской Федерации. Система оценки соответствия в области использования атомной энергии. Персонал, выполняющий неразрушающий и разрушающий контроль металла. Требования и порядок подтверждения компетентности&quot; (утв. и введен в действие Приказом Росстандарта от 06.03.2018 N 122-ст) {КонсультантПлюс}">
        <w:r>
          <w:rPr>
            <w:sz w:val="20"/>
            <w:color w:val="0000ff"/>
          </w:rPr>
          <w:t xml:space="preserve">ГОСТ Р-50.05.11-2018</w:t>
        </w:r>
      </w:hyperlink>
      <w:r>
        <w:rPr>
          <w:sz w:val="20"/>
        </w:rPr>
        <w:t xml:space="preserve"> "Система оценки соответствия в области использования атомной энергии. Персонал, выполняющий неразрушающий и разрушающий контроль металла. Требования и порядок подтверждения компетентности", утвержденным </w:t>
      </w:r>
      <w:hyperlink w:history="0" r:id="rId17" w:tooltip="Приказ Росстандарта от 06.03.2018 N 122-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6 марта 2018 г. N 122-ст (Стандартинформ, 2018).</w:t>
      </w:r>
    </w:p>
    <w:p>
      <w:pPr>
        <w:pStyle w:val="0"/>
        <w:spacing w:before="200" w:line-rule="auto"/>
        <w:ind w:firstLine="540"/>
        <w:jc w:val="both"/>
      </w:pPr>
      <w:r>
        <w:rPr>
          <w:sz w:val="20"/>
        </w:rPr>
        <w:t xml:space="preserve">8. Используемые термины и определения приведены в </w:t>
      </w:r>
      <w:hyperlink w:history="0" w:anchor="P805" w:tooltip="ТЕРМИНЫ И ОПРЕДЕЛЕНИЯ">
        <w:r>
          <w:rPr>
            <w:sz w:val="20"/>
            <w:color w:val="0000ff"/>
          </w:rPr>
          <w:t xml:space="preserve">приложении N 1</w:t>
        </w:r>
      </w:hyperlink>
      <w:r>
        <w:rPr>
          <w:sz w:val="20"/>
        </w:rPr>
        <w:t xml:space="preserve"> к настоящим Правилам.</w:t>
      </w:r>
    </w:p>
    <w:p>
      <w:pPr>
        <w:pStyle w:val="0"/>
        <w:jc w:val="both"/>
      </w:pPr>
      <w:r>
        <w:rPr>
          <w:sz w:val="20"/>
        </w:rPr>
      </w:r>
    </w:p>
    <w:p>
      <w:pPr>
        <w:pStyle w:val="2"/>
        <w:outlineLvl w:val="1"/>
        <w:jc w:val="center"/>
      </w:pPr>
      <w:r>
        <w:rPr>
          <w:sz w:val="20"/>
        </w:rPr>
        <w:t xml:space="preserve">II. Общие требования к контролю</w:t>
      </w:r>
    </w:p>
    <w:p>
      <w:pPr>
        <w:pStyle w:val="0"/>
        <w:jc w:val="both"/>
      </w:pPr>
      <w:r>
        <w:rPr>
          <w:sz w:val="20"/>
        </w:rPr>
      </w:r>
    </w:p>
    <w:p>
      <w:pPr>
        <w:pStyle w:val="0"/>
        <w:ind w:firstLine="540"/>
        <w:jc w:val="both"/>
      </w:pPr>
      <w:r>
        <w:rPr>
          <w:sz w:val="20"/>
        </w:rPr>
        <w:t xml:space="preserve">9. Контроль состояния металла оборудования и трубопроводов при изготовлении и монтаже должен проводиться для:</w:t>
      </w:r>
    </w:p>
    <w:p>
      <w:pPr>
        <w:pStyle w:val="0"/>
        <w:spacing w:before="200" w:line-rule="auto"/>
        <w:ind w:firstLine="540"/>
        <w:jc w:val="both"/>
      </w:pPr>
      <w:r>
        <w:rPr>
          <w:sz w:val="20"/>
        </w:rPr>
        <w:t xml:space="preserve">а) выявления несплошностей металла;</w:t>
      </w:r>
    </w:p>
    <w:p>
      <w:pPr>
        <w:pStyle w:val="0"/>
        <w:spacing w:before="200" w:line-rule="auto"/>
        <w:ind w:firstLine="540"/>
        <w:jc w:val="both"/>
      </w:pPr>
      <w:r>
        <w:rPr>
          <w:sz w:val="20"/>
        </w:rPr>
        <w:t xml:space="preserve">б) определения механических характеристик металла;</w:t>
      </w:r>
    </w:p>
    <w:p>
      <w:pPr>
        <w:pStyle w:val="0"/>
        <w:spacing w:before="200" w:line-rule="auto"/>
        <w:ind w:firstLine="540"/>
        <w:jc w:val="both"/>
      </w:pPr>
      <w:r>
        <w:rPr>
          <w:sz w:val="20"/>
        </w:rPr>
        <w:t xml:space="preserve">в) определения химического состава и структуры металла;</w:t>
      </w:r>
    </w:p>
    <w:p>
      <w:pPr>
        <w:pStyle w:val="0"/>
        <w:spacing w:before="200" w:line-rule="auto"/>
        <w:ind w:firstLine="540"/>
        <w:jc w:val="both"/>
      </w:pPr>
      <w:r>
        <w:rPr>
          <w:sz w:val="20"/>
        </w:rPr>
        <w:t xml:space="preserve">г) определения геометрических размеров сварных соединений и наплавленных поверхностей.</w:t>
      </w:r>
    </w:p>
    <w:p>
      <w:pPr>
        <w:pStyle w:val="0"/>
        <w:spacing w:before="200" w:line-rule="auto"/>
        <w:ind w:firstLine="540"/>
        <w:jc w:val="both"/>
      </w:pPr>
      <w:r>
        <w:rPr>
          <w:sz w:val="20"/>
        </w:rPr>
        <w:t xml:space="preserve">10. Результаты контроля должны фиксироваться в учетной и отчетной документации организации-изготовителя и (или) монтажной организации.</w:t>
      </w:r>
    </w:p>
    <w:p>
      <w:pPr>
        <w:pStyle w:val="0"/>
        <w:spacing w:before="200" w:line-rule="auto"/>
        <w:ind w:firstLine="540"/>
        <w:jc w:val="both"/>
      </w:pPr>
      <w:r>
        <w:rPr>
          <w:sz w:val="20"/>
        </w:rPr>
        <w:t xml:space="preserve">11. Контроль состояния металла должен выполняться неразрушающими и разрушающими методами.</w:t>
      </w:r>
    </w:p>
    <w:p>
      <w:pPr>
        <w:pStyle w:val="0"/>
        <w:spacing w:before="200" w:line-rule="auto"/>
        <w:ind w:firstLine="540"/>
        <w:jc w:val="both"/>
      </w:pPr>
      <w:r>
        <w:rPr>
          <w:sz w:val="20"/>
        </w:rPr>
        <w:t xml:space="preserve">12. Объемы, зоны и методы контроля состояния металла должны указываться в конструкторской документации.</w:t>
      </w:r>
    </w:p>
    <w:p>
      <w:pPr>
        <w:pStyle w:val="0"/>
        <w:spacing w:before="200" w:line-rule="auto"/>
        <w:ind w:firstLine="540"/>
        <w:jc w:val="both"/>
      </w:pPr>
      <w:r>
        <w:rPr>
          <w:sz w:val="20"/>
        </w:rPr>
        <w:t xml:space="preserve">13. Дефекты металла деталей и сборочных единиц оборудования и трубопроводов устраняются в порядке, установленном документами по стандартизации на основной металл и федеральными нормами и правилами в области использования атомной энергии "</w:t>
      </w:r>
      <w:hyperlink w:history="0" r:id="rId18" w:tooltip="Приказ Ростехнадзора от 14.11.2018 N 554 (ред. от 08.07.2024) &quot;Об утверждении федеральных норм и правил в области использования атомной энергии &quot;Сварка и наплавка оборудования и трубопроводов атомных энергетических установок&quot; (вместе с &quot;НП-104-18. Федеральные нормы и правила...&quot;) (Зарегистрировано в Минюсте России 25.12.2018 N 53156) {КонсультантПлюс}">
        <w:r>
          <w:rPr>
            <w:sz w:val="20"/>
            <w:color w:val="0000ff"/>
          </w:rPr>
          <w:t xml:space="preserve">Сварка и наплавка</w:t>
        </w:r>
      </w:hyperlink>
      <w:r>
        <w:rPr>
          <w:sz w:val="20"/>
        </w:rPr>
        <w:t xml:space="preserve"> оборудования и трубопроводов атомных энергетических установок" (НП-104-18), утвержденными приказом Федеральной службы по экологическому, технологическому и атомному надзору от 14 ноября 2018 г. N 554 (зарегистрирован Министерством юстиции Российской Федерации 25 декабря 2018 г., регистрационный N 53156), с изменениями, внесенными приказом Федеральной службы по экологическому, технологическому и атомному надзору от 16 декабря 2020 г. N 538 (зарегистрирован Министерством юстиции Российской Федерации 12 апреля 2021 г., регистрационный N 63104).</w:t>
      </w:r>
    </w:p>
    <w:p>
      <w:pPr>
        <w:pStyle w:val="0"/>
        <w:jc w:val="both"/>
      </w:pPr>
      <w:r>
        <w:rPr>
          <w:sz w:val="20"/>
        </w:rPr>
        <w:t xml:space="preserve">(в ред. </w:t>
      </w:r>
      <w:hyperlink w:history="0" r:id="rId19"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14. Трещины, отслоения, прожоги, свищи, наплывы, усадочные раковины, подрезы, непровары, скопления, неодиночные включения, брызги металла, выявленные при визуальном контроле сварных соединений и наплавочных поверхностей, не допускаются. На наплавленных поверхностях титановых сплавов не допускаются соломенные, коричневые или синие цвета побежалости.</w:t>
      </w:r>
    </w:p>
    <w:p>
      <w:pPr>
        <w:pStyle w:val="0"/>
        <w:spacing w:before="200" w:line-rule="auto"/>
        <w:ind w:firstLine="540"/>
        <w:jc w:val="both"/>
      </w:pPr>
      <w:r>
        <w:rPr>
          <w:sz w:val="20"/>
        </w:rPr>
        <w:t xml:space="preserve">15. Контроль состояния металла оборудования и трубопроводов, проведение которого после выполнения сборочных или монтажных операций ограничено или невозможно, должен быть выполнен до начала выполнения монтажа либо до завершения соответствующей монтажной операции.</w:t>
      </w:r>
    </w:p>
    <w:p>
      <w:pPr>
        <w:pStyle w:val="0"/>
        <w:jc w:val="both"/>
      </w:pPr>
      <w:r>
        <w:rPr>
          <w:sz w:val="20"/>
        </w:rPr>
      </w:r>
    </w:p>
    <w:p>
      <w:pPr>
        <w:pStyle w:val="2"/>
        <w:outlineLvl w:val="1"/>
        <w:jc w:val="center"/>
      </w:pPr>
      <w:r>
        <w:rPr>
          <w:sz w:val="20"/>
        </w:rPr>
        <w:t xml:space="preserve">III. Категории сварных соединений</w:t>
      </w:r>
    </w:p>
    <w:p>
      <w:pPr>
        <w:pStyle w:val="2"/>
        <w:jc w:val="center"/>
      </w:pPr>
      <w:r>
        <w:rPr>
          <w:sz w:val="20"/>
        </w:rPr>
        <w:t xml:space="preserve">(наплавленных поверхностей)</w:t>
      </w:r>
    </w:p>
    <w:p>
      <w:pPr>
        <w:pStyle w:val="0"/>
        <w:jc w:val="both"/>
      </w:pPr>
      <w:r>
        <w:rPr>
          <w:sz w:val="20"/>
        </w:rPr>
      </w:r>
    </w:p>
    <w:p>
      <w:pPr>
        <w:pStyle w:val="0"/>
        <w:ind w:firstLine="540"/>
        <w:jc w:val="both"/>
      </w:pPr>
      <w:r>
        <w:rPr>
          <w:sz w:val="20"/>
        </w:rPr>
        <w:t xml:space="preserve">16. Категории сварных соединений назначаются конструкторской (проектной) организацией согласно критериям, приведенным в </w:t>
      </w:r>
      <w:hyperlink w:history="0" w:anchor="P78" w:tooltip="17. Для сварных соединений оборудования и трубопроводов атомных энергетических установок с водо-водяными реакторами и реакторами канального типа устанавливаются следующие категории сварных соединений:">
        <w:r>
          <w:rPr>
            <w:sz w:val="20"/>
            <w:color w:val="0000ff"/>
          </w:rPr>
          <w:t xml:space="preserve">пунктах 17</w:t>
        </w:r>
      </w:hyperlink>
      <w:r>
        <w:rPr>
          <w:sz w:val="20"/>
        </w:rPr>
        <w:t xml:space="preserve"> - </w:t>
      </w:r>
      <w:hyperlink w:history="0" w:anchor="P109" w:tooltip="23. Категория IIIс устанавливается для сварных соединений:">
        <w:r>
          <w:rPr>
            <w:sz w:val="20"/>
            <w:color w:val="0000ff"/>
          </w:rPr>
          <w:t xml:space="preserve">23</w:t>
        </w:r>
      </w:hyperlink>
      <w:r>
        <w:rPr>
          <w:sz w:val="20"/>
        </w:rPr>
        <w:t xml:space="preserve"> настоящих Правил, и указываются в конструкторской (проектной) документации.</w:t>
      </w:r>
    </w:p>
    <w:bookmarkStart w:id="78" w:name="P78"/>
    <w:bookmarkEnd w:id="78"/>
    <w:p>
      <w:pPr>
        <w:pStyle w:val="0"/>
        <w:spacing w:before="200" w:line-rule="auto"/>
        <w:ind w:firstLine="540"/>
        <w:jc w:val="both"/>
      </w:pPr>
      <w:r>
        <w:rPr>
          <w:sz w:val="20"/>
        </w:rPr>
        <w:t xml:space="preserve">17. Для сварных соединений оборудования и трубопроводов атомных энергетических установок с водо-водяными реакторами и реакторами канального типа устанавливаются следующие категории сварных соединений:</w:t>
      </w:r>
    </w:p>
    <w:bookmarkStart w:id="79" w:name="P79"/>
    <w:bookmarkEnd w:id="79"/>
    <w:p>
      <w:pPr>
        <w:pStyle w:val="0"/>
        <w:spacing w:before="200" w:line-rule="auto"/>
        <w:ind w:firstLine="540"/>
        <w:jc w:val="both"/>
      </w:pPr>
      <w:r>
        <w:rPr>
          <w:sz w:val="20"/>
        </w:rPr>
        <w:t xml:space="preserve">а) I категория - сварные соединения оборудования и трубопроводов группы A;</w:t>
      </w:r>
    </w:p>
    <w:p>
      <w:pPr>
        <w:pStyle w:val="0"/>
        <w:spacing w:before="200" w:line-rule="auto"/>
        <w:ind w:firstLine="540"/>
        <w:jc w:val="both"/>
      </w:pPr>
      <w:r>
        <w:rPr>
          <w:sz w:val="20"/>
        </w:rPr>
        <w:t xml:space="preserve">б) II категория - сварные соединения оборудования и трубопроводов группы B, работающие в контакте с радиоактивным теплоносителем;</w:t>
      </w:r>
    </w:p>
    <w:p>
      <w:pPr>
        <w:pStyle w:val="0"/>
        <w:spacing w:before="200" w:line-rule="auto"/>
        <w:ind w:firstLine="540"/>
        <w:jc w:val="both"/>
      </w:pPr>
      <w:r>
        <w:rPr>
          <w:sz w:val="20"/>
        </w:rPr>
        <w:t xml:space="preserve">в) III категория - сварные соединения оборудования и трубопроводов группы B, не работающие в контакте с радиоактивным теплоносителем, а также сварные соединения оборудования и трубопроводов группы C.</w:t>
      </w:r>
    </w:p>
    <w:p>
      <w:pPr>
        <w:pStyle w:val="0"/>
        <w:spacing w:before="200" w:line-rule="auto"/>
        <w:ind w:firstLine="540"/>
        <w:jc w:val="both"/>
      </w:pPr>
      <w:r>
        <w:rPr>
          <w:sz w:val="20"/>
        </w:rPr>
        <w:t xml:space="preserve">18. Сварные соединения II и III категорий оборудования и трубопроводов атомных энергетических установок с водо-водяными реакторами и реакторами канального типа в зависимости от рабочего давления подразделяются на следующие подкатегории:</w:t>
      </w:r>
    </w:p>
    <w:p>
      <w:pPr>
        <w:pStyle w:val="0"/>
        <w:spacing w:before="200" w:line-rule="auto"/>
        <w:ind w:firstLine="540"/>
        <w:jc w:val="both"/>
      </w:pPr>
      <w:r>
        <w:rPr>
          <w:sz w:val="20"/>
        </w:rPr>
        <w:t xml:space="preserve">а) подкатегория IIа - сварные соединения, работающие под давлением свыше 5 МПа;</w:t>
      </w:r>
    </w:p>
    <w:p>
      <w:pPr>
        <w:pStyle w:val="0"/>
        <w:spacing w:before="200" w:line-rule="auto"/>
        <w:ind w:firstLine="540"/>
        <w:jc w:val="both"/>
      </w:pPr>
      <w:r>
        <w:rPr>
          <w:sz w:val="20"/>
        </w:rPr>
        <w:t xml:space="preserve">б) подкатегория IIв - сварные соединения, работающие под давлением до 5 МПа включительно;</w:t>
      </w:r>
    </w:p>
    <w:bookmarkStart w:id="85" w:name="P85"/>
    <w:bookmarkEnd w:id="85"/>
    <w:p>
      <w:pPr>
        <w:pStyle w:val="0"/>
        <w:spacing w:before="200" w:line-rule="auto"/>
        <w:ind w:firstLine="540"/>
        <w:jc w:val="both"/>
      </w:pPr>
      <w:r>
        <w:rPr>
          <w:sz w:val="20"/>
        </w:rPr>
        <w:t xml:space="preserve">в) подкатегория IIIа - сварные соединения, работающие под давлением свыше 5 МПа;</w:t>
      </w:r>
    </w:p>
    <w:p>
      <w:pPr>
        <w:pStyle w:val="0"/>
        <w:spacing w:before="200" w:line-rule="auto"/>
        <w:ind w:firstLine="540"/>
        <w:jc w:val="both"/>
      </w:pPr>
      <w:r>
        <w:rPr>
          <w:sz w:val="20"/>
        </w:rPr>
        <w:t xml:space="preserve">г) подкатегория IIIв - сварные соединения, работающие под давлением свыше 1,7 МПа до 5 МПа включительно;</w:t>
      </w:r>
    </w:p>
    <w:bookmarkStart w:id="87" w:name="P87"/>
    <w:bookmarkEnd w:id="87"/>
    <w:p>
      <w:pPr>
        <w:pStyle w:val="0"/>
        <w:spacing w:before="200" w:line-rule="auto"/>
        <w:ind w:firstLine="540"/>
        <w:jc w:val="both"/>
      </w:pPr>
      <w:r>
        <w:rPr>
          <w:sz w:val="20"/>
        </w:rPr>
        <w:t xml:space="preserve">д) подкатегория IIIс - сварные соединения, работающие под давлением до 1,7 МПа включительно и ниже атмосферного (под вакуумом).</w:t>
      </w:r>
    </w:p>
    <w:p>
      <w:pPr>
        <w:pStyle w:val="0"/>
        <w:jc w:val="both"/>
      </w:pPr>
      <w:r>
        <w:rPr>
          <w:sz w:val="20"/>
        </w:rPr>
        <w:t xml:space="preserve">(в ред. </w:t>
      </w:r>
      <w:hyperlink w:history="0" r:id="rId20"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19. Для сварных соединений оборудования и трубопроводов атомных энергетических установок с реакторами на быстрых нейтронах с жидкометаллическим натриевым теплоносителем устанавливаются следующие категории сварных соединений:</w:t>
      </w:r>
    </w:p>
    <w:bookmarkStart w:id="90" w:name="P90"/>
    <w:bookmarkEnd w:id="90"/>
    <w:p>
      <w:pPr>
        <w:pStyle w:val="0"/>
        <w:spacing w:before="200" w:line-rule="auto"/>
        <w:ind w:firstLine="540"/>
        <w:jc w:val="both"/>
      </w:pPr>
      <w:r>
        <w:rPr>
          <w:sz w:val="20"/>
        </w:rPr>
        <w:t xml:space="preserve">а) Iн категория - сварные соединения оборудования и трубопроводов группы A, а также группы B при наличии требований в конструкторской документации;</w:t>
      </w:r>
    </w:p>
    <w:p>
      <w:pPr>
        <w:pStyle w:val="0"/>
        <w:spacing w:before="200" w:line-rule="auto"/>
        <w:ind w:firstLine="540"/>
        <w:jc w:val="both"/>
      </w:pPr>
      <w:r>
        <w:rPr>
          <w:sz w:val="20"/>
        </w:rPr>
        <w:t xml:space="preserve">б) IIн категория - сварные соединения оборудования и трубопроводов группы B, работающие в контакте с жидкометаллическим теплоносителем и газом &lt;1&gt; (за исключением относящихся к Iн категории);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Под газом понимается аргон, используемый для наддува, и (или) пары теплоносителя.</w:t>
      </w:r>
    </w:p>
    <w:p>
      <w:pPr>
        <w:pStyle w:val="0"/>
        <w:jc w:val="both"/>
      </w:pPr>
      <w:r>
        <w:rPr>
          <w:sz w:val="20"/>
        </w:rPr>
      </w:r>
    </w:p>
    <w:p>
      <w:pPr>
        <w:pStyle w:val="0"/>
        <w:ind w:firstLine="540"/>
        <w:jc w:val="both"/>
      </w:pPr>
      <w:r>
        <w:rPr>
          <w:sz w:val="20"/>
        </w:rPr>
        <w:t xml:space="preserve">в) II категория - сварные соединения оборудования и трубопроводов группы B, не работающие в контакте с жидкометаллическим теплоносителем и газом;</w:t>
      </w:r>
    </w:p>
    <w:p>
      <w:pPr>
        <w:pStyle w:val="0"/>
        <w:spacing w:before="200" w:line-rule="auto"/>
        <w:ind w:firstLine="540"/>
        <w:jc w:val="both"/>
      </w:pPr>
      <w:r>
        <w:rPr>
          <w:sz w:val="20"/>
        </w:rPr>
        <w:t xml:space="preserve">г) III категория - сварные соединения оборудования и трубопроводов группы C.</w:t>
      </w:r>
    </w:p>
    <w:bookmarkStart w:id="97" w:name="P97"/>
    <w:bookmarkEnd w:id="97"/>
    <w:p>
      <w:pPr>
        <w:pStyle w:val="0"/>
        <w:spacing w:before="200" w:line-rule="auto"/>
        <w:ind w:firstLine="540"/>
        <w:jc w:val="both"/>
      </w:pPr>
      <w:r>
        <w:rPr>
          <w:sz w:val="20"/>
        </w:rPr>
        <w:t xml:space="preserve">20. Сварные соединения IIн и II категорий оборудования и трубопроводов атомных энергетических установок с реакторами на быстрых нейтронах с жидкометаллическим натриевым теплоносителем в зависимости от условий эксплуатации подразделяются на следующие подкатегории:</w:t>
      </w:r>
    </w:p>
    <w:p>
      <w:pPr>
        <w:pStyle w:val="0"/>
        <w:spacing w:before="200" w:line-rule="auto"/>
        <w:ind w:firstLine="540"/>
        <w:jc w:val="both"/>
      </w:pPr>
      <w:r>
        <w:rPr>
          <w:sz w:val="20"/>
        </w:rPr>
        <w:t xml:space="preserve">а) подкатегория IIна - сварные соединения, находящиеся в контакте с жидкометаллическим теплоносителем и (или) газом, работающие при температуре свыше 350 °C независимо от давления;</w:t>
      </w:r>
    </w:p>
    <w:p>
      <w:pPr>
        <w:pStyle w:val="0"/>
        <w:spacing w:before="200" w:line-rule="auto"/>
        <w:ind w:firstLine="540"/>
        <w:jc w:val="both"/>
      </w:pPr>
      <w:r>
        <w:rPr>
          <w:sz w:val="20"/>
        </w:rPr>
        <w:t xml:space="preserve">б) подкатегория IIнв - сварные соединения, находящиеся в контакте с жидкометаллическим теплоносителем и/или газом при температуре до 350 °C включительно независимо от давления (за исключением сварных соединений, относящихся к подкатегории IIнс);</w:t>
      </w:r>
    </w:p>
    <w:p>
      <w:pPr>
        <w:pStyle w:val="0"/>
        <w:spacing w:before="200" w:line-rule="auto"/>
        <w:ind w:firstLine="540"/>
        <w:jc w:val="both"/>
      </w:pPr>
      <w:r>
        <w:rPr>
          <w:sz w:val="20"/>
        </w:rPr>
        <w:t xml:space="preserve">в) подкатегория IIнс - сварные соединения, находящиеся в контакте с газом и работающие при давлении до 0,07 МПа включительно и температуре до 150 °C включительно;</w:t>
      </w:r>
    </w:p>
    <w:p>
      <w:pPr>
        <w:pStyle w:val="0"/>
        <w:spacing w:before="200" w:line-rule="auto"/>
        <w:ind w:firstLine="540"/>
        <w:jc w:val="both"/>
      </w:pPr>
      <w:r>
        <w:rPr>
          <w:sz w:val="20"/>
        </w:rPr>
        <w:t xml:space="preserve">г) подкатегория IIа - сварные соединения, не находящиеся в контакте с жидкометаллическим теплоносителем и газом, работающие при рабочем давлении свыше 2 МПа;</w:t>
      </w:r>
    </w:p>
    <w:p>
      <w:pPr>
        <w:pStyle w:val="0"/>
        <w:spacing w:before="200" w:line-rule="auto"/>
        <w:ind w:firstLine="540"/>
        <w:jc w:val="both"/>
      </w:pPr>
      <w:r>
        <w:rPr>
          <w:sz w:val="20"/>
        </w:rPr>
        <w:t xml:space="preserve">д) подкатегория IIв - сварные соединения, не находящиеся в контакте с жидкометаллическим теплоносителем, работающие при рабочем давлении до 2 МПа включительно.</w:t>
      </w:r>
    </w:p>
    <w:p>
      <w:pPr>
        <w:pStyle w:val="0"/>
        <w:spacing w:before="200" w:line-rule="auto"/>
        <w:ind w:firstLine="540"/>
        <w:jc w:val="both"/>
      </w:pPr>
      <w:r>
        <w:rPr>
          <w:sz w:val="20"/>
        </w:rPr>
        <w:t xml:space="preserve">Сварные соединения III категории подразделяются на подкатегории IIIа, IIIв и IIIс, идентичные подкатегориям, указанным в </w:t>
      </w:r>
      <w:hyperlink w:history="0" w:anchor="P85" w:tooltip="в) подкатегория IIIа - сварные соединения, работающие под давлением свыше 5 МПа;">
        <w:r>
          <w:rPr>
            <w:sz w:val="20"/>
            <w:color w:val="0000ff"/>
          </w:rPr>
          <w:t xml:space="preserve">подпунктах "в"</w:t>
        </w:r>
      </w:hyperlink>
      <w:r>
        <w:rPr>
          <w:sz w:val="20"/>
        </w:rPr>
        <w:t xml:space="preserve"> - </w:t>
      </w:r>
      <w:hyperlink w:history="0" w:anchor="P87" w:tooltip="д) подкатегория IIIс - сварные соединения, работающие под давлением до 1,7 МПа включительно и ниже атмосферного (под вакуумом).">
        <w:r>
          <w:rPr>
            <w:sz w:val="20"/>
            <w:color w:val="0000ff"/>
          </w:rPr>
          <w:t xml:space="preserve">"д" пункта 18</w:t>
        </w:r>
      </w:hyperlink>
      <w:r>
        <w:rPr>
          <w:sz w:val="20"/>
        </w:rPr>
        <w:t xml:space="preserve"> настоящих Правил.</w:t>
      </w:r>
    </w:p>
    <w:bookmarkStart w:id="104" w:name="P104"/>
    <w:bookmarkEnd w:id="104"/>
    <w:p>
      <w:pPr>
        <w:pStyle w:val="0"/>
        <w:spacing w:before="200" w:line-rule="auto"/>
        <w:ind w:firstLine="540"/>
        <w:jc w:val="both"/>
      </w:pPr>
      <w:r>
        <w:rPr>
          <w:sz w:val="20"/>
        </w:rPr>
        <w:t xml:space="preserve">21. Для сварных соединений приварки, не нагруженных давлением деталей с оборудованием и трубопроводами, категория назначается в соответствии с </w:t>
      </w:r>
      <w:hyperlink w:history="0" w:anchor="P78" w:tooltip="17. Для сварных соединений оборудования и трубопроводов атомных энергетических установок с водо-водяными реакторами и реакторами канального типа устанавливаются следующие категории сварных соединений:">
        <w:r>
          <w:rPr>
            <w:sz w:val="20"/>
            <w:color w:val="0000ff"/>
          </w:rPr>
          <w:t xml:space="preserve">пунктами 17</w:t>
        </w:r>
      </w:hyperlink>
      <w:r>
        <w:rPr>
          <w:sz w:val="20"/>
        </w:rPr>
        <w:t xml:space="preserve"> - </w:t>
      </w:r>
      <w:hyperlink w:history="0" w:anchor="P97" w:tooltip="20. Сварные соединения IIн и II категорий оборудования и трубопроводов атомных энергетических установок с реакторами на быстрых нейтронах с жидкометаллическим натриевым теплоносителем в зависимости от условий эксплуатации подразделяются на следующие подкатегории:">
        <w:r>
          <w:rPr>
            <w:sz w:val="20"/>
            <w:color w:val="0000ff"/>
          </w:rPr>
          <w:t xml:space="preserve">20</w:t>
        </w:r>
      </w:hyperlink>
      <w:r>
        <w:rPr>
          <w:sz w:val="20"/>
        </w:rPr>
        <w:t xml:space="preserve"> настоящих Правил.</w:t>
      </w:r>
    </w:p>
    <w:p>
      <w:pPr>
        <w:pStyle w:val="0"/>
        <w:spacing w:before="200" w:line-rule="auto"/>
        <w:ind w:firstLine="540"/>
        <w:jc w:val="both"/>
      </w:pPr>
      <w:r>
        <w:rPr>
          <w:sz w:val="20"/>
        </w:rPr>
        <w:t xml:space="preserve">Требования настоящего пункта не распространяются на сварные соединения оборудования и трубопроводов с деталями, используемыми в техническом обслуживании (настилы, лестницы) и в системах измерений (кронштейны). Необходимость и объем контроля указанных сварных соединений устанавливается конструкторской документацией.</w:t>
      </w:r>
    </w:p>
    <w:bookmarkStart w:id="106" w:name="P106"/>
    <w:bookmarkEnd w:id="106"/>
    <w:p>
      <w:pPr>
        <w:pStyle w:val="0"/>
        <w:spacing w:before="200" w:line-rule="auto"/>
        <w:ind w:firstLine="540"/>
        <w:jc w:val="both"/>
      </w:pPr>
      <w:r>
        <w:rPr>
          <w:sz w:val="20"/>
        </w:rPr>
        <w:t xml:space="preserve">22. Категория стыковых сварных соединений незаменяемых элементов внутрикорпусных устройств, расположенных в зоне облучения при проектном флюенсе нейтронов свыше 1,5·10</w:t>
      </w:r>
      <w:r>
        <w:rPr>
          <w:sz w:val="20"/>
          <w:vertAlign w:val="superscript"/>
        </w:rPr>
        <w:t xml:space="preserve">25</w:t>
      </w:r>
      <w:r>
        <w:rPr>
          <w:sz w:val="20"/>
        </w:rPr>
        <w:t xml:space="preserve"> нейтр/м</w:t>
      </w:r>
      <w:r>
        <w:rPr>
          <w:sz w:val="20"/>
          <w:vertAlign w:val="superscript"/>
        </w:rPr>
        <w:t xml:space="preserve">2</w:t>
      </w:r>
      <w:r>
        <w:rPr>
          <w:sz w:val="20"/>
        </w:rPr>
        <w:t xml:space="preserve"> (E </w:t>
      </w:r>
      <w:r>
        <w:rPr>
          <w:position w:val="-1"/>
        </w:rPr>
        <w:drawing>
          <wp:inline distT="0" distB="0" distL="0" distR="0">
            <wp:extent cx="114300" cy="1460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 cy="146050"/>
                    </a:xfrm>
                    <a:prstGeom prst="rect">
                      <a:avLst/>
                    </a:prstGeom>
                    <a:noFill/>
                    <a:ln>
                      <a:noFill/>
                    </a:ln>
                  </pic:spPr>
                </pic:pic>
              </a:graphicData>
            </a:graphic>
          </wp:inline>
        </w:drawing>
      </w:r>
      <w:r>
        <w:rPr>
          <w:sz w:val="20"/>
        </w:rPr>
        <w:t xml:space="preserve"> 0,1 МэВ), должна быть установлена равной:</w:t>
      </w:r>
    </w:p>
    <w:p>
      <w:pPr>
        <w:pStyle w:val="0"/>
        <w:spacing w:before="200" w:line-rule="auto"/>
        <w:ind w:firstLine="540"/>
        <w:jc w:val="both"/>
      </w:pPr>
      <w:r>
        <w:rPr>
          <w:sz w:val="20"/>
        </w:rPr>
        <w:t xml:space="preserve">а) II - для водо-водяных реакторов;</w:t>
      </w:r>
    </w:p>
    <w:p>
      <w:pPr>
        <w:pStyle w:val="0"/>
        <w:spacing w:before="200" w:line-rule="auto"/>
        <w:ind w:firstLine="540"/>
        <w:jc w:val="both"/>
      </w:pPr>
      <w:r>
        <w:rPr>
          <w:sz w:val="20"/>
        </w:rPr>
        <w:t xml:space="preserve">б) IIн - для реакторов на быстрых нейтронах с жидкометаллическим натриевым теплоносителем.</w:t>
      </w:r>
    </w:p>
    <w:bookmarkStart w:id="109" w:name="P109"/>
    <w:bookmarkEnd w:id="109"/>
    <w:p>
      <w:pPr>
        <w:pStyle w:val="0"/>
        <w:spacing w:before="200" w:line-rule="auto"/>
        <w:ind w:firstLine="540"/>
        <w:jc w:val="both"/>
      </w:pPr>
      <w:r>
        <w:rPr>
          <w:sz w:val="20"/>
        </w:rPr>
        <w:t xml:space="preserve">23. Категория IIIс устанавливается для сварных соединений:</w:t>
      </w:r>
    </w:p>
    <w:bookmarkStart w:id="110" w:name="P110"/>
    <w:bookmarkEnd w:id="110"/>
    <w:p>
      <w:pPr>
        <w:pStyle w:val="0"/>
        <w:spacing w:before="200" w:line-rule="auto"/>
        <w:ind w:firstLine="540"/>
        <w:jc w:val="both"/>
      </w:pPr>
      <w:r>
        <w:rPr>
          <w:sz w:val="20"/>
        </w:rPr>
        <w:t xml:space="preserve">а) оборудования и трубопроводов, работающих под избыточным или вакуумметрическим давлением и отнесенных к элементам третьего класса безопасности, на которые не распространяется действие федеральных норм и правил в области использования атомной энергии;</w:t>
      </w:r>
    </w:p>
    <w:bookmarkStart w:id="111" w:name="P111"/>
    <w:bookmarkEnd w:id="111"/>
    <w:p>
      <w:pPr>
        <w:pStyle w:val="0"/>
        <w:spacing w:before="200" w:line-rule="auto"/>
        <w:ind w:firstLine="540"/>
        <w:jc w:val="both"/>
      </w:pPr>
      <w:r>
        <w:rPr>
          <w:sz w:val="20"/>
        </w:rPr>
        <w:t xml:space="preserve">б) деталей опор и подвесок оборудования и трубопроводов, указанных в </w:t>
      </w:r>
      <w:hyperlink w:history="0" w:anchor="P78" w:tooltip="17. Для сварных соединений оборудования и трубопроводов атомных энергетических установок с водо-водяными реакторами и реакторами канального типа устанавливаются следующие категории сварных соединений:">
        <w:r>
          <w:rPr>
            <w:sz w:val="20"/>
            <w:color w:val="0000ff"/>
          </w:rPr>
          <w:t xml:space="preserve">пунктах 17</w:t>
        </w:r>
      </w:hyperlink>
      <w:r>
        <w:rPr>
          <w:sz w:val="20"/>
        </w:rPr>
        <w:t xml:space="preserve"> - </w:t>
      </w:r>
      <w:hyperlink w:history="0" w:anchor="P97" w:tooltip="20. Сварные соединения IIн и II категорий оборудования и трубопроводов атомных энергетических установок с реакторами на быстрых нейтронах с жидкометаллическим натриевым теплоносителем в зависимости от условий эксплуатации подразделяются на следующие подкатегории:">
        <w:r>
          <w:rPr>
            <w:sz w:val="20"/>
            <w:color w:val="0000ff"/>
          </w:rPr>
          <w:t xml:space="preserve">20</w:t>
        </w:r>
      </w:hyperlink>
      <w:r>
        <w:rPr>
          <w:sz w:val="20"/>
        </w:rPr>
        <w:t xml:space="preserve"> настоящих Правил и в </w:t>
      </w:r>
      <w:hyperlink w:history="0" w:anchor="P110" w:tooltip="а) оборудования и трубопроводов, работающих под избыточным или вакуумметрическим давлением и отнесенных к элементам третьего класса безопасности, на которые не распространяется действие федеральных норм и правил в области использования атомной энергии;">
        <w:r>
          <w:rPr>
            <w:sz w:val="20"/>
            <w:color w:val="0000ff"/>
          </w:rPr>
          <w:t xml:space="preserve">подпункте "а"</w:t>
        </w:r>
      </w:hyperlink>
      <w:r>
        <w:rPr>
          <w:sz w:val="20"/>
        </w:rPr>
        <w:t xml:space="preserve"> настоящего пункта;</w:t>
      </w:r>
    </w:p>
    <w:p>
      <w:pPr>
        <w:pStyle w:val="0"/>
        <w:spacing w:before="200" w:line-rule="auto"/>
        <w:ind w:firstLine="540"/>
        <w:jc w:val="both"/>
      </w:pPr>
      <w:r>
        <w:rPr>
          <w:sz w:val="20"/>
        </w:rPr>
        <w:t xml:space="preserve">в) металлоконструкций бассейнов выдержки, бассейнов перегрузки и хранения отработавшего ядерного топлива атомных энергетических установок.</w:t>
      </w:r>
    </w:p>
    <w:p>
      <w:pPr>
        <w:pStyle w:val="0"/>
        <w:spacing w:before="200" w:line-rule="auto"/>
        <w:ind w:firstLine="540"/>
        <w:jc w:val="both"/>
      </w:pPr>
      <w:r>
        <w:rPr>
          <w:sz w:val="20"/>
        </w:rPr>
        <w:t xml:space="preserve">Действие </w:t>
      </w:r>
      <w:hyperlink w:history="0" w:anchor="P111" w:tooltip="б) деталей опор и подвесок оборудования и трубопроводов, указанных в пунктах 17 - 20 настоящих Правил и в подпункте &quot;а&quot; настоящего пункта;">
        <w:r>
          <w:rPr>
            <w:sz w:val="20"/>
            <w:color w:val="0000ff"/>
          </w:rPr>
          <w:t xml:space="preserve">подпункта "б"</w:t>
        </w:r>
      </w:hyperlink>
      <w:r>
        <w:rPr>
          <w:sz w:val="20"/>
        </w:rPr>
        <w:t xml:space="preserve"> настоящего пункта не распространяется на сварные соединения, указанные в </w:t>
      </w:r>
      <w:hyperlink w:history="0" w:anchor="P104" w:tooltip="21. Для сварных соединений приварки, не нагруженных давлением деталей с оборудованием и трубопроводами, категория назначается в соответствии с пунктами 17 - 20 настоящих Правил.">
        <w:r>
          <w:rPr>
            <w:sz w:val="20"/>
            <w:color w:val="0000ff"/>
          </w:rPr>
          <w:t xml:space="preserve">пункте 21</w:t>
        </w:r>
      </w:hyperlink>
      <w:r>
        <w:rPr>
          <w:sz w:val="20"/>
        </w:rPr>
        <w:t xml:space="preserve"> настоящих Правил.</w:t>
      </w:r>
    </w:p>
    <w:p>
      <w:pPr>
        <w:pStyle w:val="0"/>
        <w:spacing w:before="200" w:line-rule="auto"/>
        <w:ind w:firstLine="540"/>
        <w:jc w:val="both"/>
      </w:pPr>
      <w:r>
        <w:rPr>
          <w:sz w:val="20"/>
        </w:rPr>
        <w:t xml:space="preserve">24. Объем неразрушающего контроля металла наплавленной поверхности кромок под сварку и нормы оценки качества по результатам контроля устанавливаются по категории соответствующего сварного соединения.</w:t>
      </w:r>
    </w:p>
    <w:p>
      <w:pPr>
        <w:pStyle w:val="0"/>
        <w:spacing w:before="200" w:line-rule="auto"/>
        <w:ind w:firstLine="540"/>
        <w:jc w:val="both"/>
      </w:pPr>
      <w:r>
        <w:rPr>
          <w:sz w:val="20"/>
        </w:rPr>
        <w:t xml:space="preserve">25. При проведении неразрушающего контроля металла уплотнительных и антикоррозионных наплавленных поверхностей категории не назначаются.</w:t>
      </w:r>
    </w:p>
    <w:p>
      <w:pPr>
        <w:pStyle w:val="0"/>
        <w:spacing w:before="200" w:line-rule="auto"/>
        <w:ind w:firstLine="540"/>
        <w:jc w:val="both"/>
      </w:pPr>
      <w:r>
        <w:rPr>
          <w:sz w:val="20"/>
        </w:rPr>
        <w:t xml:space="preserve">26. Конструкторская (проектная) организация вправе назначать категории сварных соединений, к которым предъявляются более высокие требования для обеспечения безопасности, чем установленные в </w:t>
      </w:r>
      <w:hyperlink w:history="0" w:anchor="P78" w:tooltip="17. Для сварных соединений оборудования и трубопроводов атомных энергетических установок с водо-водяными реакторами и реакторами канального типа устанавливаются следующие категории сварных соединений:">
        <w:r>
          <w:rPr>
            <w:sz w:val="20"/>
            <w:color w:val="0000ff"/>
          </w:rPr>
          <w:t xml:space="preserve">пунктах 17</w:t>
        </w:r>
      </w:hyperlink>
      <w:r>
        <w:rPr>
          <w:sz w:val="20"/>
        </w:rPr>
        <w:t xml:space="preserve"> - </w:t>
      </w:r>
      <w:hyperlink w:history="0" w:anchor="P109" w:tooltip="23. Категория IIIс устанавливается для сварных соединений:">
        <w:r>
          <w:rPr>
            <w:sz w:val="20"/>
            <w:color w:val="0000ff"/>
          </w:rPr>
          <w:t xml:space="preserve">23</w:t>
        </w:r>
      </w:hyperlink>
      <w:r>
        <w:rPr>
          <w:sz w:val="20"/>
        </w:rPr>
        <w:t xml:space="preserve"> настоящих Правил (за исключением </w:t>
      </w:r>
      <w:hyperlink w:history="0" w:anchor="P79" w:tooltip="а) I категория - сварные соединения оборудования и трубопроводов группы A;">
        <w:r>
          <w:rPr>
            <w:sz w:val="20"/>
            <w:color w:val="0000ff"/>
          </w:rPr>
          <w:t xml:space="preserve">подпункта "а" пункта 17</w:t>
        </w:r>
      </w:hyperlink>
      <w:r>
        <w:rPr>
          <w:sz w:val="20"/>
        </w:rPr>
        <w:t xml:space="preserve"> и </w:t>
      </w:r>
      <w:hyperlink w:history="0" w:anchor="P90" w:tooltip="а) Iн категория - сварные соединения оборудования и трубопроводов группы A, а также группы B при наличии требований в конструкторской документации;">
        <w:r>
          <w:rPr>
            <w:sz w:val="20"/>
            <w:color w:val="0000ff"/>
          </w:rPr>
          <w:t xml:space="preserve">подпункта "а" пункта 19</w:t>
        </w:r>
      </w:hyperlink>
      <w:r>
        <w:rPr>
          <w:sz w:val="20"/>
        </w:rPr>
        <w:t xml:space="preserve"> настоящих Правил).</w:t>
      </w:r>
    </w:p>
    <w:p>
      <w:pPr>
        <w:pStyle w:val="0"/>
        <w:spacing w:before="200" w:line-rule="auto"/>
        <w:ind w:firstLine="540"/>
        <w:jc w:val="both"/>
      </w:pPr>
      <w:r>
        <w:rPr>
          <w:sz w:val="20"/>
        </w:rPr>
        <w:t xml:space="preserve">27. Для оборудования и трубопроводов, которые не указаны в </w:t>
      </w:r>
      <w:hyperlink w:history="0" w:anchor="P78" w:tooltip="17. Для сварных соединений оборудования и трубопроводов атомных энергетических установок с водо-водяными реакторами и реакторами канального типа устанавливаются следующие категории сварных соединений:">
        <w:r>
          <w:rPr>
            <w:sz w:val="20"/>
            <w:color w:val="0000ff"/>
          </w:rPr>
          <w:t xml:space="preserve">пунктах 17</w:t>
        </w:r>
      </w:hyperlink>
      <w:r>
        <w:rPr>
          <w:sz w:val="20"/>
        </w:rPr>
        <w:t xml:space="preserve"> - </w:t>
      </w:r>
      <w:hyperlink w:history="0" w:anchor="P97" w:tooltip="20. Сварные соединения IIн и II категорий оборудования и трубопроводов атомных энергетических установок с реакторами на быстрых нейтронах с жидкометаллическим натриевым теплоносителем в зависимости от условий эксплуатации подразделяются на следующие подкатегории:">
        <w:r>
          <w:rPr>
            <w:sz w:val="20"/>
            <w:color w:val="0000ff"/>
          </w:rPr>
          <w:t xml:space="preserve">20</w:t>
        </w:r>
      </w:hyperlink>
      <w:r>
        <w:rPr>
          <w:sz w:val="20"/>
        </w:rPr>
        <w:t xml:space="preserve">, </w:t>
      </w:r>
      <w:hyperlink w:history="0" w:anchor="P106" w:tooltip="22. Категория стыковых сварных соединений незаменяемых элементов внутрикорпусных устройств, расположенных в зоне облучения при проектном флюенсе нейтронов свыше 1,5·1025 нейтр/м2 (E  0,1 МэВ), должна быть установлена равной:">
        <w:r>
          <w:rPr>
            <w:sz w:val="20"/>
            <w:color w:val="0000ff"/>
          </w:rPr>
          <w:t xml:space="preserve">22</w:t>
        </w:r>
      </w:hyperlink>
      <w:r>
        <w:rPr>
          <w:sz w:val="20"/>
        </w:rPr>
        <w:t xml:space="preserve"> и </w:t>
      </w:r>
      <w:hyperlink w:history="0" w:anchor="P109" w:tooltip="23. Категория IIIс устанавливается для сварных соединений:">
        <w:r>
          <w:rPr>
            <w:sz w:val="20"/>
            <w:color w:val="0000ff"/>
          </w:rPr>
          <w:t xml:space="preserve">23</w:t>
        </w:r>
      </w:hyperlink>
      <w:r>
        <w:rPr>
          <w:sz w:val="20"/>
        </w:rPr>
        <w:t xml:space="preserve"> настоящих Правил, категории сварных соединений настоящими Правилами не устанавливаются. Методы и объемы контроля металла устанавливаются конструкторской (проектной) организацией в конструкторской документации, а нормы оценки качества должны соответствовать нормам, установленным для сварных соединений категории III.</w:t>
      </w:r>
    </w:p>
    <w:p>
      <w:pPr>
        <w:pStyle w:val="0"/>
        <w:jc w:val="both"/>
      </w:pPr>
      <w:r>
        <w:rPr>
          <w:sz w:val="20"/>
        </w:rPr>
      </w:r>
    </w:p>
    <w:p>
      <w:pPr>
        <w:pStyle w:val="2"/>
        <w:outlineLvl w:val="1"/>
        <w:jc w:val="center"/>
      </w:pPr>
      <w:r>
        <w:rPr>
          <w:sz w:val="20"/>
        </w:rPr>
        <w:t xml:space="preserve">IV. Средства и методики контроля</w:t>
      </w:r>
    </w:p>
    <w:p>
      <w:pPr>
        <w:pStyle w:val="0"/>
        <w:jc w:val="both"/>
      </w:pPr>
      <w:r>
        <w:rPr>
          <w:sz w:val="20"/>
        </w:rPr>
      </w:r>
    </w:p>
    <w:p>
      <w:pPr>
        <w:pStyle w:val="0"/>
        <w:ind w:firstLine="540"/>
        <w:jc w:val="both"/>
      </w:pPr>
      <w:r>
        <w:rPr>
          <w:sz w:val="20"/>
        </w:rPr>
        <w:t xml:space="preserve">28. При проведении неразрушающего контроля состояния металла должны применяться стандартизированные унифицированные методики контроля, включенные в сводный </w:t>
      </w:r>
      <w:hyperlink w:history="0" r:id="rId22"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 документов по стандартизации в области использования атомной энергии, применяемых на обязательной основе (далее - Сводный перечень), предусмотренный Положением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 утвержденным постановлением Правительства Российской Федерации от 12 июля 2016 г. N 669.</w:t>
      </w:r>
    </w:p>
    <w:p>
      <w:pPr>
        <w:pStyle w:val="0"/>
        <w:jc w:val="both"/>
      </w:pPr>
      <w:r>
        <w:rPr>
          <w:sz w:val="20"/>
        </w:rPr>
        <w:t xml:space="preserve">(в ред. </w:t>
      </w:r>
      <w:hyperlink w:history="0" r:id="rId23"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Используемые средства контроля состояния металла должны соответствовать требованиям стандартизованных унифицированных методик контроля.</w:t>
      </w:r>
    </w:p>
    <w:p>
      <w:pPr>
        <w:pStyle w:val="0"/>
        <w:spacing w:before="200" w:line-rule="auto"/>
        <w:ind w:firstLine="540"/>
        <w:jc w:val="both"/>
      </w:pPr>
      <w:r>
        <w:rPr>
          <w:sz w:val="20"/>
        </w:rPr>
        <w:t xml:space="preserve">Иные методики и средства неразрушающего контроля должны применяться после проведения оценки соответствия в составе системы неразрушающего контроля в форме аттестационных испытаний согласно требованиям </w:t>
      </w:r>
      <w:hyperlink w:history="0" r:id="rId24" w:tooltip="&quot;ГОСТ Р 50.04.07-2022.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систем неразрушающего контроля&quot; (утв. и введен в действие Приказом Росстандарта от 31.10.2022 N 1222-ст) {КонсультантПлюс}">
        <w:r>
          <w:rPr>
            <w:sz w:val="20"/>
            <w:color w:val="0000ff"/>
          </w:rPr>
          <w:t xml:space="preserve">разделов 1</w:t>
        </w:r>
      </w:hyperlink>
      <w:r>
        <w:rPr>
          <w:sz w:val="20"/>
        </w:rPr>
        <w:t xml:space="preserve"> - </w:t>
      </w:r>
      <w:hyperlink w:history="0" r:id="rId25" w:tooltip="&quot;ГОСТ Р 50.04.07-2022. Национальный стандарт Российской Федерации. Система оценки соответствия в области использования атомной энергии. Оценка соответствия в форме испытаний. Аттестационные испытания систем неразрушающего контроля&quot; (утв. и введен в действие Приказом Росстандарта от 31.10.2022 N 1222-ст) {КонсультантПлюс}">
        <w:r>
          <w:rPr>
            <w:sz w:val="20"/>
            <w:color w:val="0000ff"/>
          </w:rPr>
          <w:t xml:space="preserve">8</w:t>
        </w:r>
      </w:hyperlink>
      <w:r>
        <w:rPr>
          <w:sz w:val="20"/>
        </w:rPr>
        <w:t xml:space="preserve"> национального стандарта Российской Федерации ГОСТ Р 50.04.07-2022 "Система оценки соответствия в области использования атомной энергии. Оценка соответствия в форме испытаний. Аттестационные испытания систем неразрушающего контроля", утвержденного и введенного в действие с 1 февраля 2023 г. </w:t>
      </w:r>
      <w:hyperlink w:history="0" r:id="rId26" w:tooltip="Приказ Росстандарта от 31.10.2022 N 1222-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31 октября 2022 г. N 1222-ст (М., ФГБУ "РСТ", 2022).</w:t>
      </w:r>
    </w:p>
    <w:p>
      <w:pPr>
        <w:pStyle w:val="0"/>
        <w:jc w:val="both"/>
      </w:pPr>
      <w:r>
        <w:rPr>
          <w:sz w:val="20"/>
        </w:rPr>
        <w:t xml:space="preserve">(абзац введен </w:t>
      </w:r>
      <w:hyperlink w:history="0" r:id="rId27"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Приказом</w:t>
        </w:r>
      </w:hyperlink>
      <w:r>
        <w:rPr>
          <w:sz w:val="20"/>
        </w:rPr>
        <w:t xml:space="preserve"> Ростехнадзора от 08.07.2024 N 211)</w:t>
      </w:r>
    </w:p>
    <w:p>
      <w:pPr>
        <w:pStyle w:val="0"/>
        <w:spacing w:before="200" w:line-rule="auto"/>
        <w:ind w:firstLine="540"/>
        <w:jc w:val="both"/>
      </w:pPr>
      <w:r>
        <w:rPr>
          <w:sz w:val="20"/>
        </w:rPr>
        <w:t xml:space="preserve">29. Метрологическое обеспечение контроля состояния металла оборудования и трубопроводов должно осуществляться в соответствии с законодательством об обеспечении единства измерений.</w:t>
      </w:r>
    </w:p>
    <w:p>
      <w:pPr>
        <w:pStyle w:val="0"/>
        <w:jc w:val="both"/>
      </w:pPr>
      <w:r>
        <w:rPr>
          <w:sz w:val="20"/>
        </w:rPr>
      </w:r>
    </w:p>
    <w:p>
      <w:pPr>
        <w:pStyle w:val="2"/>
        <w:outlineLvl w:val="1"/>
        <w:jc w:val="center"/>
      </w:pPr>
      <w:r>
        <w:rPr>
          <w:sz w:val="20"/>
        </w:rPr>
        <w:t xml:space="preserve">V. Материалы, применяемые для проведения</w:t>
      </w:r>
    </w:p>
    <w:p>
      <w:pPr>
        <w:pStyle w:val="2"/>
        <w:jc w:val="center"/>
      </w:pPr>
      <w:r>
        <w:rPr>
          <w:sz w:val="20"/>
        </w:rPr>
        <w:t xml:space="preserve">неразрушающего контроля</w:t>
      </w:r>
    </w:p>
    <w:p>
      <w:pPr>
        <w:pStyle w:val="0"/>
        <w:jc w:val="both"/>
      </w:pPr>
      <w:r>
        <w:rPr>
          <w:sz w:val="20"/>
        </w:rPr>
      </w:r>
    </w:p>
    <w:p>
      <w:pPr>
        <w:pStyle w:val="0"/>
        <w:ind w:firstLine="540"/>
        <w:jc w:val="both"/>
      </w:pPr>
      <w:r>
        <w:rPr>
          <w:sz w:val="20"/>
        </w:rPr>
        <w:t xml:space="preserve">30. Материалы, применяемые для проведения неразрушающего контроля, должны подвергаться входному контролю. Результаты входного контроля должны фиксироваться в журналах и (или) оформляться актами.</w:t>
      </w:r>
    </w:p>
    <w:p>
      <w:pPr>
        <w:pStyle w:val="0"/>
        <w:spacing w:before="200" w:line-rule="auto"/>
        <w:ind w:firstLine="540"/>
        <w:jc w:val="both"/>
      </w:pPr>
      <w:r>
        <w:rPr>
          <w:sz w:val="20"/>
        </w:rPr>
        <w:t xml:space="preserve">31. Материалы, применяемые для проведения неразрушающего контроля, должны соответствовать требованиям документов по стандартизации на указанные материалы.</w:t>
      </w:r>
    </w:p>
    <w:p>
      <w:pPr>
        <w:pStyle w:val="0"/>
        <w:spacing w:before="200" w:line-rule="auto"/>
        <w:ind w:firstLine="540"/>
        <w:jc w:val="both"/>
      </w:pPr>
      <w:r>
        <w:rPr>
          <w:sz w:val="20"/>
        </w:rPr>
        <w:t xml:space="preserve">32. Организация, выполняющая контроль, обязана установить порядок работы с материалами, организовать их учет и обеспечить необходимые условия для их хранения.</w:t>
      </w:r>
    </w:p>
    <w:p>
      <w:pPr>
        <w:pStyle w:val="0"/>
        <w:jc w:val="both"/>
      </w:pPr>
      <w:r>
        <w:rPr>
          <w:sz w:val="20"/>
        </w:rPr>
      </w:r>
    </w:p>
    <w:p>
      <w:pPr>
        <w:pStyle w:val="2"/>
        <w:outlineLvl w:val="1"/>
        <w:jc w:val="center"/>
      </w:pPr>
      <w:r>
        <w:rPr>
          <w:sz w:val="20"/>
        </w:rPr>
        <w:t xml:space="preserve">VI. Методы неразрушающего контроля</w:t>
      </w:r>
    </w:p>
    <w:p>
      <w:pPr>
        <w:pStyle w:val="0"/>
        <w:jc w:val="both"/>
      </w:pPr>
      <w:r>
        <w:rPr>
          <w:sz w:val="20"/>
        </w:rPr>
      </w:r>
    </w:p>
    <w:p>
      <w:pPr>
        <w:pStyle w:val="0"/>
        <w:ind w:firstLine="540"/>
        <w:jc w:val="both"/>
      </w:pPr>
      <w:r>
        <w:rPr>
          <w:sz w:val="20"/>
        </w:rPr>
        <w:t xml:space="preserve">33. Неразрушающий контроль должен проводиться нижеперечисленными методами:</w:t>
      </w:r>
    </w:p>
    <w:p>
      <w:pPr>
        <w:pStyle w:val="0"/>
        <w:spacing w:before="200" w:line-rule="auto"/>
        <w:ind w:firstLine="540"/>
        <w:jc w:val="both"/>
      </w:pPr>
      <w:r>
        <w:rPr>
          <w:sz w:val="20"/>
        </w:rPr>
        <w:t xml:space="preserve">а) визуальный и измерительный контроль, включая телевизионный;</w:t>
      </w:r>
    </w:p>
    <w:p>
      <w:pPr>
        <w:pStyle w:val="0"/>
        <w:spacing w:before="200" w:line-rule="auto"/>
        <w:ind w:firstLine="540"/>
        <w:jc w:val="both"/>
      </w:pPr>
      <w:r>
        <w:rPr>
          <w:sz w:val="20"/>
        </w:rPr>
        <w:t xml:space="preserve">б) капиллярный контроль;</w:t>
      </w:r>
    </w:p>
    <w:p>
      <w:pPr>
        <w:pStyle w:val="0"/>
        <w:spacing w:before="200" w:line-rule="auto"/>
        <w:ind w:firstLine="540"/>
        <w:jc w:val="both"/>
      </w:pPr>
      <w:r>
        <w:rPr>
          <w:sz w:val="20"/>
        </w:rPr>
        <w:t xml:space="preserve">в) магнитопорошковый контроль;</w:t>
      </w:r>
    </w:p>
    <w:p>
      <w:pPr>
        <w:pStyle w:val="0"/>
        <w:spacing w:before="200" w:line-rule="auto"/>
        <w:ind w:firstLine="540"/>
        <w:jc w:val="both"/>
      </w:pPr>
      <w:r>
        <w:rPr>
          <w:sz w:val="20"/>
        </w:rPr>
        <w:t xml:space="preserve">г) ультразвуковой контроль;</w:t>
      </w:r>
    </w:p>
    <w:p>
      <w:pPr>
        <w:pStyle w:val="0"/>
        <w:spacing w:before="200" w:line-rule="auto"/>
        <w:ind w:firstLine="540"/>
        <w:jc w:val="both"/>
      </w:pPr>
      <w:r>
        <w:rPr>
          <w:sz w:val="20"/>
        </w:rPr>
        <w:t xml:space="preserve">д) контроль герметичности;</w:t>
      </w:r>
    </w:p>
    <w:p>
      <w:pPr>
        <w:pStyle w:val="0"/>
        <w:spacing w:before="200" w:line-rule="auto"/>
        <w:ind w:firstLine="540"/>
        <w:jc w:val="both"/>
      </w:pPr>
      <w:r>
        <w:rPr>
          <w:sz w:val="20"/>
        </w:rPr>
        <w:t xml:space="preserve">е) радиографический контроль;</w:t>
      </w:r>
    </w:p>
    <w:p>
      <w:pPr>
        <w:pStyle w:val="0"/>
        <w:spacing w:before="200" w:line-rule="auto"/>
        <w:ind w:firstLine="540"/>
        <w:jc w:val="both"/>
      </w:pPr>
      <w:r>
        <w:rPr>
          <w:sz w:val="20"/>
        </w:rPr>
        <w:t xml:space="preserve">ж) измерительный контроль прогонкой металлическим калибром (шариком);</w:t>
      </w:r>
    </w:p>
    <w:p>
      <w:pPr>
        <w:pStyle w:val="0"/>
        <w:spacing w:before="200" w:line-rule="auto"/>
        <w:ind w:firstLine="540"/>
        <w:jc w:val="both"/>
      </w:pPr>
      <w:r>
        <w:rPr>
          <w:sz w:val="20"/>
        </w:rPr>
        <w:t xml:space="preserve">з) контроль твердости;</w:t>
      </w:r>
    </w:p>
    <w:p>
      <w:pPr>
        <w:pStyle w:val="0"/>
        <w:spacing w:before="200" w:line-rule="auto"/>
        <w:ind w:firstLine="540"/>
        <w:jc w:val="both"/>
      </w:pPr>
      <w:r>
        <w:rPr>
          <w:sz w:val="20"/>
        </w:rPr>
        <w:t xml:space="preserve">и) вихретоковый контроль.</w:t>
      </w:r>
    </w:p>
    <w:p>
      <w:pPr>
        <w:pStyle w:val="0"/>
        <w:spacing w:before="200" w:line-rule="auto"/>
        <w:ind w:firstLine="540"/>
        <w:jc w:val="both"/>
      </w:pPr>
      <w:r>
        <w:rPr>
          <w:sz w:val="20"/>
        </w:rPr>
        <w:t xml:space="preserve">34. Допускается применение иных методов контроля, прошедших оценку соответствия в форме испытаний при наличии норм оценки качества по результатам соответствующего метода контроля.</w:t>
      </w:r>
    </w:p>
    <w:p>
      <w:pPr>
        <w:pStyle w:val="0"/>
        <w:jc w:val="both"/>
      </w:pPr>
      <w:r>
        <w:rPr>
          <w:sz w:val="20"/>
        </w:rPr>
      </w:r>
    </w:p>
    <w:p>
      <w:pPr>
        <w:pStyle w:val="2"/>
        <w:outlineLvl w:val="1"/>
        <w:jc w:val="center"/>
      </w:pPr>
      <w:r>
        <w:rPr>
          <w:sz w:val="20"/>
        </w:rPr>
        <w:t xml:space="preserve">VII. Неразрушающий контроль сварных соединений</w:t>
      </w:r>
    </w:p>
    <w:p>
      <w:pPr>
        <w:pStyle w:val="2"/>
        <w:jc w:val="center"/>
      </w:pPr>
      <w:r>
        <w:rPr>
          <w:sz w:val="20"/>
        </w:rPr>
        <w:t xml:space="preserve">и наплавленных поверхностей</w:t>
      </w:r>
    </w:p>
    <w:p>
      <w:pPr>
        <w:pStyle w:val="0"/>
        <w:jc w:val="both"/>
      </w:pPr>
      <w:r>
        <w:rPr>
          <w:sz w:val="20"/>
        </w:rPr>
      </w:r>
    </w:p>
    <w:p>
      <w:pPr>
        <w:pStyle w:val="0"/>
        <w:ind w:firstLine="540"/>
        <w:jc w:val="both"/>
      </w:pPr>
      <w:r>
        <w:rPr>
          <w:sz w:val="20"/>
        </w:rPr>
        <w:t xml:space="preserve">35. Методы и объемы неразрушающего контроля сварных соединений (наплавленных поверхностей) и нормы оценки качества по результатам контроля устанавливаются конструкторской (проектной) организацией с учетом категорий сварных соединений (наплавленных поверхностей).</w:t>
      </w:r>
    </w:p>
    <w:p>
      <w:pPr>
        <w:pStyle w:val="0"/>
        <w:jc w:val="both"/>
      </w:pPr>
      <w:r>
        <w:rPr>
          <w:sz w:val="20"/>
        </w:rPr>
      </w:r>
    </w:p>
    <w:p>
      <w:pPr>
        <w:pStyle w:val="2"/>
        <w:outlineLvl w:val="2"/>
        <w:jc w:val="center"/>
      </w:pPr>
      <w:r>
        <w:rPr>
          <w:sz w:val="20"/>
        </w:rPr>
        <w:t xml:space="preserve">Визуальный и измерительный контроль</w:t>
      </w:r>
    </w:p>
    <w:p>
      <w:pPr>
        <w:pStyle w:val="0"/>
        <w:jc w:val="both"/>
      </w:pPr>
      <w:r>
        <w:rPr>
          <w:sz w:val="20"/>
        </w:rPr>
      </w:r>
    </w:p>
    <w:p>
      <w:pPr>
        <w:pStyle w:val="0"/>
        <w:ind w:firstLine="540"/>
        <w:jc w:val="both"/>
      </w:pPr>
      <w:r>
        <w:rPr>
          <w:sz w:val="20"/>
        </w:rPr>
        <w:t xml:space="preserve">36. Визуальный и измерительный контроль должны проводиться до контроля другими методами.</w:t>
      </w:r>
    </w:p>
    <w:p>
      <w:pPr>
        <w:pStyle w:val="0"/>
        <w:spacing w:before="200" w:line-rule="auto"/>
        <w:ind w:firstLine="540"/>
        <w:jc w:val="both"/>
      </w:pPr>
      <w:r>
        <w:rPr>
          <w:sz w:val="20"/>
        </w:rPr>
        <w:t xml:space="preserve">37. Измерительный контроль сварных соединений и предварительно наплавленных кромок должен выполняться не реже чем через 1,0 м и не менее чем в трех местах каждого сварного соединения и предварительно наплавленной кромки.</w:t>
      </w:r>
    </w:p>
    <w:p>
      <w:pPr>
        <w:pStyle w:val="0"/>
        <w:spacing w:before="200" w:line-rule="auto"/>
        <w:ind w:firstLine="540"/>
        <w:jc w:val="both"/>
      </w:pPr>
      <w:r>
        <w:rPr>
          <w:sz w:val="20"/>
        </w:rPr>
        <w:t xml:space="preserve">38. При наличии на одном изделии более пятидесяти сварных соединений одного типа труб с номинальным наружным диаметром до 90,0 мм включительно допускается уменьшение объема измерительного контроля до 10% от общего количества подлежащих измерению сварных соединений и до одного замера на каждом контролируемом сварном соединении.</w:t>
      </w:r>
    </w:p>
    <w:p>
      <w:pPr>
        <w:pStyle w:val="0"/>
        <w:spacing w:before="200" w:line-rule="auto"/>
        <w:ind w:firstLine="540"/>
        <w:jc w:val="both"/>
      </w:pPr>
      <w:r>
        <w:rPr>
          <w:sz w:val="20"/>
        </w:rPr>
        <w:t xml:space="preserve">39. На цилиндрических поверхностях измерительный контроль толщины антикоррозионной наплавки должен проводиться не реже чем через 0,5 м в осевом направлении и через каждые 60° по окружности при ручной наплавке и 90° - при автоматической наплавке. На плоских и сферических поверхностях антикоррозионных наплавок должно проводиться не менее одного замера на каждом участке размером 0,5 x 0,5 м при ручной наплавке и на каждом участке длиной 1,0 м (в направлении наплавки) и шириной 0,5 м при автоматической наплавке.</w:t>
      </w:r>
    </w:p>
    <w:p>
      <w:pPr>
        <w:pStyle w:val="0"/>
        <w:spacing w:before="200" w:line-rule="auto"/>
        <w:ind w:firstLine="540"/>
        <w:jc w:val="both"/>
      </w:pPr>
      <w:r>
        <w:rPr>
          <w:sz w:val="20"/>
        </w:rPr>
        <w:t xml:space="preserve">40. Визуальный контроль уплотнительных и направляющих поверхностей должен проводиться по всей площади, включая боковые поверхности и зону сплавления с основным металлом, измерительный контроль - в соответствии с технологической документацией.</w:t>
      </w:r>
    </w:p>
    <w:p>
      <w:pPr>
        <w:pStyle w:val="0"/>
        <w:jc w:val="both"/>
      </w:pPr>
      <w:r>
        <w:rPr>
          <w:sz w:val="20"/>
        </w:rPr>
      </w:r>
    </w:p>
    <w:p>
      <w:pPr>
        <w:pStyle w:val="2"/>
        <w:outlineLvl w:val="2"/>
        <w:jc w:val="center"/>
      </w:pPr>
      <w:r>
        <w:rPr>
          <w:sz w:val="20"/>
        </w:rPr>
        <w:t xml:space="preserve">Капиллярный контроль</w:t>
      </w:r>
    </w:p>
    <w:p>
      <w:pPr>
        <w:pStyle w:val="0"/>
        <w:jc w:val="both"/>
      </w:pPr>
      <w:r>
        <w:rPr>
          <w:sz w:val="20"/>
        </w:rPr>
      </w:r>
    </w:p>
    <w:p>
      <w:pPr>
        <w:pStyle w:val="0"/>
        <w:ind w:firstLine="540"/>
        <w:jc w:val="both"/>
      </w:pPr>
      <w:r>
        <w:rPr>
          <w:sz w:val="20"/>
        </w:rPr>
        <w:t xml:space="preserve">41. Класс чувствительности при проведении капиллярного контроля должен устанавливаться в конструкторской документации.</w:t>
      </w:r>
    </w:p>
    <w:p>
      <w:pPr>
        <w:pStyle w:val="0"/>
        <w:spacing w:before="200" w:line-rule="auto"/>
        <w:ind w:firstLine="540"/>
        <w:jc w:val="both"/>
      </w:pPr>
      <w:r>
        <w:rPr>
          <w:sz w:val="20"/>
        </w:rPr>
        <w:t xml:space="preserve">42. Для сварных соединений I, Iн, II, IIн категорий и антикоррозионных наплавок, а также всех категорий сварных соединений деталей из титановых и алюминиевых сплавов устанавливается второй класс чувствительности.</w:t>
      </w:r>
    </w:p>
    <w:p>
      <w:pPr>
        <w:pStyle w:val="0"/>
        <w:jc w:val="both"/>
      </w:pPr>
      <w:r>
        <w:rPr>
          <w:sz w:val="20"/>
        </w:rPr>
      </w:r>
    </w:p>
    <w:p>
      <w:pPr>
        <w:pStyle w:val="2"/>
        <w:outlineLvl w:val="2"/>
        <w:jc w:val="center"/>
      </w:pPr>
      <w:r>
        <w:rPr>
          <w:sz w:val="20"/>
        </w:rPr>
        <w:t xml:space="preserve">Магнитопорошковый контроль</w:t>
      </w:r>
    </w:p>
    <w:p>
      <w:pPr>
        <w:pStyle w:val="0"/>
        <w:jc w:val="both"/>
      </w:pPr>
      <w:r>
        <w:rPr>
          <w:sz w:val="20"/>
        </w:rPr>
      </w:r>
    </w:p>
    <w:p>
      <w:pPr>
        <w:pStyle w:val="0"/>
        <w:ind w:firstLine="540"/>
        <w:jc w:val="both"/>
      </w:pPr>
      <w:r>
        <w:rPr>
          <w:sz w:val="20"/>
        </w:rPr>
        <w:t xml:space="preserve">43. Уровень чувствительности для проведения магнитопорошкового контроля должен устанавливаться в конструкторской документации. Для сварных соединений I, Iн, II, IIн категорий устанавливается уровень чувствительности Б.</w:t>
      </w:r>
    </w:p>
    <w:p>
      <w:pPr>
        <w:pStyle w:val="0"/>
        <w:spacing w:before="200" w:line-rule="auto"/>
        <w:ind w:firstLine="540"/>
        <w:jc w:val="both"/>
      </w:pPr>
      <w:r>
        <w:rPr>
          <w:sz w:val="20"/>
        </w:rPr>
        <w:t xml:space="preserve">44. Магнитопорошковому контролю должны подвергаться сварные соединения деталей и сборочных единиц оборудования и трубопроводов из сталей перлитного класса и (или) из высокохромистых сталей, а также кромки деталей, предварительно наплавленные перлитными и (или) высокохромистыми материалами.</w:t>
      </w:r>
    </w:p>
    <w:p>
      <w:pPr>
        <w:pStyle w:val="0"/>
        <w:jc w:val="both"/>
      </w:pPr>
      <w:r>
        <w:rPr>
          <w:sz w:val="20"/>
        </w:rPr>
      </w:r>
    </w:p>
    <w:p>
      <w:pPr>
        <w:pStyle w:val="2"/>
        <w:outlineLvl w:val="2"/>
        <w:jc w:val="center"/>
      </w:pPr>
      <w:r>
        <w:rPr>
          <w:sz w:val="20"/>
        </w:rPr>
        <w:t xml:space="preserve">Радиографический контроль</w:t>
      </w:r>
    </w:p>
    <w:p>
      <w:pPr>
        <w:pStyle w:val="0"/>
        <w:jc w:val="both"/>
      </w:pPr>
      <w:r>
        <w:rPr>
          <w:sz w:val="20"/>
        </w:rPr>
      </w:r>
    </w:p>
    <w:p>
      <w:pPr>
        <w:pStyle w:val="0"/>
        <w:ind w:firstLine="540"/>
        <w:jc w:val="both"/>
      </w:pPr>
      <w:r>
        <w:rPr>
          <w:sz w:val="20"/>
        </w:rPr>
        <w:t xml:space="preserve">45. Радиографический контроль сварных соединений проводится через одну стенку, а в случаях когда это технически невозможно - через две стенки. Техническая невозможность проведения радиографического контроля устанавливается в конструкторской документации.</w:t>
      </w:r>
    </w:p>
    <w:p>
      <w:pPr>
        <w:pStyle w:val="0"/>
        <w:spacing w:before="200" w:line-rule="auto"/>
        <w:ind w:firstLine="540"/>
        <w:jc w:val="both"/>
      </w:pPr>
      <w:r>
        <w:rPr>
          <w:sz w:val="20"/>
        </w:rPr>
        <w:t xml:space="preserve">46. Чувствительность контроля устанавливается по радиационной толщине. При просвечивании через две стенки чувствительность контроля устанавливается по суммарной номинальной толщине этих стенок.</w:t>
      </w:r>
    </w:p>
    <w:p>
      <w:pPr>
        <w:pStyle w:val="0"/>
        <w:jc w:val="both"/>
      </w:pPr>
      <w:r>
        <w:rPr>
          <w:sz w:val="20"/>
        </w:rPr>
      </w:r>
    </w:p>
    <w:p>
      <w:pPr>
        <w:pStyle w:val="2"/>
        <w:outlineLvl w:val="2"/>
        <w:jc w:val="center"/>
      </w:pPr>
      <w:r>
        <w:rPr>
          <w:sz w:val="20"/>
        </w:rPr>
        <w:t xml:space="preserve">Ультразвуковой контроль</w:t>
      </w:r>
    </w:p>
    <w:p>
      <w:pPr>
        <w:pStyle w:val="0"/>
        <w:jc w:val="both"/>
      </w:pPr>
      <w:r>
        <w:rPr>
          <w:sz w:val="20"/>
        </w:rPr>
      </w:r>
    </w:p>
    <w:p>
      <w:pPr>
        <w:pStyle w:val="0"/>
        <w:ind w:firstLine="540"/>
        <w:jc w:val="both"/>
      </w:pPr>
      <w:r>
        <w:rPr>
          <w:sz w:val="20"/>
        </w:rPr>
        <w:t xml:space="preserve">47. При проведении ультразвукового контроля предпочтение должно отдаваться применению средств контроля с автоматической фиксацией результатов и автоматизированных средств контроля.</w:t>
      </w:r>
    </w:p>
    <w:p>
      <w:pPr>
        <w:pStyle w:val="0"/>
        <w:spacing w:before="200" w:line-rule="auto"/>
        <w:ind w:firstLine="540"/>
        <w:jc w:val="both"/>
      </w:pPr>
      <w:r>
        <w:rPr>
          <w:sz w:val="20"/>
        </w:rPr>
        <w:t xml:space="preserve">48. В антикоррозионных наплавках должна контролироваться зона сплавления наплавленной поверхности с основным металлом и (или) с металлом шва (при наплавке на шовную зону). Металл под наплавкой должен контролироваться при наличии требования конструкторской документации.</w:t>
      </w:r>
    </w:p>
    <w:p>
      <w:pPr>
        <w:pStyle w:val="0"/>
        <w:spacing w:before="200" w:line-rule="auto"/>
        <w:ind w:firstLine="540"/>
        <w:jc w:val="both"/>
      </w:pPr>
      <w:r>
        <w:rPr>
          <w:sz w:val="20"/>
        </w:rPr>
        <w:t xml:space="preserve">49. В сварных соединениях плакированных сталей должен контролироваться металл сварных соединений, зона сплавления наплавленной поверхности с металлом шва и основным металлом на участках, прилегающих к сварному шву.</w:t>
      </w:r>
    </w:p>
    <w:p>
      <w:pPr>
        <w:pStyle w:val="0"/>
        <w:jc w:val="both"/>
      </w:pPr>
      <w:r>
        <w:rPr>
          <w:sz w:val="20"/>
        </w:rPr>
      </w:r>
    </w:p>
    <w:p>
      <w:pPr>
        <w:pStyle w:val="2"/>
        <w:outlineLvl w:val="2"/>
        <w:jc w:val="center"/>
      </w:pPr>
      <w:r>
        <w:rPr>
          <w:sz w:val="20"/>
        </w:rPr>
        <w:t xml:space="preserve">Контроль прогонкой металлическим калибром (шариком)</w:t>
      </w:r>
    </w:p>
    <w:p>
      <w:pPr>
        <w:pStyle w:val="0"/>
        <w:jc w:val="both"/>
      </w:pPr>
      <w:r>
        <w:rPr>
          <w:sz w:val="20"/>
        </w:rPr>
      </w:r>
    </w:p>
    <w:p>
      <w:pPr>
        <w:pStyle w:val="0"/>
        <w:ind w:firstLine="540"/>
        <w:jc w:val="both"/>
      </w:pPr>
      <w:r>
        <w:rPr>
          <w:sz w:val="20"/>
        </w:rPr>
        <w:t xml:space="preserve">50. Контроль сварных соединений прогонкой металлическим калибром (шариком) должен выполняться для труб с номинальным внутренним диаметром не более 70,0 мм при наличии требования в конструкторской документации.</w:t>
      </w:r>
    </w:p>
    <w:p>
      <w:pPr>
        <w:pStyle w:val="0"/>
        <w:jc w:val="both"/>
      </w:pPr>
      <w:r>
        <w:rPr>
          <w:sz w:val="20"/>
        </w:rPr>
      </w:r>
    </w:p>
    <w:p>
      <w:pPr>
        <w:pStyle w:val="2"/>
        <w:outlineLvl w:val="2"/>
        <w:jc w:val="center"/>
      </w:pPr>
      <w:r>
        <w:rPr>
          <w:sz w:val="20"/>
        </w:rPr>
        <w:t xml:space="preserve">Контроль герметичности</w:t>
      </w:r>
    </w:p>
    <w:p>
      <w:pPr>
        <w:pStyle w:val="0"/>
        <w:jc w:val="both"/>
      </w:pPr>
      <w:r>
        <w:rPr>
          <w:sz w:val="20"/>
        </w:rPr>
      </w:r>
    </w:p>
    <w:p>
      <w:pPr>
        <w:pStyle w:val="0"/>
        <w:ind w:firstLine="540"/>
        <w:jc w:val="both"/>
      </w:pPr>
      <w:r>
        <w:rPr>
          <w:sz w:val="20"/>
        </w:rPr>
        <w:t xml:space="preserve">51. Контроль герметичности проводится в случаях, предусмотренных конструкторской документацией.</w:t>
      </w:r>
    </w:p>
    <w:p>
      <w:pPr>
        <w:pStyle w:val="0"/>
        <w:spacing w:before="200" w:line-rule="auto"/>
        <w:ind w:firstLine="540"/>
        <w:jc w:val="both"/>
      </w:pPr>
      <w:r>
        <w:rPr>
          <w:sz w:val="20"/>
        </w:rPr>
        <w:t xml:space="preserve">52. Контролю герметичности подлежат сварные соединения деталей из стали и железоникелевых сплавов с номинальной толщиной более тонкостенной из сваренных деталей до 8,0 мм включительно, а контролю герметичности сварных соединений деталей из алюминиевых сплавов - до 10,0 мм включительно.</w:t>
      </w:r>
    </w:p>
    <w:p>
      <w:pPr>
        <w:pStyle w:val="0"/>
        <w:spacing w:before="200" w:line-rule="auto"/>
        <w:ind w:firstLine="540"/>
        <w:jc w:val="both"/>
      </w:pPr>
      <w:r>
        <w:rPr>
          <w:sz w:val="20"/>
        </w:rPr>
        <w:t xml:space="preserve">53. Класс герметичности определяется в соответствии с таблицей N 1 настоящих Правил.</w:t>
      </w:r>
    </w:p>
    <w:p>
      <w:pPr>
        <w:pStyle w:val="0"/>
        <w:jc w:val="both"/>
      </w:pPr>
      <w:r>
        <w:rPr>
          <w:sz w:val="20"/>
        </w:rPr>
      </w:r>
    </w:p>
    <w:p>
      <w:pPr>
        <w:pStyle w:val="0"/>
        <w:outlineLvl w:val="3"/>
        <w:jc w:val="right"/>
      </w:pPr>
      <w:r>
        <w:rPr>
          <w:sz w:val="20"/>
        </w:rPr>
        <w:t xml:space="preserve">Таблица N 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65"/>
        <w:gridCol w:w="6406"/>
      </w:tblGrid>
      <w:tr>
        <w:tc>
          <w:tcPr>
            <w:tcW w:w="2665" w:type="dxa"/>
          </w:tcPr>
          <w:p>
            <w:pPr>
              <w:pStyle w:val="0"/>
              <w:jc w:val="center"/>
            </w:pPr>
            <w:r>
              <w:rPr>
                <w:sz w:val="20"/>
              </w:rPr>
              <w:t xml:space="preserve">Класс герметичности</w:t>
            </w:r>
          </w:p>
        </w:tc>
        <w:tc>
          <w:tcPr>
            <w:tcW w:w="6406" w:type="dxa"/>
          </w:tcPr>
          <w:p>
            <w:pPr>
              <w:pStyle w:val="0"/>
              <w:jc w:val="center"/>
            </w:pPr>
            <w:r>
              <w:rPr>
                <w:sz w:val="20"/>
              </w:rPr>
              <w:t xml:space="preserve">Минимальные значения суммарного натекания, м</w:t>
            </w:r>
            <w:r>
              <w:rPr>
                <w:sz w:val="20"/>
                <w:vertAlign w:val="superscript"/>
              </w:rPr>
              <w:t xml:space="preserve">3</w:t>
            </w:r>
            <w:r>
              <w:rPr>
                <w:sz w:val="20"/>
              </w:rPr>
              <w:t xml:space="preserve">Па/с</w:t>
            </w:r>
          </w:p>
        </w:tc>
      </w:tr>
      <w:tr>
        <w:tc>
          <w:tcPr>
            <w:tcW w:w="2665" w:type="dxa"/>
            <w:vAlign w:val="center"/>
          </w:tcPr>
          <w:p>
            <w:pPr>
              <w:pStyle w:val="0"/>
              <w:jc w:val="center"/>
            </w:pPr>
            <w:r>
              <w:rPr>
                <w:sz w:val="20"/>
              </w:rPr>
              <w:t xml:space="preserve">I</w:t>
            </w:r>
          </w:p>
        </w:tc>
        <w:tc>
          <w:tcPr>
            <w:tcW w:w="6406" w:type="dxa"/>
            <w:vAlign w:val="center"/>
          </w:tcPr>
          <w:p>
            <w:pPr>
              <w:pStyle w:val="0"/>
              <w:jc w:val="center"/>
            </w:pPr>
            <w:r>
              <w:rPr>
                <w:sz w:val="20"/>
              </w:rPr>
              <w:t xml:space="preserve">от 6,7 x 10</w:t>
            </w:r>
            <w:r>
              <w:rPr>
                <w:sz w:val="20"/>
                <w:vertAlign w:val="superscript"/>
              </w:rPr>
              <w:t xml:space="preserve">-11</w:t>
            </w:r>
            <w:r>
              <w:rPr>
                <w:sz w:val="20"/>
              </w:rPr>
              <w:t xml:space="preserve"> до 6,7 x 10</w:t>
            </w:r>
            <w:r>
              <w:rPr>
                <w:sz w:val="20"/>
                <w:vertAlign w:val="superscript"/>
              </w:rPr>
              <w:t xml:space="preserve">-10</w:t>
            </w:r>
          </w:p>
        </w:tc>
      </w:tr>
      <w:tr>
        <w:tc>
          <w:tcPr>
            <w:tcW w:w="2665" w:type="dxa"/>
            <w:vAlign w:val="center"/>
          </w:tcPr>
          <w:p>
            <w:pPr>
              <w:pStyle w:val="0"/>
              <w:jc w:val="center"/>
            </w:pPr>
            <w:r>
              <w:rPr>
                <w:sz w:val="20"/>
              </w:rPr>
              <w:t xml:space="preserve">II</w:t>
            </w:r>
          </w:p>
        </w:tc>
        <w:tc>
          <w:tcPr>
            <w:tcW w:w="6406" w:type="dxa"/>
            <w:vAlign w:val="center"/>
          </w:tcPr>
          <w:p>
            <w:pPr>
              <w:pStyle w:val="0"/>
              <w:jc w:val="center"/>
            </w:pPr>
            <w:r>
              <w:rPr>
                <w:sz w:val="20"/>
              </w:rPr>
              <w:t xml:space="preserve">от 6,7 x 10</w:t>
            </w:r>
            <w:r>
              <w:rPr>
                <w:sz w:val="20"/>
                <w:vertAlign w:val="superscript"/>
              </w:rPr>
              <w:t xml:space="preserve">-10</w:t>
            </w:r>
            <w:r>
              <w:rPr>
                <w:sz w:val="20"/>
              </w:rPr>
              <w:t xml:space="preserve"> до 6,7 x 10</w:t>
            </w:r>
            <w:r>
              <w:rPr>
                <w:sz w:val="20"/>
                <w:vertAlign w:val="superscript"/>
              </w:rPr>
              <w:t xml:space="preserve">-9</w:t>
            </w:r>
          </w:p>
        </w:tc>
      </w:tr>
      <w:tr>
        <w:tc>
          <w:tcPr>
            <w:tcW w:w="2665" w:type="dxa"/>
            <w:vAlign w:val="center"/>
          </w:tcPr>
          <w:p>
            <w:pPr>
              <w:pStyle w:val="0"/>
              <w:jc w:val="center"/>
            </w:pPr>
            <w:r>
              <w:rPr>
                <w:sz w:val="20"/>
              </w:rPr>
              <w:t xml:space="preserve">III</w:t>
            </w:r>
          </w:p>
        </w:tc>
        <w:tc>
          <w:tcPr>
            <w:tcW w:w="6406" w:type="dxa"/>
            <w:vAlign w:val="center"/>
          </w:tcPr>
          <w:p>
            <w:pPr>
              <w:pStyle w:val="0"/>
              <w:jc w:val="center"/>
            </w:pPr>
            <w:r>
              <w:rPr>
                <w:sz w:val="20"/>
              </w:rPr>
              <w:t xml:space="preserve">от 6,7 x 10</w:t>
            </w:r>
            <w:r>
              <w:rPr>
                <w:sz w:val="20"/>
                <w:vertAlign w:val="superscript"/>
              </w:rPr>
              <w:t xml:space="preserve">-9</w:t>
            </w:r>
            <w:r>
              <w:rPr>
                <w:sz w:val="20"/>
              </w:rPr>
              <w:t xml:space="preserve"> до 6,7 x 10</w:t>
            </w:r>
            <w:r>
              <w:rPr>
                <w:sz w:val="20"/>
                <w:vertAlign w:val="superscript"/>
              </w:rPr>
              <w:t xml:space="preserve">-7</w:t>
            </w:r>
          </w:p>
        </w:tc>
      </w:tr>
      <w:tr>
        <w:tc>
          <w:tcPr>
            <w:tcW w:w="2665" w:type="dxa"/>
            <w:vAlign w:val="center"/>
          </w:tcPr>
          <w:p>
            <w:pPr>
              <w:pStyle w:val="0"/>
              <w:jc w:val="center"/>
            </w:pPr>
            <w:r>
              <w:rPr>
                <w:sz w:val="20"/>
              </w:rPr>
              <w:t xml:space="preserve">IV</w:t>
            </w:r>
          </w:p>
        </w:tc>
        <w:tc>
          <w:tcPr>
            <w:tcW w:w="6406" w:type="dxa"/>
            <w:vAlign w:val="center"/>
          </w:tcPr>
          <w:p>
            <w:pPr>
              <w:pStyle w:val="0"/>
              <w:jc w:val="center"/>
            </w:pPr>
            <w:r>
              <w:rPr>
                <w:sz w:val="20"/>
              </w:rPr>
              <w:t xml:space="preserve">от 6,7 x 10</w:t>
            </w:r>
            <w:r>
              <w:rPr>
                <w:sz w:val="20"/>
                <w:vertAlign w:val="superscript"/>
              </w:rPr>
              <w:t xml:space="preserve">-7</w:t>
            </w:r>
            <w:r>
              <w:rPr>
                <w:sz w:val="20"/>
              </w:rPr>
              <w:t xml:space="preserve"> до 6,7 x 10</w:t>
            </w:r>
            <w:r>
              <w:rPr>
                <w:sz w:val="20"/>
                <w:vertAlign w:val="superscript"/>
              </w:rPr>
              <w:t xml:space="preserve">-6</w:t>
            </w:r>
          </w:p>
        </w:tc>
      </w:tr>
      <w:tr>
        <w:tc>
          <w:tcPr>
            <w:tcW w:w="2665" w:type="dxa"/>
            <w:vAlign w:val="center"/>
          </w:tcPr>
          <w:p>
            <w:pPr>
              <w:pStyle w:val="0"/>
              <w:jc w:val="center"/>
            </w:pPr>
            <w:r>
              <w:rPr>
                <w:sz w:val="20"/>
              </w:rPr>
              <w:t xml:space="preserve">V</w:t>
            </w:r>
          </w:p>
        </w:tc>
        <w:tc>
          <w:tcPr>
            <w:tcW w:w="6406" w:type="dxa"/>
            <w:vAlign w:val="center"/>
          </w:tcPr>
          <w:p>
            <w:pPr>
              <w:pStyle w:val="0"/>
              <w:jc w:val="center"/>
            </w:pPr>
            <w:r>
              <w:rPr>
                <w:sz w:val="20"/>
              </w:rPr>
              <w:t xml:space="preserve">от 6,7 x 10</w:t>
            </w:r>
            <w:r>
              <w:rPr>
                <w:sz w:val="20"/>
                <w:vertAlign w:val="superscript"/>
              </w:rPr>
              <w:t xml:space="preserve">-6</w:t>
            </w:r>
            <w:r>
              <w:rPr>
                <w:sz w:val="20"/>
              </w:rPr>
              <w:t xml:space="preserve"> до 6,7 x 10</w:t>
            </w:r>
            <w:r>
              <w:rPr>
                <w:sz w:val="20"/>
                <w:vertAlign w:val="superscript"/>
              </w:rPr>
              <w:t xml:space="preserve">-4</w:t>
            </w:r>
          </w:p>
        </w:tc>
      </w:tr>
    </w:tbl>
    <w:p>
      <w:pPr>
        <w:pStyle w:val="0"/>
        <w:jc w:val="both"/>
      </w:pPr>
      <w:r>
        <w:rPr>
          <w:sz w:val="20"/>
        </w:rPr>
      </w:r>
    </w:p>
    <w:p>
      <w:pPr>
        <w:pStyle w:val="0"/>
        <w:ind w:firstLine="540"/>
        <w:jc w:val="both"/>
      </w:pPr>
      <w:r>
        <w:rPr>
          <w:sz w:val="20"/>
        </w:rPr>
        <w:t xml:space="preserve">54. Класс герметичности должен устанавливаться в конструкторской документации.</w:t>
      </w:r>
    </w:p>
    <w:p>
      <w:pPr>
        <w:pStyle w:val="0"/>
        <w:spacing w:before="200" w:line-rule="auto"/>
        <w:ind w:firstLine="540"/>
        <w:jc w:val="both"/>
      </w:pPr>
      <w:r>
        <w:rPr>
          <w:sz w:val="20"/>
        </w:rPr>
        <w:t xml:space="preserve">55. Конкретный метод контроля герметичности назначает организация-изготовитель (монтажная организация) и указывает его в технологической документации.</w:t>
      </w:r>
    </w:p>
    <w:p>
      <w:pPr>
        <w:pStyle w:val="0"/>
        <w:jc w:val="both"/>
      </w:pPr>
      <w:r>
        <w:rPr>
          <w:sz w:val="20"/>
        </w:rPr>
      </w:r>
    </w:p>
    <w:p>
      <w:pPr>
        <w:pStyle w:val="2"/>
        <w:outlineLvl w:val="2"/>
        <w:jc w:val="center"/>
      </w:pPr>
      <w:r>
        <w:rPr>
          <w:sz w:val="20"/>
        </w:rPr>
        <w:t xml:space="preserve">Контроль твердости</w:t>
      </w:r>
    </w:p>
    <w:p>
      <w:pPr>
        <w:pStyle w:val="0"/>
        <w:jc w:val="both"/>
      </w:pPr>
      <w:r>
        <w:rPr>
          <w:sz w:val="20"/>
        </w:rPr>
      </w:r>
    </w:p>
    <w:p>
      <w:pPr>
        <w:pStyle w:val="0"/>
        <w:ind w:firstLine="540"/>
        <w:jc w:val="both"/>
      </w:pPr>
      <w:r>
        <w:rPr>
          <w:sz w:val="20"/>
        </w:rPr>
        <w:t xml:space="preserve">56. Контроль твердости наплавленного металла уплотнительных поверхностей деталей из стали должен проводиться методом измерения по Роквеллу в соответствии с требованиями документа по стандартизации, включенного в Сводный </w:t>
      </w:r>
      <w:hyperlink w:history="0" r:id="rId28"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p>
      <w:pPr>
        <w:pStyle w:val="0"/>
        <w:spacing w:before="200" w:line-rule="auto"/>
        <w:ind w:firstLine="540"/>
        <w:jc w:val="both"/>
      </w:pPr>
      <w:r>
        <w:rPr>
          <w:sz w:val="20"/>
        </w:rPr>
        <w:t xml:space="preserve">57. Контроль твердости наплавленного металла уплотнительных поверхностей деталей из титановых сплавов должен проводиться методом измерения по Виккерсу в соответствии с требованиями документа по стандартизации, включенного в Сводный </w:t>
      </w:r>
      <w:hyperlink w:history="0" r:id="rId29"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p>
      <w:pPr>
        <w:pStyle w:val="0"/>
        <w:jc w:val="both"/>
      </w:pPr>
      <w:r>
        <w:rPr>
          <w:sz w:val="20"/>
        </w:rPr>
      </w:r>
    </w:p>
    <w:p>
      <w:pPr>
        <w:pStyle w:val="2"/>
        <w:outlineLvl w:val="2"/>
        <w:jc w:val="center"/>
      </w:pPr>
      <w:r>
        <w:rPr>
          <w:sz w:val="20"/>
        </w:rPr>
        <w:t xml:space="preserve">Вихретоковый контроль</w:t>
      </w:r>
    </w:p>
    <w:p>
      <w:pPr>
        <w:pStyle w:val="0"/>
        <w:jc w:val="both"/>
      </w:pPr>
      <w:r>
        <w:rPr>
          <w:sz w:val="20"/>
        </w:rPr>
      </w:r>
    </w:p>
    <w:p>
      <w:pPr>
        <w:pStyle w:val="0"/>
        <w:ind w:firstLine="540"/>
        <w:jc w:val="both"/>
      </w:pPr>
      <w:r>
        <w:rPr>
          <w:sz w:val="20"/>
        </w:rPr>
        <w:t xml:space="preserve">58. Необходимость проведения вихретокового контроля устанавливается конструкторской документацией.</w:t>
      </w:r>
    </w:p>
    <w:p>
      <w:pPr>
        <w:pStyle w:val="0"/>
        <w:jc w:val="both"/>
      </w:pPr>
      <w:r>
        <w:rPr>
          <w:sz w:val="20"/>
        </w:rPr>
      </w:r>
    </w:p>
    <w:p>
      <w:pPr>
        <w:pStyle w:val="2"/>
        <w:outlineLvl w:val="2"/>
        <w:jc w:val="center"/>
      </w:pPr>
      <w:r>
        <w:rPr>
          <w:sz w:val="20"/>
        </w:rPr>
        <w:t xml:space="preserve">Порядок контроля</w:t>
      </w:r>
    </w:p>
    <w:p>
      <w:pPr>
        <w:pStyle w:val="0"/>
        <w:jc w:val="both"/>
      </w:pPr>
      <w:r>
        <w:rPr>
          <w:sz w:val="20"/>
        </w:rPr>
      </w:r>
    </w:p>
    <w:p>
      <w:pPr>
        <w:pStyle w:val="0"/>
        <w:ind w:firstLine="540"/>
        <w:jc w:val="both"/>
      </w:pPr>
      <w:r>
        <w:rPr>
          <w:sz w:val="20"/>
        </w:rPr>
        <w:t xml:space="preserve">59. Последовательность проведения неразрушающего контроля различными методами устанавливается в технологической документации.</w:t>
      </w:r>
    </w:p>
    <w:p>
      <w:pPr>
        <w:pStyle w:val="0"/>
        <w:spacing w:before="200" w:line-rule="auto"/>
        <w:ind w:firstLine="540"/>
        <w:jc w:val="both"/>
      </w:pPr>
      <w:r>
        <w:rPr>
          <w:sz w:val="20"/>
        </w:rPr>
        <w:t xml:space="preserve">60. Визуальный и измерительный контроль должен проводиться как до, так и после термической обработки сварных соединений и наплавленных поверхностей. После термической обработки допускается проведение измерительного контроля только взаимного расположения осей сваренных деталей.</w:t>
      </w:r>
    </w:p>
    <w:p>
      <w:pPr>
        <w:pStyle w:val="0"/>
        <w:spacing w:before="200" w:line-rule="auto"/>
        <w:ind w:firstLine="540"/>
        <w:jc w:val="both"/>
      </w:pPr>
      <w:r>
        <w:rPr>
          <w:sz w:val="20"/>
        </w:rPr>
        <w:t xml:space="preserve">61. Неразрушающий контроль подлежащих отпуску сварных соединений и наплавленных поверхностей должен проводиться после отпуска.</w:t>
      </w:r>
    </w:p>
    <w:p>
      <w:pPr>
        <w:pStyle w:val="0"/>
        <w:spacing w:before="200" w:line-rule="auto"/>
        <w:ind w:firstLine="540"/>
        <w:jc w:val="both"/>
      </w:pPr>
      <w:r>
        <w:rPr>
          <w:sz w:val="20"/>
        </w:rPr>
        <w:t xml:space="preserve">В случае если сварное соединение или наплавленная поверхность подлежит многократному отпуску, неразрушающий контроль должен проводиться после одного из промежуточных отпусков и после окончательного отпуска.</w:t>
      </w:r>
    </w:p>
    <w:p>
      <w:pPr>
        <w:pStyle w:val="0"/>
        <w:jc w:val="both"/>
      </w:pPr>
      <w:r>
        <w:rPr>
          <w:sz w:val="20"/>
        </w:rPr>
        <w:t xml:space="preserve">(п. 61 в ред. </w:t>
      </w:r>
      <w:hyperlink w:history="0" r:id="rId30"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62. Если сварное соединение (наплавленная деталь) подлежит обязательному радиографическому и ультразвуковому контролю, допускается проведение радиографического контроля до термической обработки (в том числе до полной термической обработки) с обязательным проведением сплошного ультразвукового контроля после ее выполнения.</w:t>
      </w:r>
    </w:p>
    <w:p>
      <w:pPr>
        <w:pStyle w:val="0"/>
        <w:spacing w:before="200" w:line-rule="auto"/>
        <w:ind w:firstLine="540"/>
        <w:jc w:val="both"/>
      </w:pPr>
      <w:r>
        <w:rPr>
          <w:sz w:val="20"/>
        </w:rPr>
        <w:t xml:space="preserve">63. Неразрушающий контроль сварных соединений должен проводиться после выполнения механической обработки с удалением части сварного шва или деформирования, если такая обработка предусмотрена в конструкторской документации. Допускается проведение радиографического контроля до окончательной механической обработки сварного соединения, если суммарный припуск для указанной обработки на каждую сторону не превышает 20% номинальной толщины сваренных деталей. Требуемая чувствительность контроля должна выбираться по радиационной толщине стенки после механической обработки.</w:t>
      </w:r>
    </w:p>
    <w:p>
      <w:pPr>
        <w:pStyle w:val="0"/>
        <w:spacing w:before="200" w:line-rule="auto"/>
        <w:ind w:firstLine="540"/>
        <w:jc w:val="both"/>
      </w:pPr>
      <w:r>
        <w:rPr>
          <w:sz w:val="20"/>
        </w:rPr>
        <w:t xml:space="preserve">64. В случае недоступности сварных соединений с поперечными швами спирально изогнутых труб поверхностей теплообмена для сплошного контроля после окончания их изготовления допускается проведение указанного контроля до гибки труб.</w:t>
      </w:r>
    </w:p>
    <w:p>
      <w:pPr>
        <w:pStyle w:val="0"/>
        <w:spacing w:before="200" w:line-rule="auto"/>
        <w:ind w:firstLine="540"/>
        <w:jc w:val="both"/>
      </w:pPr>
      <w:r>
        <w:rPr>
          <w:sz w:val="20"/>
        </w:rPr>
        <w:t xml:space="preserve">65. Контроль герметичности должен проводиться после испытаний давлением. Контроль герметичности жидкостными методами допускается совмещать с гидравлическими испытаниями.</w:t>
      </w:r>
    </w:p>
    <w:p>
      <w:pPr>
        <w:pStyle w:val="0"/>
        <w:jc w:val="both"/>
      </w:pPr>
      <w:r>
        <w:rPr>
          <w:sz w:val="20"/>
        </w:rPr>
      </w:r>
    </w:p>
    <w:p>
      <w:pPr>
        <w:pStyle w:val="2"/>
        <w:outlineLvl w:val="2"/>
        <w:jc w:val="center"/>
      </w:pPr>
      <w:r>
        <w:rPr>
          <w:sz w:val="20"/>
        </w:rPr>
        <w:t xml:space="preserve">Объем контроля</w:t>
      </w:r>
    </w:p>
    <w:p>
      <w:pPr>
        <w:pStyle w:val="0"/>
        <w:jc w:val="both"/>
      </w:pPr>
      <w:r>
        <w:rPr>
          <w:sz w:val="20"/>
        </w:rPr>
      </w:r>
    </w:p>
    <w:p>
      <w:pPr>
        <w:pStyle w:val="0"/>
        <w:ind w:firstLine="540"/>
        <w:jc w:val="both"/>
      </w:pPr>
      <w:r>
        <w:rPr>
          <w:sz w:val="20"/>
        </w:rPr>
        <w:t xml:space="preserve">66. Зона контроля применительно к сварному соединению или его части должна включать объем (поверхность) сварного шва, а также примыкающие к нему участки основного металла в обе стороны от линии сплавления шириной не менее:</w:t>
      </w:r>
    </w:p>
    <w:p>
      <w:pPr>
        <w:pStyle w:val="0"/>
        <w:spacing w:before="200" w:line-rule="auto"/>
        <w:ind w:firstLine="540"/>
        <w:jc w:val="both"/>
      </w:pPr>
      <w:r>
        <w:rPr>
          <w:sz w:val="20"/>
        </w:rPr>
        <w:t xml:space="preserve">а) для стыковых сварных соединений, выполненных дуговой или электронно-лучевой сваркой:</w:t>
      </w:r>
    </w:p>
    <w:p>
      <w:pPr>
        <w:pStyle w:val="0"/>
        <w:spacing w:before="200" w:line-rule="auto"/>
        <w:ind w:firstLine="540"/>
        <w:jc w:val="both"/>
      </w:pPr>
      <w:r>
        <w:rPr>
          <w:sz w:val="20"/>
        </w:rPr>
        <w:t xml:space="preserve">1) 5,0 мм - при номинальной толщине свариваемых деталей до 5,0 мм включительно;</w:t>
      </w:r>
    </w:p>
    <w:p>
      <w:pPr>
        <w:pStyle w:val="0"/>
        <w:spacing w:before="200" w:line-rule="auto"/>
        <w:ind w:firstLine="540"/>
        <w:jc w:val="both"/>
      </w:pPr>
      <w:r>
        <w:rPr>
          <w:sz w:val="20"/>
        </w:rPr>
        <w:t xml:space="preserve">2) номинальной толщины свариваемых деталей - при номинальной толщине свариваемых деталей более 5,0 до 20,0 мм включительно;</w:t>
      </w:r>
    </w:p>
    <w:p>
      <w:pPr>
        <w:pStyle w:val="0"/>
        <w:spacing w:before="200" w:line-rule="auto"/>
        <w:ind w:firstLine="540"/>
        <w:jc w:val="both"/>
      </w:pPr>
      <w:r>
        <w:rPr>
          <w:sz w:val="20"/>
        </w:rPr>
        <w:t xml:space="preserve">3) 20,0 мм - при номинальной толщине свариваемых деталей более 20,0 мм;</w:t>
      </w:r>
    </w:p>
    <w:p>
      <w:pPr>
        <w:pStyle w:val="0"/>
        <w:spacing w:before="200" w:line-rule="auto"/>
        <w:ind w:firstLine="540"/>
        <w:jc w:val="both"/>
      </w:pPr>
      <w:r>
        <w:rPr>
          <w:sz w:val="20"/>
        </w:rPr>
        <w:t xml:space="preserve">б) 3,0 мм - для угловых, тавровых, нахлесточных, торцевых сварных соединений, выполненных дуговой или электронно-лучевой сваркой, независимо от толщины свариваемых деталей;</w:t>
      </w:r>
    </w:p>
    <w:p>
      <w:pPr>
        <w:pStyle w:val="0"/>
        <w:spacing w:before="200" w:line-rule="auto"/>
        <w:ind w:firstLine="540"/>
        <w:jc w:val="both"/>
      </w:pPr>
      <w:r>
        <w:rPr>
          <w:sz w:val="20"/>
        </w:rPr>
        <w:t xml:space="preserve">в) 50,0 мм - для сварных соединений, выполненных электрошлаковой сваркой, независимо от толщины свариваемых деталей.</w:t>
      </w:r>
    </w:p>
    <w:p>
      <w:pPr>
        <w:pStyle w:val="0"/>
        <w:spacing w:before="200" w:line-rule="auto"/>
        <w:ind w:firstLine="540"/>
        <w:jc w:val="both"/>
      </w:pPr>
      <w:r>
        <w:rPr>
          <w:sz w:val="20"/>
        </w:rPr>
        <w:t xml:space="preserve">Зона контроля сварных соединений вварки труб в трубные доски устанавливается в соответствии с требованиями конструкторской документации.</w:t>
      </w:r>
    </w:p>
    <w:p>
      <w:pPr>
        <w:pStyle w:val="0"/>
        <w:spacing w:before="200" w:line-rule="auto"/>
        <w:ind w:firstLine="540"/>
        <w:jc w:val="both"/>
      </w:pPr>
      <w:r>
        <w:rPr>
          <w:sz w:val="20"/>
        </w:rPr>
        <w:t xml:space="preserve">67. В сварных соединениях различной номинальной толщины ширина контролируемых участков основного металла должна определяться отдельно для каждой из свариваемых деталей в зависимости от их номинальной толщины.</w:t>
      </w:r>
    </w:p>
    <w:p>
      <w:pPr>
        <w:pStyle w:val="0"/>
        <w:spacing w:before="200" w:line-rule="auto"/>
        <w:ind w:firstLine="540"/>
        <w:jc w:val="both"/>
      </w:pPr>
      <w:r>
        <w:rPr>
          <w:sz w:val="20"/>
        </w:rPr>
        <w:t xml:space="preserve">68. Зоны контроля применительно к наплавленной детали или ее части должны включать весь объем и поверхность наплавленного металла, зону сплавления с основным металлом или сварным швом, а также по требованию конструкторской документации примыкающий к нему основной металл или металл шва (при наплавке на шовную зону).</w:t>
      </w:r>
    </w:p>
    <w:p>
      <w:pPr>
        <w:pStyle w:val="0"/>
        <w:spacing w:before="200" w:line-rule="auto"/>
        <w:ind w:firstLine="540"/>
        <w:jc w:val="both"/>
      </w:pPr>
      <w:r>
        <w:rPr>
          <w:sz w:val="20"/>
        </w:rPr>
        <w:t xml:space="preserve">69. При доступности для визуального и капиллярного контроля сварные соединения должны быть проконтролированы как с наружной, так и с внутренней стороны.</w:t>
      </w:r>
    </w:p>
    <w:p>
      <w:pPr>
        <w:pStyle w:val="0"/>
        <w:spacing w:before="200" w:line-rule="auto"/>
        <w:ind w:firstLine="540"/>
        <w:jc w:val="both"/>
      </w:pPr>
      <w:r>
        <w:rPr>
          <w:sz w:val="20"/>
        </w:rPr>
        <w:t xml:space="preserve">70. Неразрушающий контроль сварных соединений и наплавленных поверхностей в зависимости от объема проведения подразделяется на сплошной (объем 100%) и выборочный (объем 50, 25, 10 или 5%).</w:t>
      </w:r>
    </w:p>
    <w:p>
      <w:pPr>
        <w:pStyle w:val="0"/>
        <w:spacing w:before="200" w:line-rule="auto"/>
        <w:ind w:firstLine="540"/>
        <w:jc w:val="both"/>
      </w:pPr>
      <w:r>
        <w:rPr>
          <w:sz w:val="20"/>
        </w:rPr>
        <w:t xml:space="preserve">Сплошной контроль должен проводиться по всей протяженности каждого сварного соединения или по всей площади каждой наплавленной поверхности.</w:t>
      </w:r>
    </w:p>
    <w:p>
      <w:pPr>
        <w:pStyle w:val="0"/>
        <w:spacing w:before="200" w:line-rule="auto"/>
        <w:ind w:firstLine="540"/>
        <w:jc w:val="both"/>
      </w:pPr>
      <w:r>
        <w:rPr>
          <w:sz w:val="20"/>
        </w:rPr>
        <w:t xml:space="preserve">Выборочному контролю должны подвергаться участки сварных соединений и наплавленных поверхностей или отдельные сварные соединения и наплавленные поверхности.</w:t>
      </w:r>
    </w:p>
    <w:bookmarkStart w:id="248" w:name="P248"/>
    <w:bookmarkEnd w:id="248"/>
    <w:p>
      <w:pPr>
        <w:pStyle w:val="0"/>
        <w:spacing w:before="200" w:line-rule="auto"/>
        <w:ind w:firstLine="540"/>
        <w:jc w:val="both"/>
      </w:pPr>
      <w:r>
        <w:rPr>
          <w:sz w:val="20"/>
        </w:rPr>
        <w:t xml:space="preserve">71. Выборочный контроль участков должен проводиться на сварных соединениях с прямолинейными и другими незамкнутыми швами, сварных соединениях деталей с номинальным наружным диаметром свыше 250,0 мм с кольцевыми швами, а также на наплавленных поверхностях деталей размером более 1,0 м в каком-либо направлении. Отношение суммарной протяженности (площади поверхности) контролируемых участков к общей протяженности сварного соединения (площади наплавки) должно быть не менее установленного объема выборочного контроля.</w:t>
      </w:r>
    </w:p>
    <w:bookmarkStart w:id="249" w:name="P249"/>
    <w:bookmarkEnd w:id="249"/>
    <w:p>
      <w:pPr>
        <w:pStyle w:val="0"/>
        <w:spacing w:before="200" w:line-rule="auto"/>
        <w:ind w:firstLine="540"/>
        <w:jc w:val="both"/>
      </w:pPr>
      <w:r>
        <w:rPr>
          <w:sz w:val="20"/>
        </w:rPr>
        <w:t xml:space="preserve">72. При выборочном контроле сварных соединений деталей с номинальным наружным диаметром до 250,0 мм включительно с кольцевыми швами отдельные сварные соединения должны контролироваться по всей протяженности. Количество контролируемых сварных соединений должно быть неизменным для каждой группы сварных соединений одного типа для каждого изделия.</w:t>
      </w:r>
    </w:p>
    <w:p>
      <w:pPr>
        <w:pStyle w:val="0"/>
        <w:spacing w:before="200" w:line-rule="auto"/>
        <w:ind w:firstLine="540"/>
        <w:jc w:val="both"/>
      </w:pPr>
      <w:r>
        <w:rPr>
          <w:sz w:val="20"/>
        </w:rPr>
        <w:t xml:space="preserve">73. Выбор указанных в </w:t>
      </w:r>
      <w:hyperlink w:history="0" w:anchor="P248" w:tooltip="71. Выборочный контроль участков должен проводиться на сварных соединениях с прямолинейными и другими незамкнутыми швами, сварных соединениях деталей с номинальным наружным диаметром свыше 250,0 мм с кольцевыми швами, а также на наплавленных поверхностях деталей размером более 1,0 м в каком-либо направлении. Отношение суммарной протяженности (площади поверхности) контролируемых участков к общей протяженности сварного соединения (площади наплавки) должно быть не менее установленного объема выборочного кон...">
        <w:r>
          <w:rPr>
            <w:sz w:val="20"/>
            <w:color w:val="0000ff"/>
          </w:rPr>
          <w:t xml:space="preserve">пунктах 71</w:t>
        </w:r>
      </w:hyperlink>
      <w:r>
        <w:rPr>
          <w:sz w:val="20"/>
        </w:rPr>
        <w:t xml:space="preserve"> и </w:t>
      </w:r>
      <w:hyperlink w:history="0" w:anchor="P249" w:tooltip="72. При выборочном контроле сварных соединений деталей с номинальным наружным диаметром до 250,0 мм включительно с кольцевыми швами отдельные сварные соединения должны контролироваться по всей протяженности. Количество контролируемых сварных соединений должно быть неизменным для каждой группы сварных соединений одного типа для каждого изделия.">
        <w:r>
          <w:rPr>
            <w:sz w:val="20"/>
            <w:color w:val="0000ff"/>
          </w:rPr>
          <w:t xml:space="preserve">72</w:t>
        </w:r>
      </w:hyperlink>
      <w:r>
        <w:rPr>
          <w:sz w:val="20"/>
        </w:rPr>
        <w:t xml:space="preserve"> настоящих Правил контролируемых участков или сварных соединений должен проводиться из числа наиболее трудновыполнимых. При отсутствии указанных участков проверяемые участки должны равномерно распределяться по длине контролируемых сварных соединений (по наплавленной поверхности).</w:t>
      </w:r>
    </w:p>
    <w:p>
      <w:pPr>
        <w:pStyle w:val="0"/>
        <w:spacing w:before="200" w:line-rule="auto"/>
        <w:ind w:firstLine="540"/>
        <w:jc w:val="both"/>
      </w:pPr>
      <w:r>
        <w:rPr>
          <w:sz w:val="20"/>
        </w:rPr>
        <w:t xml:space="preserve">74. Вне зависимости от объема выборочного контроля участки пересечения и сопряжения сварных швов на расстоянии не менее трех номинальных толщин сваренных деталей в каждую сторону от точки пересечения (сопряжения) осей швов должны быть проконтролированы всеми предусмотренными методами на каждом сварном соединении.</w:t>
      </w:r>
    </w:p>
    <w:p>
      <w:pPr>
        <w:pStyle w:val="0"/>
        <w:spacing w:before="200" w:line-rule="auto"/>
        <w:ind w:firstLine="540"/>
        <w:jc w:val="both"/>
      </w:pPr>
      <w:r>
        <w:rPr>
          <w:sz w:val="20"/>
        </w:rPr>
        <w:t xml:space="preserve">75. В случае обнаружения при выборочном контроле несплошностей, размеры которых превышают допустимые, должен проводиться дополнительный контроль тем же методом в удвоенном объеме с обязательным контролем участков, примыкающих к дефектным участкам. При отрицательных результатах дополнительного контроля должен проводиться сплошной контроль.</w:t>
      </w:r>
    </w:p>
    <w:p>
      <w:pPr>
        <w:pStyle w:val="0"/>
        <w:spacing w:before="200" w:line-rule="auto"/>
        <w:ind w:firstLine="540"/>
        <w:jc w:val="both"/>
      </w:pPr>
      <w:r>
        <w:rPr>
          <w:sz w:val="20"/>
        </w:rPr>
        <w:t xml:space="preserve">При выборочном контроле сварных соединений с кольцевыми швами деталей с номинальным наружным диаметром до 250,0 мм включительно требования настоящего пункта распространяются на сварные соединения одного типа, выполненные сварщиком, допустившим дефекты.</w:t>
      </w:r>
    </w:p>
    <w:p>
      <w:pPr>
        <w:pStyle w:val="0"/>
        <w:spacing w:before="200" w:line-rule="auto"/>
        <w:ind w:firstLine="540"/>
        <w:jc w:val="both"/>
      </w:pPr>
      <w:r>
        <w:rPr>
          <w:sz w:val="20"/>
        </w:rPr>
        <w:t xml:space="preserve">При этом должно соблюдаться следующее условие. Дополнительный контроль непроконтролированных участков проводят в удвоенном объеме сварных соединений того же типа, выполненных тем же сварщиком за одну смену (в которую сварен дефектный участок шва) при автоматической сварке и за две смены при ручной дуговой сварке (смену, в которую был сварен дефектный участок шва, и в предыдущую).</w:t>
      </w:r>
    </w:p>
    <w:p>
      <w:pPr>
        <w:pStyle w:val="0"/>
        <w:spacing w:before="200" w:line-rule="auto"/>
        <w:ind w:firstLine="540"/>
        <w:jc w:val="both"/>
      </w:pPr>
      <w:r>
        <w:rPr>
          <w:sz w:val="20"/>
        </w:rPr>
        <w:t xml:space="preserve">76. Недоступность для контроля тем или иным методом конкретных сварных соединений (наплавленных поверхностей), а также замена одного метода контроля на другой и его объем при замене должны указываться в конструкторской документации.</w:t>
      </w:r>
    </w:p>
    <w:p>
      <w:pPr>
        <w:pStyle w:val="0"/>
        <w:jc w:val="both"/>
      </w:pPr>
      <w:r>
        <w:rPr>
          <w:sz w:val="20"/>
        </w:rPr>
        <w:t xml:space="preserve">(в ред. </w:t>
      </w:r>
      <w:hyperlink w:history="0" r:id="rId31"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bookmarkStart w:id="257" w:name="P257"/>
    <w:bookmarkEnd w:id="257"/>
    <w:p>
      <w:pPr>
        <w:pStyle w:val="0"/>
        <w:spacing w:before="200" w:line-rule="auto"/>
        <w:ind w:firstLine="540"/>
        <w:jc w:val="both"/>
      </w:pPr>
      <w:r>
        <w:rPr>
          <w:sz w:val="20"/>
        </w:rPr>
        <w:t xml:space="preserve">77. Сплошному капиллярному контролю подлежат все сварные соединения деталей из сталей аустенитного класса, выполненные сварочными материалами, содержащими ниобий, а также сварные соединения деталей из сталей аустенитного класса с антикоррозионной наплавкой, содержащей ниобий. В остальных случаях объем капиллярного контроля сварных соединений деталей из сталей аустенитного класса устанавливается в конструкторской документации.</w:t>
      </w:r>
    </w:p>
    <w:p>
      <w:pPr>
        <w:pStyle w:val="0"/>
        <w:spacing w:before="200" w:line-rule="auto"/>
        <w:ind w:firstLine="540"/>
        <w:jc w:val="both"/>
      </w:pPr>
      <w:r>
        <w:rPr>
          <w:sz w:val="20"/>
        </w:rPr>
        <w:t xml:space="preserve">78. Сварные соединения (наплавки) деталей из титановых сплавов должны подвергаться сплошному капиллярному контролю вне зависимости от категории сварного соединения, включая прилегающие участки основного металла шириной не менее 20,0 мм в обе стороны от шва.</w:t>
      </w:r>
    </w:p>
    <w:p>
      <w:pPr>
        <w:pStyle w:val="0"/>
        <w:spacing w:before="200" w:line-rule="auto"/>
        <w:ind w:firstLine="540"/>
        <w:jc w:val="both"/>
      </w:pPr>
      <w:r>
        <w:rPr>
          <w:sz w:val="20"/>
        </w:rPr>
        <w:t xml:space="preserve">79. Предварительно наплавленные перлитными или высокохромистыми сварочными материалами кромки деталей из легированных сталей, включая зону сплавления наплавки с основным металлом, должны подвергаться сплошному капиллярному или магнитопорошковому контролю вне зависимости от категории сварного соединения.</w:t>
      </w:r>
    </w:p>
    <w:p>
      <w:pPr>
        <w:pStyle w:val="0"/>
        <w:spacing w:before="200" w:line-rule="auto"/>
        <w:ind w:firstLine="540"/>
        <w:jc w:val="both"/>
      </w:pPr>
      <w:r>
        <w:rPr>
          <w:sz w:val="20"/>
        </w:rPr>
        <w:t xml:space="preserve">80. На сварных соединениях деталей из стали перлитного класса с деталями из стали аустенитного класса с предварительной наплавкой кромок, выполненной аустенитными сварочными материалами, должен проводиться повторный капиллярный контроль зоны сплавления предварительной наплавки с основным металлом.</w:t>
      </w:r>
    </w:p>
    <w:p>
      <w:pPr>
        <w:pStyle w:val="0"/>
        <w:spacing w:before="200" w:line-rule="auto"/>
        <w:ind w:firstLine="540"/>
        <w:jc w:val="both"/>
      </w:pPr>
      <w:r>
        <w:rPr>
          <w:sz w:val="20"/>
        </w:rPr>
        <w:t xml:space="preserve">81. Выборочный капиллярный или магнитопорошковый контроль сварных соединений, выполненных одной партией сварочных материалов, может быть уменьшен решением организации-изготовителя или монтажной организации, если при контроле первых двадцати однотипных сварных соединений с суммарной длиной проконтролированных швов не менее 10,0 м не будут выявлены трещины.</w:t>
      </w:r>
    </w:p>
    <w:p>
      <w:pPr>
        <w:pStyle w:val="0"/>
        <w:spacing w:before="200" w:line-rule="auto"/>
        <w:ind w:firstLine="540"/>
        <w:jc w:val="both"/>
      </w:pPr>
      <w:r>
        <w:rPr>
          <w:sz w:val="20"/>
        </w:rPr>
        <w:t xml:space="preserve">Указанное требование не распространяется на сварные соединения I, Iн, II, IIн категорий деталей из сталей перлитного класса, легированных ванадием или ниобием, и деталей из сталей аустенитного класса, выполненных сварочными материалами, содержащими ниобий, а также на сварные соединения всех категорий деталей из сталей различных структурных классов.</w:t>
      </w:r>
    </w:p>
    <w:p>
      <w:pPr>
        <w:pStyle w:val="0"/>
        <w:spacing w:before="200" w:line-rule="auto"/>
        <w:ind w:firstLine="540"/>
        <w:jc w:val="both"/>
      </w:pPr>
      <w:r>
        <w:rPr>
          <w:sz w:val="20"/>
        </w:rPr>
        <w:t xml:space="preserve">82. Уменьшенный объем выборочного капиллярного или магнитопорошкового контроля должен составлять не менее 5% для сварных соединений деталей из углеродистых и (или) из кремнемарганцовистых сталей и для сварных соединений деталей из сталей аустенитного класса, выполненных сварочными материалами без ниобия, а в остальных случаях - не менее 15%.</w:t>
      </w:r>
    </w:p>
    <w:p>
      <w:pPr>
        <w:pStyle w:val="0"/>
        <w:spacing w:before="200" w:line-rule="auto"/>
        <w:ind w:firstLine="540"/>
        <w:jc w:val="both"/>
      </w:pPr>
      <w:r>
        <w:rPr>
          <w:sz w:val="20"/>
        </w:rPr>
        <w:t xml:space="preserve">Если при выборочном контроле по настоящему пункту будет выявлена хотя бы одна трещина, то все сварные соединения, выполненные той же партией сварочных материалов, что и дефектное, подлежат сплошному контролю.</w:t>
      </w:r>
    </w:p>
    <w:p>
      <w:pPr>
        <w:pStyle w:val="0"/>
        <w:spacing w:before="200" w:line-rule="auto"/>
        <w:ind w:firstLine="540"/>
        <w:jc w:val="both"/>
      </w:pPr>
      <w:r>
        <w:rPr>
          <w:sz w:val="20"/>
        </w:rPr>
        <w:t xml:space="preserve">83. При технической невозможности выполнения радиографического и (или) ультразвукового контроля сварных соединений допускается проводить послойный визуальный контроль в процессе сварки с фиксацией результатов и последующим проведением капиллярного или магнитопорошкового контроля сварного соединения в доступных местах.</w:t>
      </w:r>
    </w:p>
    <w:p>
      <w:pPr>
        <w:pStyle w:val="0"/>
        <w:spacing w:before="200" w:line-rule="auto"/>
        <w:ind w:firstLine="540"/>
        <w:jc w:val="both"/>
      </w:pPr>
      <w:r>
        <w:rPr>
          <w:sz w:val="20"/>
        </w:rPr>
        <w:t xml:space="preserve">84. Ультразвуковой контроль сварных соединений, не подлежащих радиографическому контролю, допускается заменять радиографическим контролем того же объема.</w:t>
      </w:r>
    </w:p>
    <w:p>
      <w:pPr>
        <w:pStyle w:val="0"/>
        <w:spacing w:before="200" w:line-rule="auto"/>
        <w:ind w:firstLine="540"/>
        <w:jc w:val="both"/>
      </w:pPr>
      <w:r>
        <w:rPr>
          <w:sz w:val="20"/>
        </w:rPr>
        <w:t xml:space="preserve">85. В случае технической невозможности проведения радиографического контроля для сварных соединений IIв и IIIс категорий по требованию конструкторской документации допускается выполнять ультразвуковой контроль в том же объеме.</w:t>
      </w:r>
    </w:p>
    <w:p>
      <w:pPr>
        <w:pStyle w:val="0"/>
        <w:spacing w:before="200" w:line-rule="auto"/>
        <w:ind w:firstLine="540"/>
        <w:jc w:val="both"/>
      </w:pPr>
      <w:r>
        <w:rPr>
          <w:sz w:val="20"/>
        </w:rPr>
        <w:t xml:space="preserve">86. Сварные соединения деталей из циркониевых сплавов с деталями из стали аустенитного класса подлежат сплошному радиографическому контролю.</w:t>
      </w:r>
    </w:p>
    <w:p>
      <w:pPr>
        <w:pStyle w:val="0"/>
        <w:spacing w:before="200" w:line-rule="auto"/>
        <w:ind w:firstLine="540"/>
        <w:jc w:val="both"/>
      </w:pPr>
      <w:r>
        <w:rPr>
          <w:sz w:val="20"/>
        </w:rPr>
        <w:t xml:space="preserve">87. Не проводится радиографический контроль сварных соединений категорий IIв и IIIс, предназначенных для работы под давлением до 0,07 МПа, что должно быть отражено в конструкторской документации.</w:t>
      </w:r>
    </w:p>
    <w:p>
      <w:pPr>
        <w:pStyle w:val="0"/>
        <w:spacing w:before="200" w:line-rule="auto"/>
        <w:ind w:firstLine="540"/>
        <w:jc w:val="both"/>
      </w:pPr>
      <w:r>
        <w:rPr>
          <w:sz w:val="20"/>
        </w:rPr>
        <w:t xml:space="preserve">88. Для сварных соединений IIв и III категорий оборудования и трубопроводов с номинальным наружным диаметром до 200,0 мм включительно и при номинальной толщине стенки менее 15,0 мм допускается уменьшение объема радиографического контроля, но не более чем в два раза.</w:t>
      </w:r>
    </w:p>
    <w:p>
      <w:pPr>
        <w:pStyle w:val="0"/>
        <w:spacing w:before="200" w:line-rule="auto"/>
        <w:ind w:firstLine="540"/>
        <w:jc w:val="both"/>
      </w:pPr>
      <w:r>
        <w:rPr>
          <w:sz w:val="20"/>
        </w:rPr>
        <w:t xml:space="preserve">89. Если сварное соединение подлежит выборочному радиографическому и ультразвуковому контролю, но последний технически невыполним, то объем радиографического контроля должен быть удвоен.</w:t>
      </w:r>
    </w:p>
    <w:p>
      <w:pPr>
        <w:pStyle w:val="0"/>
        <w:spacing w:before="200" w:line-rule="auto"/>
        <w:ind w:firstLine="540"/>
        <w:jc w:val="both"/>
      </w:pPr>
      <w:r>
        <w:rPr>
          <w:sz w:val="20"/>
        </w:rPr>
        <w:t xml:space="preserve">90. Радиографический контроль угловых, тавровых, торцевых и нахлесточных сварных соединений должен проводиться только в том случае, если суммарная радиационная толщина просвечиваемого металла не превышает 100,0 мм; расчетная высота углового шва или толщина шва в направлении просвечивания должна составлять не менее 0,2 от суммарной радиационной толщины.</w:t>
      </w:r>
    </w:p>
    <w:p>
      <w:pPr>
        <w:pStyle w:val="0"/>
        <w:spacing w:before="200" w:line-rule="auto"/>
        <w:ind w:firstLine="540"/>
        <w:jc w:val="both"/>
      </w:pPr>
      <w:r>
        <w:rPr>
          <w:sz w:val="20"/>
        </w:rPr>
        <w:t xml:space="preserve">91. Угловые, тавровые, торцевые, нахлесточные сварные соединения с конструкционным зазором, а также угловые и тавровые соединения труб с номинальным внутренним диаметром менее 100,0 мм ультразвуковому контролю не подлежат. Для указанных сварных соединений должен проводиться послойный сплошной визуальный контроль, а также сплошной капиллярный контроль.</w:t>
      </w:r>
    </w:p>
    <w:p>
      <w:pPr>
        <w:pStyle w:val="0"/>
        <w:spacing w:before="200" w:line-rule="auto"/>
        <w:ind w:firstLine="540"/>
        <w:jc w:val="both"/>
      </w:pPr>
      <w:r>
        <w:rPr>
          <w:sz w:val="20"/>
        </w:rPr>
        <w:t xml:space="preserve">92. Сварные соединения приварки к оборудованию и трубопроводам патрубков (штуцеров) и труб с номинальным внутренним диаметром более 16,0 до 30,0 мм включительно подлежат радиографическому контролю в объеме не менее 50% протяженности соответствующего шва с обязательным проведением послойного визуального контроля в процессе сварки. Уменьшение объема контроля шва не учитывается при назначении общего объема выборочного контроля.</w:t>
      </w:r>
    </w:p>
    <w:p>
      <w:pPr>
        <w:pStyle w:val="0"/>
        <w:spacing w:before="200" w:line-rule="auto"/>
        <w:ind w:firstLine="540"/>
        <w:jc w:val="both"/>
      </w:pPr>
      <w:r>
        <w:rPr>
          <w:sz w:val="20"/>
        </w:rPr>
        <w:t xml:space="preserve">Радиографический контроль сварных соединений приварки патрубков (штуцеров), труб с номинальным внутренним диаметром до 16,0 мм включительно проводится при наличии требований в конструкторской документации.</w:t>
      </w:r>
    </w:p>
    <w:p>
      <w:pPr>
        <w:pStyle w:val="0"/>
        <w:spacing w:before="200" w:line-rule="auto"/>
        <w:ind w:firstLine="540"/>
        <w:jc w:val="both"/>
      </w:pPr>
      <w:r>
        <w:rPr>
          <w:sz w:val="20"/>
        </w:rPr>
        <w:t xml:space="preserve">93. Методы и объем неразрушающего контроля сварных соединений деталей из сталей перлитного класса и (или) из высокохромистых сталей приведены в таблице N 2 настоящих Правил. Объем контроля свариваемых деталей различной номинальной толщины устанавливается по номинальной толщине более тонкостенной детали в месте сварки или по наиболее тонкому месту при переменном сечении сварного соединения.</w:t>
      </w:r>
    </w:p>
    <w:p>
      <w:pPr>
        <w:pStyle w:val="0"/>
        <w:jc w:val="both"/>
      </w:pPr>
      <w:r>
        <w:rPr>
          <w:sz w:val="20"/>
        </w:rPr>
      </w:r>
    </w:p>
    <w:bookmarkStart w:id="278" w:name="P278"/>
    <w:bookmarkEnd w:id="278"/>
    <w:p>
      <w:pPr>
        <w:pStyle w:val="0"/>
        <w:outlineLvl w:val="3"/>
        <w:jc w:val="right"/>
      </w:pPr>
      <w:r>
        <w:rPr>
          <w:sz w:val="20"/>
        </w:rPr>
        <w:t xml:space="preserve">Таблица N 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1133"/>
        <w:gridCol w:w="984"/>
        <w:gridCol w:w="964"/>
        <w:gridCol w:w="845"/>
        <w:gridCol w:w="1133"/>
        <w:gridCol w:w="907"/>
        <w:gridCol w:w="850"/>
        <w:gridCol w:w="964"/>
      </w:tblGrid>
      <w:tr>
        <w:tc>
          <w:tcPr>
            <w:tcW w:w="1247" w:type="dxa"/>
            <w:vMerge w:val="restart"/>
          </w:tcPr>
          <w:p>
            <w:pPr>
              <w:pStyle w:val="0"/>
              <w:jc w:val="center"/>
            </w:pPr>
            <w:r>
              <w:rPr>
                <w:sz w:val="20"/>
              </w:rPr>
              <w:t xml:space="preserve">Номинальная толщина сварных деталей, мм</w:t>
            </w:r>
          </w:p>
        </w:tc>
        <w:tc>
          <w:tcPr>
            <w:tcW w:w="1133" w:type="dxa"/>
            <w:vMerge w:val="restart"/>
          </w:tcPr>
          <w:p>
            <w:pPr>
              <w:pStyle w:val="0"/>
              <w:jc w:val="center"/>
            </w:pPr>
            <w:r>
              <w:rPr>
                <w:sz w:val="20"/>
              </w:rPr>
              <w:t xml:space="preserve">Категория сварного соединения</w:t>
            </w:r>
          </w:p>
        </w:tc>
        <w:tc>
          <w:tcPr>
            <w:gridSpan w:val="7"/>
            <w:tcW w:w="6647" w:type="dxa"/>
          </w:tcPr>
          <w:p>
            <w:pPr>
              <w:pStyle w:val="0"/>
              <w:jc w:val="center"/>
            </w:pPr>
            <w:r>
              <w:rPr>
                <w:sz w:val="20"/>
              </w:rPr>
              <w:t xml:space="preserve">Объем контроля, %</w:t>
            </w:r>
          </w:p>
        </w:tc>
      </w:tr>
      <w:tr>
        <w:tc>
          <w:tcPr>
            <w:vMerge w:val="continue"/>
          </w:tcPr>
          <w:p/>
        </w:tc>
        <w:tc>
          <w:tcPr>
            <w:vMerge w:val="continue"/>
          </w:tcPr>
          <w:p/>
        </w:tc>
        <w:tc>
          <w:tcPr>
            <w:tcW w:w="984" w:type="dxa"/>
            <w:vMerge w:val="restart"/>
          </w:tcPr>
          <w:p>
            <w:pPr>
              <w:pStyle w:val="0"/>
              <w:jc w:val="center"/>
            </w:pPr>
            <w:r>
              <w:rPr>
                <w:sz w:val="20"/>
              </w:rPr>
              <w:t xml:space="preserve">визуального и измерительного</w:t>
            </w:r>
          </w:p>
        </w:tc>
        <w:tc>
          <w:tcPr>
            <w:tcW w:w="964" w:type="dxa"/>
            <w:vMerge w:val="restart"/>
          </w:tcPr>
          <w:p>
            <w:pPr>
              <w:pStyle w:val="0"/>
              <w:jc w:val="center"/>
            </w:pPr>
            <w:r>
              <w:rPr>
                <w:sz w:val="20"/>
              </w:rPr>
              <w:t xml:space="preserve">капиллярного или магнитопорошкового</w:t>
            </w:r>
          </w:p>
        </w:tc>
        <w:tc>
          <w:tcPr>
            <w:gridSpan w:val="3"/>
            <w:tcW w:w="2885" w:type="dxa"/>
          </w:tcPr>
          <w:p>
            <w:pPr>
              <w:pStyle w:val="0"/>
              <w:jc w:val="center"/>
            </w:pPr>
            <w:r>
              <w:rPr>
                <w:sz w:val="20"/>
              </w:rPr>
              <w:t xml:space="preserve">радиографического</w:t>
            </w:r>
          </w:p>
        </w:tc>
        <w:tc>
          <w:tcPr>
            <w:gridSpan w:val="2"/>
            <w:tcW w:w="1814" w:type="dxa"/>
          </w:tcPr>
          <w:p>
            <w:pPr>
              <w:pStyle w:val="0"/>
              <w:jc w:val="center"/>
            </w:pPr>
            <w:r>
              <w:rPr>
                <w:sz w:val="20"/>
              </w:rPr>
              <w:t xml:space="preserve">ультразвукового</w:t>
            </w:r>
          </w:p>
        </w:tc>
      </w:tr>
      <w:tr>
        <w:tc>
          <w:tcPr>
            <w:vMerge w:val="continue"/>
          </w:tcPr>
          <w:p/>
        </w:tc>
        <w:tc>
          <w:tcPr>
            <w:vMerge w:val="continue"/>
          </w:tcPr>
          <w:p/>
        </w:tc>
        <w:tc>
          <w:tcPr>
            <w:vMerge w:val="continue"/>
          </w:tcPr>
          <w:p/>
        </w:tc>
        <w:tc>
          <w:tcPr>
            <w:vMerge w:val="continue"/>
          </w:tcPr>
          <w:p/>
        </w:tc>
        <w:tc>
          <w:tcPr>
            <w:tcW w:w="845" w:type="dxa"/>
            <w:vMerge w:val="restart"/>
          </w:tcPr>
          <w:p>
            <w:pPr>
              <w:pStyle w:val="0"/>
              <w:jc w:val="center"/>
            </w:pPr>
            <w:r>
              <w:rPr>
                <w:sz w:val="20"/>
              </w:rPr>
              <w:t xml:space="preserve">на оборудование</w:t>
            </w:r>
          </w:p>
        </w:tc>
        <w:tc>
          <w:tcPr>
            <w:gridSpan w:val="2"/>
            <w:tcW w:w="2040" w:type="dxa"/>
          </w:tcPr>
          <w:p>
            <w:pPr>
              <w:pStyle w:val="0"/>
              <w:jc w:val="center"/>
            </w:pPr>
            <w:r>
              <w:rPr>
                <w:sz w:val="20"/>
              </w:rPr>
              <w:t xml:space="preserve">на трубопроводах с D</w:t>
            </w:r>
            <w:r>
              <w:rPr>
                <w:sz w:val="20"/>
                <w:vertAlign w:val="subscript"/>
              </w:rPr>
              <w:t xml:space="preserve">н</w:t>
            </w:r>
          </w:p>
        </w:tc>
        <w:tc>
          <w:tcPr>
            <w:tcW w:w="850" w:type="dxa"/>
            <w:vMerge w:val="restart"/>
          </w:tcPr>
          <w:p>
            <w:pPr>
              <w:pStyle w:val="0"/>
              <w:jc w:val="center"/>
            </w:pPr>
            <w:r>
              <w:rPr>
                <w:sz w:val="20"/>
              </w:rPr>
              <w:t xml:space="preserve">на оборудовании</w:t>
            </w:r>
          </w:p>
        </w:tc>
        <w:tc>
          <w:tcPr>
            <w:tcW w:w="964" w:type="dxa"/>
            <w:vMerge w:val="restart"/>
          </w:tcPr>
          <w:p>
            <w:pPr>
              <w:pStyle w:val="0"/>
              <w:jc w:val="center"/>
            </w:pPr>
            <w:r>
              <w:rPr>
                <w:sz w:val="20"/>
              </w:rPr>
              <w:t xml:space="preserve">на трубопроводах</w:t>
            </w:r>
          </w:p>
        </w:tc>
      </w:tr>
      <w:tr>
        <w:tc>
          <w:tcPr>
            <w:vMerge w:val="continue"/>
          </w:tcPr>
          <w:p/>
        </w:tc>
        <w:tc>
          <w:tcPr>
            <w:vMerge w:val="continue"/>
          </w:tcPr>
          <w:p/>
        </w:tc>
        <w:tc>
          <w:tcPr>
            <w:vMerge w:val="continue"/>
          </w:tcPr>
          <w:p/>
        </w:tc>
        <w:tc>
          <w:tcPr>
            <w:vMerge w:val="continue"/>
          </w:tcPr>
          <w:p/>
        </w:tc>
        <w:tc>
          <w:tcPr>
            <w:vMerge w:val="continue"/>
          </w:tcPr>
          <w:p/>
        </w:tc>
        <w:tc>
          <w:tcPr>
            <w:tcW w:w="1133" w:type="dxa"/>
          </w:tcPr>
          <w:p>
            <w:pPr>
              <w:pStyle w:val="0"/>
              <w:jc w:val="center"/>
            </w:pPr>
            <w:r>
              <w:rPr>
                <w:sz w:val="20"/>
              </w:rPr>
              <w:t xml:space="preserve">до 325 мм включительно</w:t>
            </w:r>
          </w:p>
        </w:tc>
        <w:tc>
          <w:tcPr>
            <w:tcW w:w="907" w:type="dxa"/>
          </w:tcPr>
          <w:p>
            <w:pPr>
              <w:pStyle w:val="0"/>
              <w:jc w:val="center"/>
            </w:pPr>
            <w:r>
              <w:rPr>
                <w:sz w:val="20"/>
              </w:rPr>
              <w:t xml:space="preserve">более 325 мм</w:t>
            </w:r>
          </w:p>
        </w:tc>
        <w:tc>
          <w:tcPr>
            <w:vMerge w:val="continue"/>
          </w:tcPr>
          <w:p/>
        </w:tc>
        <w:tc>
          <w:tcPr>
            <w:vMerge w:val="continue"/>
          </w:tcPr>
          <w:p/>
        </w:tc>
      </w:tr>
      <w:tr>
        <w:tc>
          <w:tcPr>
            <w:tcW w:w="1247" w:type="dxa"/>
            <w:vAlign w:val="center"/>
            <w:vMerge w:val="restart"/>
          </w:tcPr>
          <w:p>
            <w:pPr>
              <w:pStyle w:val="0"/>
              <w:jc w:val="center"/>
            </w:pPr>
            <w:r>
              <w:rPr>
                <w:sz w:val="20"/>
              </w:rPr>
              <w:t xml:space="preserve">До 5,5 включительно</w:t>
            </w:r>
          </w:p>
        </w:tc>
        <w:tc>
          <w:tcPr>
            <w:tcW w:w="1133" w:type="dxa"/>
            <w:vAlign w:val="center"/>
          </w:tcPr>
          <w:p>
            <w:pPr>
              <w:pStyle w:val="0"/>
              <w:jc w:val="center"/>
            </w:pPr>
            <w:r>
              <w:rPr>
                <w:sz w:val="20"/>
              </w:rPr>
              <w:t xml:space="preserve">I, Iн, IIа, IIна</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100</w:t>
            </w:r>
          </w:p>
        </w:tc>
        <w:tc>
          <w:tcPr>
            <w:tcW w:w="845"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907" w:type="dxa"/>
            <w:vAlign w:val="center"/>
          </w:tcPr>
          <w:p>
            <w:pPr>
              <w:pStyle w:val="0"/>
              <w:jc w:val="center"/>
            </w:pPr>
            <w:r>
              <w:rPr>
                <w:sz w:val="20"/>
              </w:rPr>
              <w:t xml:space="preserve">100</w:t>
            </w:r>
          </w:p>
        </w:tc>
        <w:tc>
          <w:tcPr>
            <w:tcW w:w="850"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r>
      <w:tr>
        <w:tc>
          <w:tcPr>
            <w:vMerge w:val="continue"/>
          </w:tcPr>
          <w:p/>
        </w:tc>
        <w:tc>
          <w:tcPr>
            <w:tcW w:w="1133" w:type="dxa"/>
            <w:vAlign w:val="center"/>
          </w:tcPr>
          <w:p>
            <w:pPr>
              <w:pStyle w:val="0"/>
              <w:jc w:val="center"/>
            </w:pPr>
            <w:r>
              <w:rPr>
                <w:sz w:val="20"/>
              </w:rPr>
              <w:t xml:space="preserve">IIв, IIнв</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50</w:t>
            </w:r>
          </w:p>
        </w:tc>
        <w:tc>
          <w:tcPr>
            <w:tcW w:w="845" w:type="dxa"/>
            <w:vAlign w:val="center"/>
          </w:tcPr>
          <w:p>
            <w:pPr>
              <w:pStyle w:val="0"/>
              <w:jc w:val="center"/>
            </w:pPr>
            <w:r>
              <w:rPr>
                <w:sz w:val="20"/>
              </w:rPr>
              <w:t xml:space="preserve">100</w:t>
            </w:r>
          </w:p>
        </w:tc>
        <w:tc>
          <w:tcPr>
            <w:tcW w:w="1133" w:type="dxa"/>
            <w:vAlign w:val="center"/>
          </w:tcPr>
          <w:p>
            <w:pPr>
              <w:pStyle w:val="0"/>
              <w:jc w:val="center"/>
            </w:pPr>
            <w:r>
              <w:rPr>
                <w:sz w:val="20"/>
              </w:rPr>
              <w:t xml:space="preserve">50</w:t>
            </w:r>
          </w:p>
        </w:tc>
        <w:tc>
          <w:tcPr>
            <w:tcW w:w="907" w:type="dxa"/>
            <w:vAlign w:val="center"/>
          </w:tcPr>
          <w:p>
            <w:pPr>
              <w:pStyle w:val="0"/>
              <w:jc w:val="center"/>
            </w:pPr>
            <w:r>
              <w:rPr>
                <w:sz w:val="20"/>
              </w:rPr>
              <w:t xml:space="preserve">100</w:t>
            </w:r>
          </w:p>
        </w:tc>
        <w:tc>
          <w:tcPr>
            <w:tcW w:w="850"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r>
      <w:tr>
        <w:tc>
          <w:tcPr>
            <w:vMerge w:val="continue"/>
          </w:tcPr>
          <w:p/>
        </w:tc>
        <w:tc>
          <w:tcPr>
            <w:tcW w:w="1133" w:type="dxa"/>
            <w:vAlign w:val="center"/>
          </w:tcPr>
          <w:p>
            <w:pPr>
              <w:pStyle w:val="0"/>
              <w:jc w:val="center"/>
            </w:pPr>
            <w:r>
              <w:rPr>
                <w:sz w:val="20"/>
              </w:rPr>
              <w:t xml:space="preserve">IIнс</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50</w:t>
            </w:r>
          </w:p>
        </w:tc>
        <w:tc>
          <w:tcPr>
            <w:tcW w:w="845" w:type="dxa"/>
            <w:vAlign w:val="center"/>
          </w:tcPr>
          <w:p>
            <w:pPr>
              <w:pStyle w:val="0"/>
              <w:jc w:val="center"/>
            </w:pPr>
            <w:r>
              <w:rPr>
                <w:sz w:val="20"/>
              </w:rPr>
              <w:t xml:space="preserve">25</w:t>
            </w:r>
          </w:p>
        </w:tc>
        <w:tc>
          <w:tcPr>
            <w:tcW w:w="1133" w:type="dxa"/>
            <w:vAlign w:val="center"/>
          </w:tcPr>
          <w:p>
            <w:pPr>
              <w:pStyle w:val="0"/>
              <w:jc w:val="center"/>
            </w:pPr>
            <w:r>
              <w:rPr>
                <w:sz w:val="20"/>
              </w:rPr>
              <w:t xml:space="preserve">10</w:t>
            </w:r>
          </w:p>
        </w:tc>
        <w:tc>
          <w:tcPr>
            <w:tcW w:w="907" w:type="dxa"/>
            <w:vAlign w:val="center"/>
          </w:tcPr>
          <w:p>
            <w:pPr>
              <w:pStyle w:val="0"/>
              <w:jc w:val="center"/>
            </w:pPr>
            <w:r>
              <w:rPr>
                <w:sz w:val="20"/>
              </w:rPr>
              <w:t xml:space="preserve">10</w:t>
            </w:r>
          </w:p>
        </w:tc>
        <w:tc>
          <w:tcPr>
            <w:tcW w:w="850" w:type="dxa"/>
            <w:vAlign w:val="center"/>
          </w:tcPr>
          <w:p>
            <w:pPr>
              <w:pStyle w:val="0"/>
              <w:jc w:val="center"/>
            </w:pPr>
            <w:r>
              <w:rPr>
                <w:sz w:val="20"/>
              </w:rPr>
              <w:t xml:space="preserve">-</w:t>
            </w:r>
          </w:p>
        </w:tc>
        <w:tc>
          <w:tcPr>
            <w:tcW w:w="964" w:type="dxa"/>
            <w:vAlign w:val="center"/>
          </w:tcPr>
          <w:p>
            <w:pPr>
              <w:pStyle w:val="0"/>
              <w:jc w:val="center"/>
            </w:pPr>
            <w:r>
              <w:rPr>
                <w:sz w:val="20"/>
              </w:rPr>
              <w:t xml:space="preserve">-</w:t>
            </w:r>
          </w:p>
        </w:tc>
      </w:tr>
      <w:tr>
        <w:tc>
          <w:tcPr>
            <w:vMerge w:val="continue"/>
          </w:tcPr>
          <w:p/>
        </w:tc>
        <w:tc>
          <w:tcPr>
            <w:tcW w:w="1133" w:type="dxa"/>
            <w:vAlign w:val="center"/>
          </w:tcPr>
          <w:p>
            <w:pPr>
              <w:pStyle w:val="0"/>
              <w:jc w:val="center"/>
            </w:pPr>
            <w:r>
              <w:rPr>
                <w:sz w:val="20"/>
              </w:rPr>
              <w:t xml:space="preserve">IIIа</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w:t>
            </w:r>
          </w:p>
        </w:tc>
        <w:tc>
          <w:tcPr>
            <w:tcW w:w="845" w:type="dxa"/>
            <w:vAlign w:val="center"/>
          </w:tcPr>
          <w:p>
            <w:pPr>
              <w:pStyle w:val="0"/>
              <w:jc w:val="center"/>
            </w:pPr>
            <w:r>
              <w:rPr>
                <w:sz w:val="20"/>
              </w:rPr>
              <w:t xml:space="preserve">50</w:t>
            </w:r>
          </w:p>
        </w:tc>
        <w:tc>
          <w:tcPr>
            <w:tcW w:w="1133" w:type="dxa"/>
            <w:vAlign w:val="center"/>
          </w:tcPr>
          <w:p>
            <w:pPr>
              <w:pStyle w:val="0"/>
              <w:jc w:val="center"/>
            </w:pPr>
            <w:r>
              <w:rPr>
                <w:sz w:val="20"/>
              </w:rPr>
              <w:t xml:space="preserve">25</w:t>
            </w:r>
          </w:p>
        </w:tc>
        <w:tc>
          <w:tcPr>
            <w:tcW w:w="907" w:type="dxa"/>
            <w:vAlign w:val="center"/>
          </w:tcPr>
          <w:p>
            <w:pPr>
              <w:pStyle w:val="0"/>
              <w:jc w:val="center"/>
            </w:pPr>
            <w:r>
              <w:rPr>
                <w:sz w:val="20"/>
              </w:rPr>
              <w:t xml:space="preserve">50</w:t>
            </w:r>
          </w:p>
        </w:tc>
        <w:tc>
          <w:tcPr>
            <w:tcW w:w="850" w:type="dxa"/>
            <w:vAlign w:val="center"/>
          </w:tcPr>
          <w:p>
            <w:pPr>
              <w:pStyle w:val="0"/>
              <w:jc w:val="center"/>
            </w:pPr>
            <w:r>
              <w:rPr>
                <w:sz w:val="20"/>
              </w:rPr>
              <w:t xml:space="preserve">-</w:t>
            </w:r>
          </w:p>
        </w:tc>
        <w:tc>
          <w:tcPr>
            <w:tcW w:w="964" w:type="dxa"/>
            <w:vAlign w:val="center"/>
          </w:tcPr>
          <w:p>
            <w:pPr>
              <w:pStyle w:val="0"/>
              <w:jc w:val="center"/>
            </w:pPr>
            <w:r>
              <w:rPr>
                <w:sz w:val="20"/>
              </w:rPr>
              <w:t xml:space="preserve">100 </w:t>
            </w:r>
            <w:hyperlink w:history="0" w:anchor="P399" w:tooltip="&lt;*&gt; При номинальной толщине стенки не менее 2,0 мм.">
              <w:r>
                <w:rPr>
                  <w:sz w:val="20"/>
                  <w:color w:val="0000ff"/>
                </w:rPr>
                <w:t xml:space="preserve">&lt;*&gt;</w:t>
              </w:r>
            </w:hyperlink>
          </w:p>
        </w:tc>
      </w:tr>
      <w:tr>
        <w:tc>
          <w:tcPr>
            <w:vMerge w:val="continue"/>
          </w:tcPr>
          <w:p/>
        </w:tc>
        <w:tc>
          <w:tcPr>
            <w:tcW w:w="1133" w:type="dxa"/>
            <w:vAlign w:val="center"/>
          </w:tcPr>
          <w:p>
            <w:pPr>
              <w:pStyle w:val="0"/>
              <w:jc w:val="center"/>
            </w:pPr>
            <w:r>
              <w:rPr>
                <w:sz w:val="20"/>
              </w:rPr>
              <w:t xml:space="preserve">IIIв</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w:t>
            </w:r>
          </w:p>
        </w:tc>
        <w:tc>
          <w:tcPr>
            <w:tcW w:w="845" w:type="dxa"/>
            <w:vAlign w:val="center"/>
          </w:tcPr>
          <w:p>
            <w:pPr>
              <w:pStyle w:val="0"/>
              <w:jc w:val="center"/>
            </w:pPr>
            <w:r>
              <w:rPr>
                <w:sz w:val="20"/>
              </w:rPr>
              <w:t xml:space="preserve">50</w:t>
            </w:r>
          </w:p>
        </w:tc>
        <w:tc>
          <w:tcPr>
            <w:tcW w:w="1133" w:type="dxa"/>
            <w:vAlign w:val="center"/>
          </w:tcPr>
          <w:p>
            <w:pPr>
              <w:pStyle w:val="0"/>
              <w:jc w:val="center"/>
            </w:pPr>
            <w:r>
              <w:rPr>
                <w:sz w:val="20"/>
              </w:rPr>
              <w:t xml:space="preserve">25</w:t>
            </w:r>
          </w:p>
        </w:tc>
        <w:tc>
          <w:tcPr>
            <w:tcW w:w="907" w:type="dxa"/>
            <w:vAlign w:val="center"/>
          </w:tcPr>
          <w:p>
            <w:pPr>
              <w:pStyle w:val="0"/>
              <w:jc w:val="center"/>
            </w:pPr>
            <w:r>
              <w:rPr>
                <w:sz w:val="20"/>
              </w:rPr>
              <w:t xml:space="preserve">50</w:t>
            </w:r>
          </w:p>
        </w:tc>
        <w:tc>
          <w:tcPr>
            <w:tcW w:w="850" w:type="dxa"/>
            <w:vAlign w:val="center"/>
          </w:tcPr>
          <w:p>
            <w:pPr>
              <w:pStyle w:val="0"/>
              <w:jc w:val="center"/>
            </w:pPr>
            <w:r>
              <w:rPr>
                <w:sz w:val="20"/>
              </w:rPr>
              <w:t xml:space="preserve">-</w:t>
            </w:r>
          </w:p>
        </w:tc>
        <w:tc>
          <w:tcPr>
            <w:tcW w:w="964" w:type="dxa"/>
            <w:vAlign w:val="center"/>
          </w:tcPr>
          <w:p>
            <w:pPr>
              <w:pStyle w:val="0"/>
              <w:jc w:val="center"/>
            </w:pPr>
            <w:r>
              <w:rPr>
                <w:sz w:val="20"/>
              </w:rPr>
              <w:t xml:space="preserve">50 </w:t>
            </w:r>
            <w:hyperlink w:history="0" w:anchor="P399" w:tooltip="&lt;*&gt; При номинальной толщине стенки не менее 2,0 мм.">
              <w:r>
                <w:rPr>
                  <w:sz w:val="20"/>
                  <w:color w:val="0000ff"/>
                </w:rPr>
                <w:t xml:space="preserve">&lt;*&gt;</w:t>
              </w:r>
            </w:hyperlink>
          </w:p>
        </w:tc>
      </w:tr>
      <w:tr>
        <w:tc>
          <w:tcPr>
            <w:vMerge w:val="continue"/>
          </w:tcPr>
          <w:p/>
        </w:tc>
        <w:tc>
          <w:tcPr>
            <w:tcW w:w="1133" w:type="dxa"/>
            <w:vAlign w:val="center"/>
          </w:tcPr>
          <w:p>
            <w:pPr>
              <w:pStyle w:val="0"/>
              <w:jc w:val="center"/>
            </w:pPr>
            <w:r>
              <w:rPr>
                <w:sz w:val="20"/>
              </w:rPr>
              <w:t xml:space="preserve">IIIс</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w:t>
            </w:r>
          </w:p>
        </w:tc>
        <w:tc>
          <w:tcPr>
            <w:tcW w:w="845" w:type="dxa"/>
            <w:vAlign w:val="center"/>
          </w:tcPr>
          <w:p>
            <w:pPr>
              <w:pStyle w:val="0"/>
              <w:jc w:val="center"/>
            </w:pPr>
            <w:r>
              <w:rPr>
                <w:sz w:val="20"/>
              </w:rPr>
              <w:t xml:space="preserve">25</w:t>
            </w:r>
          </w:p>
        </w:tc>
        <w:tc>
          <w:tcPr>
            <w:tcW w:w="1133" w:type="dxa"/>
            <w:vAlign w:val="center"/>
          </w:tcPr>
          <w:p>
            <w:pPr>
              <w:pStyle w:val="0"/>
              <w:jc w:val="center"/>
            </w:pPr>
            <w:r>
              <w:rPr>
                <w:sz w:val="20"/>
              </w:rPr>
              <w:t xml:space="preserve">10</w:t>
            </w:r>
          </w:p>
        </w:tc>
        <w:tc>
          <w:tcPr>
            <w:tcW w:w="907" w:type="dxa"/>
            <w:vAlign w:val="center"/>
          </w:tcPr>
          <w:p>
            <w:pPr>
              <w:pStyle w:val="0"/>
              <w:jc w:val="center"/>
            </w:pPr>
            <w:r>
              <w:rPr>
                <w:sz w:val="20"/>
              </w:rPr>
              <w:t xml:space="preserve">10</w:t>
            </w:r>
          </w:p>
        </w:tc>
        <w:tc>
          <w:tcPr>
            <w:tcW w:w="850" w:type="dxa"/>
            <w:vAlign w:val="center"/>
          </w:tcPr>
          <w:p>
            <w:pPr>
              <w:pStyle w:val="0"/>
              <w:jc w:val="center"/>
            </w:pPr>
            <w:r>
              <w:rPr>
                <w:sz w:val="20"/>
              </w:rPr>
              <w:t xml:space="preserve">-</w:t>
            </w:r>
          </w:p>
        </w:tc>
        <w:tc>
          <w:tcPr>
            <w:tcW w:w="964" w:type="dxa"/>
            <w:vAlign w:val="center"/>
          </w:tcPr>
          <w:p>
            <w:pPr>
              <w:pStyle w:val="0"/>
              <w:jc w:val="center"/>
            </w:pPr>
            <w:r>
              <w:rPr>
                <w:sz w:val="20"/>
              </w:rPr>
              <w:t xml:space="preserve">25 </w:t>
            </w:r>
            <w:hyperlink w:history="0" w:anchor="P399" w:tooltip="&lt;*&gt; При номинальной толщине стенки не менее 2,0 мм.">
              <w:r>
                <w:rPr>
                  <w:sz w:val="20"/>
                  <w:color w:val="0000ff"/>
                </w:rPr>
                <w:t xml:space="preserve">&lt;*&gt;</w:t>
              </w:r>
            </w:hyperlink>
          </w:p>
        </w:tc>
      </w:tr>
      <w:tr>
        <w:tc>
          <w:tcPr>
            <w:tcW w:w="1247" w:type="dxa"/>
            <w:vAlign w:val="center"/>
            <w:vMerge w:val="restart"/>
          </w:tcPr>
          <w:p>
            <w:pPr>
              <w:pStyle w:val="0"/>
              <w:jc w:val="center"/>
            </w:pPr>
            <w:r>
              <w:rPr>
                <w:sz w:val="20"/>
              </w:rPr>
              <w:t xml:space="preserve">Более 5,5</w:t>
            </w:r>
          </w:p>
        </w:tc>
        <w:tc>
          <w:tcPr>
            <w:tcW w:w="1133" w:type="dxa"/>
            <w:vAlign w:val="center"/>
          </w:tcPr>
          <w:p>
            <w:pPr>
              <w:pStyle w:val="0"/>
              <w:jc w:val="center"/>
            </w:pPr>
            <w:r>
              <w:rPr>
                <w:sz w:val="20"/>
              </w:rPr>
              <w:t xml:space="preserve">I, Iн,</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100</w:t>
            </w:r>
          </w:p>
        </w:tc>
        <w:tc>
          <w:tcPr>
            <w:tcW w:w="845"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907" w:type="dxa"/>
            <w:vAlign w:val="center"/>
          </w:tcPr>
          <w:p>
            <w:pPr>
              <w:pStyle w:val="0"/>
              <w:jc w:val="center"/>
            </w:pPr>
            <w:r>
              <w:rPr>
                <w:sz w:val="20"/>
              </w:rPr>
              <w:t xml:space="preserve">100</w:t>
            </w:r>
          </w:p>
        </w:tc>
        <w:tc>
          <w:tcPr>
            <w:tcW w:w="850" w:type="dxa"/>
            <w:vAlign w:val="center"/>
          </w:tcPr>
          <w:p>
            <w:pPr>
              <w:pStyle w:val="0"/>
              <w:jc w:val="center"/>
            </w:pPr>
            <w:r>
              <w:rPr>
                <w:sz w:val="20"/>
              </w:rPr>
              <w:t xml:space="preserve">100</w:t>
            </w:r>
          </w:p>
        </w:tc>
        <w:tc>
          <w:tcPr>
            <w:tcW w:w="964" w:type="dxa"/>
            <w:vAlign w:val="center"/>
          </w:tcPr>
          <w:p>
            <w:pPr>
              <w:pStyle w:val="0"/>
              <w:jc w:val="center"/>
            </w:pPr>
            <w:r>
              <w:rPr>
                <w:sz w:val="20"/>
              </w:rPr>
              <w:t xml:space="preserve">100</w:t>
            </w:r>
          </w:p>
        </w:tc>
      </w:tr>
      <w:tr>
        <w:tc>
          <w:tcPr>
            <w:vMerge w:val="continue"/>
          </w:tcPr>
          <w:p/>
        </w:tc>
        <w:tc>
          <w:tcPr>
            <w:tcW w:w="1133" w:type="dxa"/>
            <w:vAlign w:val="center"/>
          </w:tcPr>
          <w:p>
            <w:pPr>
              <w:pStyle w:val="0"/>
              <w:jc w:val="center"/>
            </w:pPr>
            <w:r>
              <w:rPr>
                <w:sz w:val="20"/>
              </w:rPr>
              <w:t xml:space="preserve">IIа, IIна</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100</w:t>
            </w:r>
          </w:p>
        </w:tc>
        <w:tc>
          <w:tcPr>
            <w:tcW w:w="845" w:type="dxa"/>
            <w:vAlign w:val="center"/>
          </w:tcPr>
          <w:p>
            <w:pPr>
              <w:pStyle w:val="0"/>
              <w:jc w:val="center"/>
            </w:pPr>
            <w:r>
              <w:rPr>
                <w:sz w:val="20"/>
              </w:rPr>
              <w:t xml:space="preserve">100</w:t>
            </w:r>
          </w:p>
        </w:tc>
        <w:tc>
          <w:tcPr>
            <w:tcW w:w="1133" w:type="dxa"/>
            <w:vAlign w:val="center"/>
          </w:tcPr>
          <w:p>
            <w:pPr>
              <w:pStyle w:val="0"/>
              <w:jc w:val="center"/>
            </w:pPr>
            <w:r>
              <w:rPr>
                <w:sz w:val="20"/>
              </w:rPr>
              <w:t xml:space="preserve">50</w:t>
            </w:r>
          </w:p>
        </w:tc>
        <w:tc>
          <w:tcPr>
            <w:tcW w:w="907" w:type="dxa"/>
            <w:vAlign w:val="center"/>
          </w:tcPr>
          <w:p>
            <w:pPr>
              <w:pStyle w:val="0"/>
              <w:jc w:val="center"/>
            </w:pPr>
            <w:r>
              <w:rPr>
                <w:sz w:val="20"/>
              </w:rPr>
              <w:t xml:space="preserve">100</w:t>
            </w:r>
          </w:p>
        </w:tc>
        <w:tc>
          <w:tcPr>
            <w:tcW w:w="850" w:type="dxa"/>
            <w:vAlign w:val="center"/>
          </w:tcPr>
          <w:p>
            <w:pPr>
              <w:pStyle w:val="0"/>
              <w:jc w:val="center"/>
            </w:pPr>
            <w:r>
              <w:rPr>
                <w:sz w:val="20"/>
              </w:rPr>
              <w:t xml:space="preserve">100</w:t>
            </w:r>
          </w:p>
        </w:tc>
        <w:tc>
          <w:tcPr>
            <w:tcW w:w="964" w:type="dxa"/>
            <w:vAlign w:val="center"/>
          </w:tcPr>
          <w:p>
            <w:pPr>
              <w:pStyle w:val="0"/>
              <w:jc w:val="center"/>
            </w:pPr>
            <w:r>
              <w:rPr>
                <w:sz w:val="20"/>
              </w:rPr>
              <w:t xml:space="preserve">100</w:t>
            </w:r>
          </w:p>
        </w:tc>
      </w:tr>
      <w:tr>
        <w:tc>
          <w:tcPr>
            <w:vMerge w:val="continue"/>
          </w:tcPr>
          <w:p/>
        </w:tc>
        <w:tc>
          <w:tcPr>
            <w:tcW w:w="1133" w:type="dxa"/>
            <w:vAlign w:val="center"/>
          </w:tcPr>
          <w:p>
            <w:pPr>
              <w:pStyle w:val="0"/>
              <w:jc w:val="center"/>
            </w:pPr>
            <w:r>
              <w:rPr>
                <w:sz w:val="20"/>
              </w:rPr>
              <w:t xml:space="preserve">IIв, IIнв</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50</w:t>
            </w:r>
          </w:p>
        </w:tc>
        <w:tc>
          <w:tcPr>
            <w:tcW w:w="845" w:type="dxa"/>
            <w:vAlign w:val="center"/>
          </w:tcPr>
          <w:p>
            <w:pPr>
              <w:pStyle w:val="0"/>
              <w:jc w:val="center"/>
            </w:pPr>
            <w:r>
              <w:rPr>
                <w:sz w:val="20"/>
              </w:rPr>
              <w:t xml:space="preserve">50</w:t>
            </w:r>
          </w:p>
        </w:tc>
        <w:tc>
          <w:tcPr>
            <w:tcW w:w="1133" w:type="dxa"/>
            <w:vAlign w:val="center"/>
          </w:tcPr>
          <w:p>
            <w:pPr>
              <w:pStyle w:val="0"/>
              <w:jc w:val="center"/>
            </w:pPr>
            <w:r>
              <w:rPr>
                <w:sz w:val="20"/>
              </w:rPr>
              <w:t xml:space="preserve">25</w:t>
            </w:r>
          </w:p>
        </w:tc>
        <w:tc>
          <w:tcPr>
            <w:tcW w:w="907" w:type="dxa"/>
            <w:vAlign w:val="center"/>
          </w:tcPr>
          <w:p>
            <w:pPr>
              <w:pStyle w:val="0"/>
              <w:jc w:val="center"/>
            </w:pPr>
            <w:r>
              <w:rPr>
                <w:sz w:val="20"/>
              </w:rPr>
              <w:t xml:space="preserve">50</w:t>
            </w:r>
          </w:p>
        </w:tc>
        <w:tc>
          <w:tcPr>
            <w:tcW w:w="850" w:type="dxa"/>
            <w:vAlign w:val="center"/>
          </w:tcPr>
          <w:p>
            <w:pPr>
              <w:pStyle w:val="0"/>
              <w:jc w:val="center"/>
            </w:pPr>
            <w:r>
              <w:rPr>
                <w:sz w:val="20"/>
              </w:rPr>
              <w:t xml:space="preserve">100</w:t>
            </w:r>
          </w:p>
        </w:tc>
        <w:tc>
          <w:tcPr>
            <w:tcW w:w="964" w:type="dxa"/>
            <w:vAlign w:val="center"/>
          </w:tcPr>
          <w:p>
            <w:pPr>
              <w:pStyle w:val="0"/>
              <w:jc w:val="center"/>
            </w:pPr>
            <w:r>
              <w:rPr>
                <w:sz w:val="20"/>
              </w:rPr>
              <w:t xml:space="preserve">100</w:t>
            </w:r>
          </w:p>
        </w:tc>
      </w:tr>
      <w:tr>
        <w:tc>
          <w:tcPr>
            <w:vMerge w:val="continue"/>
          </w:tcPr>
          <w:p/>
        </w:tc>
        <w:tc>
          <w:tcPr>
            <w:tcW w:w="1133" w:type="dxa"/>
            <w:vAlign w:val="center"/>
          </w:tcPr>
          <w:p>
            <w:pPr>
              <w:pStyle w:val="0"/>
              <w:jc w:val="center"/>
            </w:pPr>
            <w:r>
              <w:rPr>
                <w:sz w:val="20"/>
              </w:rPr>
              <w:t xml:space="preserve">IIнс</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25</w:t>
            </w:r>
          </w:p>
        </w:tc>
        <w:tc>
          <w:tcPr>
            <w:tcW w:w="845" w:type="dxa"/>
            <w:vAlign w:val="center"/>
          </w:tcPr>
          <w:p>
            <w:pPr>
              <w:pStyle w:val="0"/>
              <w:jc w:val="center"/>
            </w:pPr>
            <w:r>
              <w:rPr>
                <w:sz w:val="20"/>
              </w:rPr>
              <w:t xml:space="preserve">25</w:t>
            </w:r>
          </w:p>
        </w:tc>
        <w:tc>
          <w:tcPr>
            <w:tcW w:w="1133" w:type="dxa"/>
            <w:vAlign w:val="center"/>
          </w:tcPr>
          <w:p>
            <w:pPr>
              <w:pStyle w:val="0"/>
              <w:jc w:val="center"/>
            </w:pPr>
            <w:r>
              <w:rPr>
                <w:sz w:val="20"/>
              </w:rPr>
              <w:t xml:space="preserve">10</w:t>
            </w:r>
          </w:p>
        </w:tc>
        <w:tc>
          <w:tcPr>
            <w:tcW w:w="907" w:type="dxa"/>
            <w:vAlign w:val="center"/>
          </w:tcPr>
          <w:p>
            <w:pPr>
              <w:pStyle w:val="0"/>
              <w:jc w:val="center"/>
            </w:pPr>
            <w:r>
              <w:rPr>
                <w:sz w:val="20"/>
              </w:rPr>
              <w:t xml:space="preserve">10</w:t>
            </w:r>
          </w:p>
        </w:tc>
        <w:tc>
          <w:tcPr>
            <w:tcW w:w="850" w:type="dxa"/>
            <w:vAlign w:val="center"/>
          </w:tcPr>
          <w:p>
            <w:pPr>
              <w:pStyle w:val="0"/>
              <w:jc w:val="center"/>
            </w:pPr>
            <w:r>
              <w:rPr>
                <w:sz w:val="20"/>
              </w:rPr>
              <w:t xml:space="preserve">25</w:t>
            </w:r>
          </w:p>
        </w:tc>
        <w:tc>
          <w:tcPr>
            <w:tcW w:w="964" w:type="dxa"/>
            <w:vAlign w:val="center"/>
          </w:tcPr>
          <w:p>
            <w:pPr>
              <w:pStyle w:val="0"/>
              <w:jc w:val="center"/>
            </w:pPr>
            <w:r>
              <w:rPr>
                <w:sz w:val="20"/>
              </w:rPr>
              <w:t xml:space="preserve">25</w:t>
            </w:r>
          </w:p>
        </w:tc>
      </w:tr>
      <w:tr>
        <w:tc>
          <w:tcPr>
            <w:vMerge w:val="continue"/>
          </w:tcPr>
          <w:p/>
        </w:tc>
        <w:tc>
          <w:tcPr>
            <w:tcW w:w="1133" w:type="dxa"/>
            <w:vAlign w:val="center"/>
          </w:tcPr>
          <w:p>
            <w:pPr>
              <w:pStyle w:val="0"/>
              <w:jc w:val="center"/>
            </w:pPr>
            <w:r>
              <w:rPr>
                <w:sz w:val="20"/>
              </w:rPr>
              <w:t xml:space="preserve">IIIа</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w:t>
            </w:r>
          </w:p>
        </w:tc>
        <w:tc>
          <w:tcPr>
            <w:tcW w:w="845" w:type="dxa"/>
            <w:vAlign w:val="center"/>
          </w:tcPr>
          <w:p>
            <w:pPr>
              <w:pStyle w:val="0"/>
              <w:jc w:val="center"/>
            </w:pPr>
            <w:r>
              <w:rPr>
                <w:sz w:val="20"/>
              </w:rPr>
              <w:t xml:space="preserve">50</w:t>
            </w:r>
          </w:p>
        </w:tc>
        <w:tc>
          <w:tcPr>
            <w:tcW w:w="1133" w:type="dxa"/>
            <w:vAlign w:val="center"/>
          </w:tcPr>
          <w:p>
            <w:pPr>
              <w:pStyle w:val="0"/>
              <w:jc w:val="center"/>
            </w:pPr>
            <w:r>
              <w:rPr>
                <w:sz w:val="20"/>
              </w:rPr>
              <w:t xml:space="preserve">25</w:t>
            </w:r>
          </w:p>
        </w:tc>
        <w:tc>
          <w:tcPr>
            <w:tcW w:w="907" w:type="dxa"/>
            <w:vAlign w:val="center"/>
          </w:tcPr>
          <w:p>
            <w:pPr>
              <w:pStyle w:val="0"/>
              <w:jc w:val="center"/>
            </w:pPr>
            <w:r>
              <w:rPr>
                <w:sz w:val="20"/>
              </w:rPr>
              <w:t xml:space="preserve">50</w:t>
            </w:r>
          </w:p>
        </w:tc>
        <w:tc>
          <w:tcPr>
            <w:tcW w:w="850" w:type="dxa"/>
            <w:vAlign w:val="center"/>
          </w:tcPr>
          <w:p>
            <w:pPr>
              <w:pStyle w:val="0"/>
              <w:jc w:val="center"/>
            </w:pPr>
            <w:r>
              <w:rPr>
                <w:sz w:val="20"/>
              </w:rPr>
              <w:t xml:space="preserve">100</w:t>
            </w:r>
          </w:p>
        </w:tc>
        <w:tc>
          <w:tcPr>
            <w:tcW w:w="964" w:type="dxa"/>
            <w:vAlign w:val="center"/>
          </w:tcPr>
          <w:p>
            <w:pPr>
              <w:pStyle w:val="0"/>
              <w:jc w:val="center"/>
            </w:pPr>
            <w:r>
              <w:rPr>
                <w:sz w:val="20"/>
              </w:rPr>
              <w:t xml:space="preserve">100</w:t>
            </w:r>
          </w:p>
        </w:tc>
      </w:tr>
      <w:tr>
        <w:tc>
          <w:tcPr>
            <w:vMerge w:val="continue"/>
          </w:tcPr>
          <w:p/>
        </w:tc>
        <w:tc>
          <w:tcPr>
            <w:tcW w:w="1133" w:type="dxa"/>
            <w:vAlign w:val="center"/>
          </w:tcPr>
          <w:p>
            <w:pPr>
              <w:pStyle w:val="0"/>
              <w:jc w:val="center"/>
            </w:pPr>
            <w:r>
              <w:rPr>
                <w:sz w:val="20"/>
              </w:rPr>
              <w:t xml:space="preserve">IIIв</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w:t>
            </w:r>
          </w:p>
        </w:tc>
        <w:tc>
          <w:tcPr>
            <w:tcW w:w="845" w:type="dxa"/>
            <w:vAlign w:val="center"/>
          </w:tcPr>
          <w:p>
            <w:pPr>
              <w:pStyle w:val="0"/>
              <w:jc w:val="center"/>
            </w:pPr>
            <w:r>
              <w:rPr>
                <w:sz w:val="20"/>
              </w:rPr>
              <w:t xml:space="preserve">25</w:t>
            </w:r>
          </w:p>
        </w:tc>
        <w:tc>
          <w:tcPr>
            <w:tcW w:w="1133" w:type="dxa"/>
            <w:vAlign w:val="center"/>
          </w:tcPr>
          <w:p>
            <w:pPr>
              <w:pStyle w:val="0"/>
              <w:jc w:val="center"/>
            </w:pPr>
            <w:r>
              <w:rPr>
                <w:sz w:val="20"/>
              </w:rPr>
              <w:t xml:space="preserve">25</w:t>
            </w:r>
          </w:p>
        </w:tc>
        <w:tc>
          <w:tcPr>
            <w:tcW w:w="907" w:type="dxa"/>
            <w:vAlign w:val="center"/>
          </w:tcPr>
          <w:p>
            <w:pPr>
              <w:pStyle w:val="0"/>
              <w:jc w:val="center"/>
            </w:pPr>
            <w:r>
              <w:rPr>
                <w:sz w:val="20"/>
              </w:rPr>
              <w:t xml:space="preserve">25</w:t>
            </w:r>
          </w:p>
        </w:tc>
        <w:tc>
          <w:tcPr>
            <w:tcW w:w="850" w:type="dxa"/>
            <w:vAlign w:val="center"/>
          </w:tcPr>
          <w:p>
            <w:pPr>
              <w:pStyle w:val="0"/>
              <w:jc w:val="center"/>
            </w:pPr>
            <w:r>
              <w:rPr>
                <w:sz w:val="20"/>
              </w:rPr>
              <w:t xml:space="preserve">25</w:t>
            </w:r>
          </w:p>
        </w:tc>
        <w:tc>
          <w:tcPr>
            <w:tcW w:w="964" w:type="dxa"/>
            <w:vAlign w:val="center"/>
          </w:tcPr>
          <w:p>
            <w:pPr>
              <w:pStyle w:val="0"/>
              <w:jc w:val="center"/>
            </w:pPr>
            <w:r>
              <w:rPr>
                <w:sz w:val="20"/>
              </w:rPr>
              <w:t xml:space="preserve">25</w:t>
            </w:r>
          </w:p>
        </w:tc>
      </w:tr>
      <w:tr>
        <w:tc>
          <w:tcPr>
            <w:vMerge w:val="continue"/>
          </w:tcPr>
          <w:p/>
        </w:tc>
        <w:tc>
          <w:tcPr>
            <w:tcW w:w="1133" w:type="dxa"/>
            <w:vAlign w:val="center"/>
          </w:tcPr>
          <w:p>
            <w:pPr>
              <w:pStyle w:val="0"/>
              <w:jc w:val="center"/>
            </w:pPr>
            <w:r>
              <w:rPr>
                <w:sz w:val="20"/>
              </w:rPr>
              <w:t xml:space="preserve">IIIс</w:t>
            </w:r>
          </w:p>
        </w:tc>
        <w:tc>
          <w:tcPr>
            <w:tcW w:w="984" w:type="dxa"/>
            <w:vAlign w:val="center"/>
          </w:tcPr>
          <w:p>
            <w:pPr>
              <w:pStyle w:val="0"/>
              <w:jc w:val="center"/>
            </w:pPr>
            <w:r>
              <w:rPr>
                <w:sz w:val="20"/>
              </w:rPr>
              <w:t xml:space="preserve">100</w:t>
            </w:r>
          </w:p>
        </w:tc>
        <w:tc>
          <w:tcPr>
            <w:tcW w:w="964" w:type="dxa"/>
            <w:vAlign w:val="center"/>
          </w:tcPr>
          <w:p>
            <w:pPr>
              <w:pStyle w:val="0"/>
              <w:jc w:val="center"/>
            </w:pPr>
            <w:r>
              <w:rPr>
                <w:sz w:val="20"/>
              </w:rPr>
              <w:t xml:space="preserve">-</w:t>
            </w:r>
          </w:p>
        </w:tc>
        <w:tc>
          <w:tcPr>
            <w:tcW w:w="845" w:type="dxa"/>
            <w:vAlign w:val="center"/>
          </w:tcPr>
          <w:p>
            <w:pPr>
              <w:pStyle w:val="0"/>
              <w:jc w:val="center"/>
            </w:pPr>
            <w:r>
              <w:rPr>
                <w:sz w:val="20"/>
              </w:rPr>
              <w:t xml:space="preserve">10</w:t>
            </w:r>
          </w:p>
        </w:tc>
        <w:tc>
          <w:tcPr>
            <w:tcW w:w="1133" w:type="dxa"/>
            <w:vAlign w:val="center"/>
          </w:tcPr>
          <w:p>
            <w:pPr>
              <w:pStyle w:val="0"/>
              <w:jc w:val="center"/>
            </w:pPr>
            <w:r>
              <w:rPr>
                <w:sz w:val="20"/>
              </w:rPr>
              <w:t xml:space="preserve">10</w:t>
            </w:r>
          </w:p>
        </w:tc>
        <w:tc>
          <w:tcPr>
            <w:tcW w:w="907" w:type="dxa"/>
            <w:vAlign w:val="center"/>
          </w:tcPr>
          <w:p>
            <w:pPr>
              <w:pStyle w:val="0"/>
              <w:jc w:val="center"/>
            </w:pPr>
            <w:r>
              <w:rPr>
                <w:sz w:val="20"/>
              </w:rPr>
              <w:t xml:space="preserve">10</w:t>
            </w:r>
          </w:p>
        </w:tc>
        <w:tc>
          <w:tcPr>
            <w:tcW w:w="850" w:type="dxa"/>
            <w:vAlign w:val="center"/>
          </w:tcPr>
          <w:p>
            <w:pPr>
              <w:pStyle w:val="0"/>
              <w:jc w:val="center"/>
            </w:pPr>
            <w:r>
              <w:rPr>
                <w:sz w:val="20"/>
              </w:rPr>
              <w:t xml:space="preserve">10</w:t>
            </w:r>
          </w:p>
        </w:tc>
        <w:tc>
          <w:tcPr>
            <w:tcW w:w="964" w:type="dxa"/>
            <w:vAlign w:val="center"/>
          </w:tcPr>
          <w:p>
            <w:pPr>
              <w:pStyle w:val="0"/>
              <w:jc w:val="center"/>
            </w:pPr>
            <w:r>
              <w:rPr>
                <w:sz w:val="20"/>
              </w:rPr>
              <w:t xml:space="preserve">10</w:t>
            </w:r>
          </w:p>
        </w:tc>
      </w:tr>
      <w:tr>
        <w:tc>
          <w:tcPr>
            <w:gridSpan w:val="9"/>
            <w:tcW w:w="9027" w:type="dxa"/>
          </w:tcPr>
          <w:bookmarkStart w:id="399" w:name="P399"/>
          <w:bookmarkEnd w:id="399"/>
          <w:p>
            <w:pPr>
              <w:pStyle w:val="0"/>
              <w:jc w:val="both"/>
            </w:pPr>
            <w:r>
              <w:rPr>
                <w:sz w:val="20"/>
              </w:rPr>
              <w:t xml:space="preserve">&lt;*&gt; При номинальной толщине стенки не менее 2,0 мм.</w:t>
            </w:r>
          </w:p>
        </w:tc>
      </w:tr>
    </w:tbl>
    <w:p>
      <w:pPr>
        <w:pStyle w:val="0"/>
        <w:jc w:val="both"/>
      </w:pPr>
      <w:r>
        <w:rPr>
          <w:sz w:val="20"/>
        </w:rPr>
      </w:r>
    </w:p>
    <w:p>
      <w:pPr>
        <w:pStyle w:val="0"/>
        <w:ind w:firstLine="540"/>
        <w:jc w:val="both"/>
      </w:pPr>
      <w:r>
        <w:rPr>
          <w:sz w:val="20"/>
        </w:rPr>
        <w:t xml:space="preserve">Требования </w:t>
      </w:r>
      <w:hyperlink w:history="0" w:anchor="P278" w:tooltip="Таблица N 2">
        <w:r>
          <w:rPr>
            <w:sz w:val="20"/>
            <w:color w:val="0000ff"/>
          </w:rPr>
          <w:t xml:space="preserve">таблицы N 2</w:t>
        </w:r>
      </w:hyperlink>
      <w:r>
        <w:rPr>
          <w:sz w:val="20"/>
        </w:rPr>
        <w:t xml:space="preserve"> настоящих Правил не распространяются на сварные соединения вварки труб в трубные доски и сварные соединения оборудования и (или) трубопроводов с не нагружаемыми давлением деталями.</w:t>
      </w:r>
    </w:p>
    <w:p>
      <w:pPr>
        <w:pStyle w:val="0"/>
        <w:spacing w:before="200" w:line-rule="auto"/>
        <w:ind w:firstLine="540"/>
        <w:jc w:val="both"/>
      </w:pPr>
      <w:r>
        <w:rPr>
          <w:sz w:val="20"/>
        </w:rPr>
        <w:t xml:space="preserve">94. Методы и объем неразрушающего контроля сварных соединений деталей из сталей аустенитного класса, железоникелевых сплавов и из сталей аустенитного класса с деталями из железоникелевых сплавов приведены в таблице N 3 настоящих Правил.</w:t>
      </w:r>
    </w:p>
    <w:p>
      <w:pPr>
        <w:pStyle w:val="0"/>
        <w:jc w:val="both"/>
      </w:pPr>
      <w:r>
        <w:rPr>
          <w:sz w:val="20"/>
        </w:rPr>
      </w:r>
    </w:p>
    <w:p>
      <w:pPr>
        <w:pStyle w:val="0"/>
        <w:outlineLvl w:val="3"/>
        <w:jc w:val="right"/>
      </w:pPr>
      <w:r>
        <w:rPr>
          <w:sz w:val="20"/>
        </w:rPr>
        <w:t xml:space="preserve">Таблица N 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1928"/>
        <w:gridCol w:w="1701"/>
        <w:gridCol w:w="2041"/>
        <w:gridCol w:w="1541"/>
      </w:tblGrid>
      <w:tr>
        <w:tc>
          <w:tcPr>
            <w:tcW w:w="1871" w:type="dxa"/>
            <w:vMerge w:val="restart"/>
          </w:tcPr>
          <w:p>
            <w:pPr>
              <w:pStyle w:val="0"/>
              <w:jc w:val="center"/>
            </w:pPr>
            <w:r>
              <w:rPr>
                <w:sz w:val="20"/>
              </w:rPr>
              <w:t xml:space="preserve">Категория сварного соединения</w:t>
            </w:r>
          </w:p>
        </w:tc>
        <w:tc>
          <w:tcPr>
            <w:gridSpan w:val="4"/>
            <w:tcW w:w="7211" w:type="dxa"/>
          </w:tcPr>
          <w:p>
            <w:pPr>
              <w:pStyle w:val="0"/>
              <w:jc w:val="center"/>
            </w:pPr>
            <w:r>
              <w:rPr>
                <w:sz w:val="20"/>
              </w:rPr>
              <w:t xml:space="preserve">Объем контроля, %</w:t>
            </w:r>
          </w:p>
        </w:tc>
      </w:tr>
      <w:tr>
        <w:tc>
          <w:tcPr>
            <w:vMerge w:val="continue"/>
          </w:tcPr>
          <w:p/>
        </w:tc>
        <w:tc>
          <w:tcPr>
            <w:tcW w:w="1928" w:type="dxa"/>
            <w:vMerge w:val="restart"/>
          </w:tcPr>
          <w:p>
            <w:pPr>
              <w:pStyle w:val="0"/>
              <w:jc w:val="center"/>
            </w:pPr>
            <w:r>
              <w:rPr>
                <w:sz w:val="20"/>
              </w:rPr>
              <w:t xml:space="preserve">визуального и измерительного</w:t>
            </w:r>
          </w:p>
        </w:tc>
        <w:tc>
          <w:tcPr>
            <w:gridSpan w:val="3"/>
            <w:tcW w:w="5283" w:type="dxa"/>
          </w:tcPr>
          <w:p>
            <w:pPr>
              <w:pStyle w:val="0"/>
              <w:jc w:val="center"/>
            </w:pPr>
            <w:r>
              <w:rPr>
                <w:sz w:val="20"/>
              </w:rPr>
              <w:t xml:space="preserve">радиографического</w:t>
            </w:r>
          </w:p>
        </w:tc>
      </w:tr>
      <w:tr>
        <w:tc>
          <w:tcPr>
            <w:vMerge w:val="continue"/>
          </w:tcPr>
          <w:p/>
        </w:tc>
        <w:tc>
          <w:tcPr>
            <w:vMerge w:val="continue"/>
          </w:tcPr>
          <w:p/>
        </w:tc>
        <w:tc>
          <w:tcPr>
            <w:tcW w:w="1701" w:type="dxa"/>
            <w:vMerge w:val="restart"/>
          </w:tcPr>
          <w:p>
            <w:pPr>
              <w:pStyle w:val="0"/>
              <w:jc w:val="center"/>
            </w:pPr>
            <w:r>
              <w:rPr>
                <w:sz w:val="20"/>
              </w:rPr>
              <w:t xml:space="preserve">на оборудовании</w:t>
            </w:r>
          </w:p>
        </w:tc>
        <w:tc>
          <w:tcPr>
            <w:gridSpan w:val="2"/>
            <w:tcW w:w="3582" w:type="dxa"/>
          </w:tcPr>
          <w:p>
            <w:pPr>
              <w:pStyle w:val="0"/>
              <w:jc w:val="center"/>
            </w:pPr>
            <w:r>
              <w:rPr>
                <w:sz w:val="20"/>
              </w:rPr>
              <w:t xml:space="preserve">на трубопроводах</w:t>
            </w:r>
          </w:p>
        </w:tc>
      </w:tr>
      <w:tr>
        <w:tc>
          <w:tcPr>
            <w:vMerge w:val="continue"/>
          </w:tcPr>
          <w:p/>
        </w:tc>
        <w:tc>
          <w:tcPr>
            <w:vMerge w:val="continue"/>
          </w:tcPr>
          <w:p/>
        </w:tc>
        <w:tc>
          <w:tcPr>
            <w:vMerge w:val="continue"/>
          </w:tcPr>
          <w:p/>
        </w:tc>
        <w:tc>
          <w:tcPr>
            <w:tcW w:w="2041" w:type="dxa"/>
          </w:tcPr>
          <w:p>
            <w:pPr>
              <w:pStyle w:val="0"/>
              <w:jc w:val="center"/>
            </w:pPr>
            <w:r>
              <w:rPr>
                <w:sz w:val="20"/>
              </w:rPr>
              <w:t xml:space="preserve">до D</w:t>
            </w:r>
            <w:r>
              <w:rPr>
                <w:sz w:val="20"/>
                <w:vertAlign w:val="subscript"/>
              </w:rPr>
              <w:t xml:space="preserve">н</w:t>
            </w:r>
            <w:r>
              <w:rPr>
                <w:sz w:val="20"/>
              </w:rPr>
              <w:t xml:space="preserve"> = 325 мм включительно</w:t>
            </w:r>
          </w:p>
        </w:tc>
        <w:tc>
          <w:tcPr>
            <w:tcW w:w="1541" w:type="dxa"/>
          </w:tcPr>
          <w:p>
            <w:pPr>
              <w:pStyle w:val="0"/>
              <w:jc w:val="center"/>
            </w:pPr>
            <w:r>
              <w:rPr>
                <w:sz w:val="20"/>
              </w:rPr>
              <w:t xml:space="preserve">более D</w:t>
            </w:r>
            <w:r>
              <w:rPr>
                <w:sz w:val="20"/>
                <w:vertAlign w:val="subscript"/>
              </w:rPr>
              <w:t xml:space="preserve">н</w:t>
            </w:r>
            <w:r>
              <w:rPr>
                <w:sz w:val="20"/>
              </w:rPr>
              <w:t xml:space="preserve"> = 325 мм</w:t>
            </w:r>
          </w:p>
        </w:tc>
      </w:tr>
      <w:tr>
        <w:tc>
          <w:tcPr>
            <w:tcW w:w="1871" w:type="dxa"/>
            <w:vAlign w:val="center"/>
          </w:tcPr>
          <w:p>
            <w:pPr>
              <w:pStyle w:val="0"/>
              <w:jc w:val="center"/>
            </w:pPr>
            <w:r>
              <w:rPr>
                <w:sz w:val="20"/>
              </w:rPr>
              <w:t xml:space="preserve">I, Iн, IIа, IIна</w:t>
            </w:r>
          </w:p>
        </w:tc>
        <w:tc>
          <w:tcPr>
            <w:tcW w:w="1928" w:type="dxa"/>
            <w:vAlign w:val="center"/>
          </w:tcPr>
          <w:p>
            <w:pPr>
              <w:pStyle w:val="0"/>
              <w:jc w:val="center"/>
            </w:pPr>
            <w:r>
              <w:rPr>
                <w:sz w:val="20"/>
              </w:rPr>
              <w:t xml:space="preserve">100</w:t>
            </w:r>
          </w:p>
        </w:tc>
        <w:tc>
          <w:tcPr>
            <w:tcW w:w="1701" w:type="dxa"/>
            <w:vAlign w:val="center"/>
          </w:tcPr>
          <w:p>
            <w:pPr>
              <w:pStyle w:val="0"/>
              <w:jc w:val="center"/>
            </w:pPr>
            <w:r>
              <w:rPr>
                <w:sz w:val="20"/>
              </w:rPr>
              <w:t xml:space="preserve">100</w:t>
            </w:r>
          </w:p>
        </w:tc>
        <w:tc>
          <w:tcPr>
            <w:tcW w:w="2041" w:type="dxa"/>
            <w:vAlign w:val="center"/>
          </w:tcPr>
          <w:p>
            <w:pPr>
              <w:pStyle w:val="0"/>
              <w:jc w:val="center"/>
            </w:pPr>
            <w:r>
              <w:rPr>
                <w:sz w:val="20"/>
              </w:rPr>
              <w:t xml:space="preserve">100</w:t>
            </w:r>
          </w:p>
        </w:tc>
        <w:tc>
          <w:tcPr>
            <w:tcW w:w="1541" w:type="dxa"/>
            <w:vAlign w:val="center"/>
          </w:tcPr>
          <w:p>
            <w:pPr>
              <w:pStyle w:val="0"/>
              <w:jc w:val="center"/>
            </w:pPr>
            <w:r>
              <w:rPr>
                <w:sz w:val="20"/>
              </w:rPr>
              <w:t xml:space="preserve">100</w:t>
            </w:r>
          </w:p>
        </w:tc>
      </w:tr>
      <w:tr>
        <w:tc>
          <w:tcPr>
            <w:tcW w:w="1871" w:type="dxa"/>
            <w:vAlign w:val="center"/>
          </w:tcPr>
          <w:p>
            <w:pPr>
              <w:pStyle w:val="0"/>
              <w:jc w:val="center"/>
            </w:pPr>
            <w:r>
              <w:rPr>
                <w:sz w:val="20"/>
              </w:rPr>
              <w:t xml:space="preserve">IIв, IIнв</w:t>
            </w:r>
          </w:p>
        </w:tc>
        <w:tc>
          <w:tcPr>
            <w:tcW w:w="1928" w:type="dxa"/>
            <w:vAlign w:val="center"/>
          </w:tcPr>
          <w:p>
            <w:pPr>
              <w:pStyle w:val="0"/>
              <w:jc w:val="center"/>
            </w:pPr>
            <w:r>
              <w:rPr>
                <w:sz w:val="20"/>
              </w:rPr>
              <w:t xml:space="preserve">100</w:t>
            </w:r>
          </w:p>
        </w:tc>
        <w:tc>
          <w:tcPr>
            <w:tcW w:w="1701" w:type="dxa"/>
            <w:vAlign w:val="center"/>
          </w:tcPr>
          <w:p>
            <w:pPr>
              <w:pStyle w:val="0"/>
              <w:jc w:val="center"/>
            </w:pPr>
            <w:r>
              <w:rPr>
                <w:sz w:val="20"/>
              </w:rPr>
              <w:t xml:space="preserve">100</w:t>
            </w:r>
          </w:p>
        </w:tc>
        <w:tc>
          <w:tcPr>
            <w:tcW w:w="2041" w:type="dxa"/>
            <w:vAlign w:val="center"/>
          </w:tcPr>
          <w:p>
            <w:pPr>
              <w:pStyle w:val="0"/>
              <w:jc w:val="center"/>
            </w:pPr>
            <w:r>
              <w:rPr>
                <w:sz w:val="20"/>
              </w:rPr>
              <w:t xml:space="preserve">50</w:t>
            </w:r>
          </w:p>
        </w:tc>
        <w:tc>
          <w:tcPr>
            <w:tcW w:w="1541" w:type="dxa"/>
            <w:vAlign w:val="center"/>
          </w:tcPr>
          <w:p>
            <w:pPr>
              <w:pStyle w:val="0"/>
              <w:jc w:val="center"/>
            </w:pPr>
            <w:r>
              <w:rPr>
                <w:sz w:val="20"/>
              </w:rPr>
              <w:t xml:space="preserve">100</w:t>
            </w:r>
          </w:p>
        </w:tc>
      </w:tr>
      <w:tr>
        <w:tc>
          <w:tcPr>
            <w:tcW w:w="1871" w:type="dxa"/>
            <w:vAlign w:val="center"/>
          </w:tcPr>
          <w:p>
            <w:pPr>
              <w:pStyle w:val="0"/>
              <w:jc w:val="center"/>
            </w:pPr>
            <w:r>
              <w:rPr>
                <w:sz w:val="20"/>
              </w:rPr>
              <w:t xml:space="preserve">IIнс</w:t>
            </w:r>
          </w:p>
        </w:tc>
        <w:tc>
          <w:tcPr>
            <w:tcW w:w="1928" w:type="dxa"/>
            <w:vAlign w:val="center"/>
          </w:tcPr>
          <w:p>
            <w:pPr>
              <w:pStyle w:val="0"/>
              <w:jc w:val="center"/>
            </w:pPr>
            <w:r>
              <w:rPr>
                <w:sz w:val="20"/>
              </w:rPr>
              <w:t xml:space="preserve">100</w:t>
            </w:r>
          </w:p>
        </w:tc>
        <w:tc>
          <w:tcPr>
            <w:tcW w:w="1701" w:type="dxa"/>
            <w:vAlign w:val="center"/>
          </w:tcPr>
          <w:p>
            <w:pPr>
              <w:pStyle w:val="0"/>
              <w:jc w:val="center"/>
            </w:pPr>
            <w:r>
              <w:rPr>
                <w:sz w:val="20"/>
              </w:rPr>
              <w:t xml:space="preserve">25</w:t>
            </w:r>
          </w:p>
        </w:tc>
        <w:tc>
          <w:tcPr>
            <w:tcW w:w="2041" w:type="dxa"/>
            <w:vAlign w:val="center"/>
          </w:tcPr>
          <w:p>
            <w:pPr>
              <w:pStyle w:val="0"/>
              <w:jc w:val="center"/>
            </w:pPr>
            <w:r>
              <w:rPr>
                <w:sz w:val="20"/>
              </w:rPr>
              <w:t xml:space="preserve">10</w:t>
            </w:r>
          </w:p>
        </w:tc>
        <w:tc>
          <w:tcPr>
            <w:tcW w:w="1541" w:type="dxa"/>
            <w:vAlign w:val="center"/>
          </w:tcPr>
          <w:p>
            <w:pPr>
              <w:pStyle w:val="0"/>
              <w:jc w:val="center"/>
            </w:pPr>
            <w:r>
              <w:rPr>
                <w:sz w:val="20"/>
              </w:rPr>
              <w:t xml:space="preserve">10</w:t>
            </w:r>
          </w:p>
        </w:tc>
      </w:tr>
      <w:tr>
        <w:tc>
          <w:tcPr>
            <w:tcW w:w="1871" w:type="dxa"/>
            <w:vAlign w:val="center"/>
          </w:tcPr>
          <w:p>
            <w:pPr>
              <w:pStyle w:val="0"/>
              <w:jc w:val="center"/>
            </w:pPr>
            <w:r>
              <w:rPr>
                <w:sz w:val="20"/>
              </w:rPr>
              <w:t xml:space="preserve">IIIа</w:t>
            </w:r>
          </w:p>
        </w:tc>
        <w:tc>
          <w:tcPr>
            <w:tcW w:w="1928" w:type="dxa"/>
            <w:vAlign w:val="center"/>
          </w:tcPr>
          <w:p>
            <w:pPr>
              <w:pStyle w:val="0"/>
              <w:jc w:val="center"/>
            </w:pPr>
            <w:r>
              <w:rPr>
                <w:sz w:val="20"/>
              </w:rPr>
              <w:t xml:space="preserve">100</w:t>
            </w:r>
          </w:p>
        </w:tc>
        <w:tc>
          <w:tcPr>
            <w:tcW w:w="1701" w:type="dxa"/>
            <w:vAlign w:val="center"/>
          </w:tcPr>
          <w:p>
            <w:pPr>
              <w:pStyle w:val="0"/>
              <w:jc w:val="center"/>
            </w:pPr>
            <w:r>
              <w:rPr>
                <w:sz w:val="20"/>
              </w:rPr>
              <w:t xml:space="preserve">50</w:t>
            </w:r>
          </w:p>
        </w:tc>
        <w:tc>
          <w:tcPr>
            <w:tcW w:w="2041" w:type="dxa"/>
            <w:vAlign w:val="center"/>
          </w:tcPr>
          <w:p>
            <w:pPr>
              <w:pStyle w:val="0"/>
              <w:jc w:val="center"/>
            </w:pPr>
            <w:r>
              <w:rPr>
                <w:sz w:val="20"/>
              </w:rPr>
              <w:t xml:space="preserve">25</w:t>
            </w:r>
          </w:p>
        </w:tc>
        <w:tc>
          <w:tcPr>
            <w:tcW w:w="1541" w:type="dxa"/>
            <w:vAlign w:val="center"/>
          </w:tcPr>
          <w:p>
            <w:pPr>
              <w:pStyle w:val="0"/>
              <w:jc w:val="center"/>
            </w:pPr>
            <w:r>
              <w:rPr>
                <w:sz w:val="20"/>
              </w:rPr>
              <w:t xml:space="preserve">50</w:t>
            </w:r>
          </w:p>
        </w:tc>
      </w:tr>
      <w:tr>
        <w:tc>
          <w:tcPr>
            <w:tcW w:w="1871" w:type="dxa"/>
            <w:vAlign w:val="center"/>
          </w:tcPr>
          <w:p>
            <w:pPr>
              <w:pStyle w:val="0"/>
              <w:jc w:val="center"/>
            </w:pPr>
            <w:r>
              <w:rPr>
                <w:sz w:val="20"/>
              </w:rPr>
              <w:t xml:space="preserve">IIIв</w:t>
            </w:r>
          </w:p>
        </w:tc>
        <w:tc>
          <w:tcPr>
            <w:tcW w:w="1928" w:type="dxa"/>
            <w:vAlign w:val="center"/>
          </w:tcPr>
          <w:p>
            <w:pPr>
              <w:pStyle w:val="0"/>
              <w:jc w:val="center"/>
            </w:pPr>
            <w:r>
              <w:rPr>
                <w:sz w:val="20"/>
              </w:rPr>
              <w:t xml:space="preserve">100</w:t>
            </w:r>
          </w:p>
        </w:tc>
        <w:tc>
          <w:tcPr>
            <w:tcW w:w="1701" w:type="dxa"/>
            <w:vAlign w:val="center"/>
          </w:tcPr>
          <w:p>
            <w:pPr>
              <w:pStyle w:val="0"/>
              <w:jc w:val="center"/>
            </w:pPr>
            <w:r>
              <w:rPr>
                <w:sz w:val="20"/>
              </w:rPr>
              <w:t xml:space="preserve">50</w:t>
            </w:r>
          </w:p>
        </w:tc>
        <w:tc>
          <w:tcPr>
            <w:tcW w:w="2041" w:type="dxa"/>
            <w:vAlign w:val="center"/>
          </w:tcPr>
          <w:p>
            <w:pPr>
              <w:pStyle w:val="0"/>
              <w:jc w:val="center"/>
            </w:pPr>
            <w:r>
              <w:rPr>
                <w:sz w:val="20"/>
              </w:rPr>
              <w:t xml:space="preserve">25</w:t>
            </w:r>
          </w:p>
        </w:tc>
        <w:tc>
          <w:tcPr>
            <w:tcW w:w="1541" w:type="dxa"/>
            <w:vAlign w:val="center"/>
          </w:tcPr>
          <w:p>
            <w:pPr>
              <w:pStyle w:val="0"/>
              <w:jc w:val="center"/>
            </w:pPr>
            <w:r>
              <w:rPr>
                <w:sz w:val="20"/>
              </w:rPr>
              <w:t xml:space="preserve">50</w:t>
            </w:r>
          </w:p>
        </w:tc>
      </w:tr>
      <w:tr>
        <w:tc>
          <w:tcPr>
            <w:tcW w:w="1871" w:type="dxa"/>
            <w:vAlign w:val="center"/>
          </w:tcPr>
          <w:p>
            <w:pPr>
              <w:pStyle w:val="0"/>
              <w:jc w:val="center"/>
            </w:pPr>
            <w:r>
              <w:rPr>
                <w:sz w:val="20"/>
              </w:rPr>
              <w:t xml:space="preserve">IIIс</w:t>
            </w:r>
          </w:p>
        </w:tc>
        <w:tc>
          <w:tcPr>
            <w:tcW w:w="1928" w:type="dxa"/>
            <w:vAlign w:val="center"/>
          </w:tcPr>
          <w:p>
            <w:pPr>
              <w:pStyle w:val="0"/>
              <w:jc w:val="center"/>
            </w:pPr>
            <w:r>
              <w:rPr>
                <w:sz w:val="20"/>
              </w:rPr>
              <w:t xml:space="preserve">100</w:t>
            </w:r>
          </w:p>
        </w:tc>
        <w:tc>
          <w:tcPr>
            <w:tcW w:w="1701" w:type="dxa"/>
            <w:vAlign w:val="center"/>
          </w:tcPr>
          <w:p>
            <w:pPr>
              <w:pStyle w:val="0"/>
              <w:jc w:val="center"/>
            </w:pPr>
            <w:r>
              <w:rPr>
                <w:sz w:val="20"/>
              </w:rPr>
              <w:t xml:space="preserve">25</w:t>
            </w:r>
          </w:p>
        </w:tc>
        <w:tc>
          <w:tcPr>
            <w:tcW w:w="2041" w:type="dxa"/>
            <w:vAlign w:val="center"/>
          </w:tcPr>
          <w:p>
            <w:pPr>
              <w:pStyle w:val="0"/>
              <w:jc w:val="center"/>
            </w:pPr>
            <w:r>
              <w:rPr>
                <w:sz w:val="20"/>
              </w:rPr>
              <w:t xml:space="preserve">10</w:t>
            </w:r>
          </w:p>
        </w:tc>
        <w:tc>
          <w:tcPr>
            <w:tcW w:w="1541" w:type="dxa"/>
            <w:vAlign w:val="center"/>
          </w:tcPr>
          <w:p>
            <w:pPr>
              <w:pStyle w:val="0"/>
              <w:jc w:val="center"/>
            </w:pPr>
            <w:r>
              <w:rPr>
                <w:sz w:val="20"/>
              </w:rPr>
              <w:t xml:space="preserve">25</w:t>
            </w:r>
          </w:p>
        </w:tc>
      </w:tr>
      <w:tr>
        <w:tc>
          <w:tcPr>
            <w:gridSpan w:val="5"/>
            <w:tcW w:w="9082" w:type="dxa"/>
          </w:tcPr>
          <w:p>
            <w:pPr>
              <w:pStyle w:val="0"/>
            </w:pPr>
            <w:r>
              <w:rPr>
                <w:sz w:val="20"/>
              </w:rPr>
              <w:t xml:space="preserve">Примечание. Объем капиллярного контроля принимается в соответствии с </w:t>
            </w:r>
            <w:hyperlink w:history="0" w:anchor="P257" w:tooltip="77. Сплошному капиллярному контролю подлежат все сварные соединения деталей из сталей аустенитного класса, выполненные сварочными материалами, содержащими ниобий, а также сварные соединения деталей из сталей аустенитного класса с антикоррозионной наплавкой, содержащей ниобий. В остальных случаях объем капиллярного контроля сварных соединений деталей из сталей аустенитного класса устанавливается в конструкторской документации.">
              <w:r>
                <w:rPr>
                  <w:sz w:val="20"/>
                  <w:color w:val="0000ff"/>
                </w:rPr>
                <w:t xml:space="preserve">пунктом 77</w:t>
              </w:r>
            </w:hyperlink>
            <w:r>
              <w:rPr>
                <w:sz w:val="20"/>
              </w:rPr>
              <w:t xml:space="preserve"> настоящих Правил.</w:t>
            </w:r>
          </w:p>
        </w:tc>
      </w:tr>
    </w:tbl>
    <w:p>
      <w:pPr>
        <w:pStyle w:val="0"/>
        <w:jc w:val="both"/>
      </w:pPr>
      <w:r>
        <w:rPr>
          <w:sz w:val="20"/>
        </w:rPr>
      </w:r>
    </w:p>
    <w:p>
      <w:pPr>
        <w:pStyle w:val="0"/>
        <w:ind w:firstLine="540"/>
        <w:jc w:val="both"/>
      </w:pPr>
      <w:r>
        <w:rPr>
          <w:sz w:val="20"/>
        </w:rPr>
        <w:t xml:space="preserve">95. Методы и объем неразрушающего контроля сварных соединений деталей из сталей аустенитного класса, или деталей из железоникелевых сплавов с деталями из сталей перлитного класса, или деталей из высокохромистых сталей приведены в таблице N 4 настоящих Правил.</w:t>
      </w:r>
    </w:p>
    <w:p>
      <w:pPr>
        <w:pStyle w:val="0"/>
        <w:jc w:val="both"/>
      </w:pPr>
      <w:r>
        <w:rPr>
          <w:sz w:val="20"/>
        </w:rPr>
      </w:r>
    </w:p>
    <w:bookmarkStart w:id="448" w:name="P448"/>
    <w:bookmarkEnd w:id="448"/>
    <w:p>
      <w:pPr>
        <w:pStyle w:val="0"/>
        <w:outlineLvl w:val="3"/>
        <w:jc w:val="right"/>
      </w:pPr>
      <w:r>
        <w:rPr>
          <w:sz w:val="20"/>
        </w:rPr>
        <w:t xml:space="preserve">Таблица N 4</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28"/>
        <w:gridCol w:w="1417"/>
        <w:gridCol w:w="1361"/>
        <w:gridCol w:w="1531"/>
        <w:gridCol w:w="1587"/>
        <w:gridCol w:w="1247"/>
      </w:tblGrid>
      <w:tr>
        <w:tc>
          <w:tcPr>
            <w:tcW w:w="1928" w:type="dxa"/>
            <w:vMerge w:val="restart"/>
          </w:tcPr>
          <w:p>
            <w:pPr>
              <w:pStyle w:val="0"/>
              <w:jc w:val="center"/>
            </w:pPr>
            <w:r>
              <w:rPr>
                <w:sz w:val="20"/>
              </w:rPr>
              <w:t xml:space="preserve">Категория сварного соединения</w:t>
            </w:r>
          </w:p>
        </w:tc>
        <w:tc>
          <w:tcPr>
            <w:gridSpan w:val="5"/>
            <w:tcW w:w="7143" w:type="dxa"/>
          </w:tcPr>
          <w:p>
            <w:pPr>
              <w:pStyle w:val="0"/>
              <w:jc w:val="center"/>
            </w:pPr>
            <w:r>
              <w:rPr>
                <w:sz w:val="20"/>
              </w:rPr>
              <w:t xml:space="preserve">Объем контроля, %</w:t>
            </w:r>
          </w:p>
        </w:tc>
      </w:tr>
      <w:tr>
        <w:tc>
          <w:tcPr>
            <w:vMerge w:val="continue"/>
          </w:tcPr>
          <w:p/>
        </w:tc>
        <w:tc>
          <w:tcPr>
            <w:tcW w:w="1417" w:type="dxa"/>
            <w:vMerge w:val="restart"/>
          </w:tcPr>
          <w:p>
            <w:pPr>
              <w:pStyle w:val="0"/>
              <w:jc w:val="center"/>
            </w:pPr>
            <w:r>
              <w:rPr>
                <w:sz w:val="20"/>
              </w:rPr>
              <w:t xml:space="preserve">визуального и измерительного</w:t>
            </w:r>
          </w:p>
        </w:tc>
        <w:tc>
          <w:tcPr>
            <w:tcW w:w="1361" w:type="dxa"/>
            <w:vMerge w:val="restart"/>
          </w:tcPr>
          <w:p>
            <w:pPr>
              <w:pStyle w:val="0"/>
              <w:jc w:val="center"/>
            </w:pPr>
            <w:r>
              <w:rPr>
                <w:sz w:val="20"/>
              </w:rPr>
              <w:t xml:space="preserve">капиллярного</w:t>
            </w:r>
          </w:p>
        </w:tc>
        <w:tc>
          <w:tcPr>
            <w:gridSpan w:val="3"/>
            <w:tcW w:w="4365" w:type="dxa"/>
          </w:tcPr>
          <w:p>
            <w:pPr>
              <w:pStyle w:val="0"/>
              <w:jc w:val="center"/>
            </w:pPr>
            <w:r>
              <w:rPr>
                <w:sz w:val="20"/>
              </w:rPr>
              <w:t xml:space="preserve">радиографического</w:t>
            </w:r>
          </w:p>
        </w:tc>
      </w:tr>
      <w:tr>
        <w:tc>
          <w:tcPr>
            <w:vMerge w:val="continue"/>
          </w:tcPr>
          <w:p/>
        </w:tc>
        <w:tc>
          <w:tcPr>
            <w:vMerge w:val="continue"/>
          </w:tcPr>
          <w:p/>
        </w:tc>
        <w:tc>
          <w:tcPr>
            <w:vMerge w:val="continue"/>
          </w:tcPr>
          <w:p/>
        </w:tc>
        <w:tc>
          <w:tcPr>
            <w:tcW w:w="1531" w:type="dxa"/>
            <w:vMerge w:val="restart"/>
          </w:tcPr>
          <w:p>
            <w:pPr>
              <w:pStyle w:val="0"/>
              <w:jc w:val="center"/>
            </w:pPr>
            <w:r>
              <w:rPr>
                <w:sz w:val="20"/>
              </w:rPr>
              <w:t xml:space="preserve">на оборудовании</w:t>
            </w:r>
          </w:p>
        </w:tc>
        <w:tc>
          <w:tcPr>
            <w:gridSpan w:val="2"/>
            <w:tcW w:w="2834" w:type="dxa"/>
          </w:tcPr>
          <w:p>
            <w:pPr>
              <w:pStyle w:val="0"/>
              <w:jc w:val="center"/>
            </w:pPr>
            <w:r>
              <w:rPr>
                <w:sz w:val="20"/>
              </w:rPr>
              <w:t xml:space="preserve">на трубопроводах</w:t>
            </w:r>
          </w:p>
        </w:tc>
      </w:tr>
      <w:tr>
        <w:tc>
          <w:tcPr>
            <w:vMerge w:val="continue"/>
          </w:tcPr>
          <w:p/>
        </w:tc>
        <w:tc>
          <w:tcPr>
            <w:vMerge w:val="continue"/>
          </w:tcPr>
          <w:p/>
        </w:tc>
        <w:tc>
          <w:tcPr>
            <w:vMerge w:val="continue"/>
          </w:tcPr>
          <w:p/>
        </w:tc>
        <w:tc>
          <w:tcPr>
            <w:vMerge w:val="continue"/>
          </w:tcPr>
          <w:p/>
        </w:tc>
        <w:tc>
          <w:tcPr>
            <w:tcW w:w="1587" w:type="dxa"/>
          </w:tcPr>
          <w:p>
            <w:pPr>
              <w:pStyle w:val="0"/>
              <w:jc w:val="center"/>
            </w:pPr>
            <w:r>
              <w:rPr>
                <w:sz w:val="20"/>
              </w:rPr>
              <w:t xml:space="preserve">до D</w:t>
            </w:r>
            <w:r>
              <w:rPr>
                <w:sz w:val="20"/>
                <w:vertAlign w:val="subscript"/>
              </w:rPr>
              <w:t xml:space="preserve">н</w:t>
            </w:r>
            <w:r>
              <w:rPr>
                <w:sz w:val="20"/>
              </w:rPr>
              <w:t xml:space="preserve"> = 325 мм включительно</w:t>
            </w:r>
          </w:p>
        </w:tc>
        <w:tc>
          <w:tcPr>
            <w:tcW w:w="1247" w:type="dxa"/>
          </w:tcPr>
          <w:p>
            <w:pPr>
              <w:pStyle w:val="0"/>
              <w:jc w:val="center"/>
            </w:pPr>
            <w:r>
              <w:rPr>
                <w:sz w:val="20"/>
              </w:rPr>
              <w:t xml:space="preserve">более D</w:t>
            </w:r>
            <w:r>
              <w:rPr>
                <w:sz w:val="20"/>
                <w:vertAlign w:val="subscript"/>
              </w:rPr>
              <w:t xml:space="preserve">н</w:t>
            </w:r>
            <w:r>
              <w:rPr>
                <w:sz w:val="20"/>
              </w:rPr>
              <w:t xml:space="preserve"> = 325 мм</w:t>
            </w:r>
          </w:p>
        </w:tc>
      </w:tr>
      <w:tr>
        <w:tc>
          <w:tcPr>
            <w:tcW w:w="1928" w:type="dxa"/>
            <w:vAlign w:val="center"/>
          </w:tcPr>
          <w:p>
            <w:pPr>
              <w:pStyle w:val="0"/>
              <w:jc w:val="center"/>
            </w:pPr>
            <w:r>
              <w:rPr>
                <w:sz w:val="20"/>
              </w:rPr>
              <w:t xml:space="preserve">I, Iн, IIна, IIа</w:t>
            </w:r>
          </w:p>
        </w:tc>
        <w:tc>
          <w:tcPr>
            <w:tcW w:w="1417" w:type="dxa"/>
            <w:vAlign w:val="center"/>
          </w:tcPr>
          <w:p>
            <w:pPr>
              <w:pStyle w:val="0"/>
              <w:jc w:val="center"/>
            </w:pPr>
            <w:r>
              <w:rPr>
                <w:sz w:val="20"/>
              </w:rPr>
              <w:t xml:space="preserve">100</w:t>
            </w:r>
          </w:p>
        </w:tc>
        <w:tc>
          <w:tcPr>
            <w:tcW w:w="1361" w:type="dxa"/>
            <w:vAlign w:val="center"/>
          </w:tcPr>
          <w:p>
            <w:pPr>
              <w:pStyle w:val="0"/>
              <w:jc w:val="center"/>
            </w:pPr>
            <w:r>
              <w:rPr>
                <w:sz w:val="20"/>
              </w:rPr>
              <w:t xml:space="preserve">100</w:t>
            </w:r>
          </w:p>
        </w:tc>
        <w:tc>
          <w:tcPr>
            <w:tcW w:w="1531" w:type="dxa"/>
            <w:vAlign w:val="center"/>
          </w:tcPr>
          <w:p>
            <w:pPr>
              <w:pStyle w:val="0"/>
              <w:jc w:val="center"/>
            </w:pPr>
            <w:r>
              <w:rPr>
                <w:sz w:val="20"/>
              </w:rPr>
              <w:t xml:space="preserve">100</w:t>
            </w:r>
          </w:p>
        </w:tc>
        <w:tc>
          <w:tcPr>
            <w:tcW w:w="1587" w:type="dxa"/>
            <w:vAlign w:val="center"/>
          </w:tcPr>
          <w:p>
            <w:pPr>
              <w:pStyle w:val="0"/>
              <w:jc w:val="center"/>
            </w:pPr>
            <w:r>
              <w:rPr>
                <w:sz w:val="20"/>
              </w:rPr>
              <w:t xml:space="preserve">100</w:t>
            </w:r>
          </w:p>
        </w:tc>
        <w:tc>
          <w:tcPr>
            <w:tcW w:w="1247" w:type="dxa"/>
            <w:vAlign w:val="center"/>
          </w:tcPr>
          <w:p>
            <w:pPr>
              <w:pStyle w:val="0"/>
              <w:jc w:val="center"/>
            </w:pPr>
            <w:r>
              <w:rPr>
                <w:sz w:val="20"/>
              </w:rPr>
              <w:t xml:space="preserve">100</w:t>
            </w:r>
          </w:p>
        </w:tc>
      </w:tr>
      <w:tr>
        <w:tc>
          <w:tcPr>
            <w:tcW w:w="1928" w:type="dxa"/>
            <w:vAlign w:val="center"/>
          </w:tcPr>
          <w:p>
            <w:pPr>
              <w:pStyle w:val="0"/>
              <w:jc w:val="center"/>
            </w:pPr>
            <w:r>
              <w:rPr>
                <w:sz w:val="20"/>
              </w:rPr>
              <w:t xml:space="preserve">IIв, IIнв, IIнс, IIIа</w:t>
            </w:r>
          </w:p>
        </w:tc>
        <w:tc>
          <w:tcPr>
            <w:tcW w:w="1417" w:type="dxa"/>
            <w:vAlign w:val="center"/>
          </w:tcPr>
          <w:p>
            <w:pPr>
              <w:pStyle w:val="0"/>
              <w:jc w:val="center"/>
            </w:pPr>
            <w:r>
              <w:rPr>
                <w:sz w:val="20"/>
              </w:rPr>
              <w:t xml:space="preserve">100</w:t>
            </w:r>
          </w:p>
        </w:tc>
        <w:tc>
          <w:tcPr>
            <w:tcW w:w="1361" w:type="dxa"/>
            <w:vAlign w:val="center"/>
          </w:tcPr>
          <w:p>
            <w:pPr>
              <w:pStyle w:val="0"/>
              <w:jc w:val="center"/>
            </w:pPr>
            <w:r>
              <w:rPr>
                <w:sz w:val="20"/>
              </w:rPr>
              <w:t xml:space="preserve">50</w:t>
            </w:r>
          </w:p>
        </w:tc>
        <w:tc>
          <w:tcPr>
            <w:tcW w:w="1531" w:type="dxa"/>
            <w:vAlign w:val="center"/>
          </w:tcPr>
          <w:p>
            <w:pPr>
              <w:pStyle w:val="0"/>
              <w:jc w:val="center"/>
            </w:pPr>
            <w:r>
              <w:rPr>
                <w:sz w:val="20"/>
              </w:rPr>
              <w:t xml:space="preserve">100</w:t>
            </w:r>
          </w:p>
        </w:tc>
        <w:tc>
          <w:tcPr>
            <w:tcW w:w="1587" w:type="dxa"/>
            <w:vAlign w:val="center"/>
          </w:tcPr>
          <w:p>
            <w:pPr>
              <w:pStyle w:val="0"/>
              <w:jc w:val="center"/>
            </w:pPr>
            <w:r>
              <w:rPr>
                <w:sz w:val="20"/>
              </w:rPr>
              <w:t xml:space="preserve">100</w:t>
            </w:r>
          </w:p>
        </w:tc>
        <w:tc>
          <w:tcPr>
            <w:tcW w:w="1247" w:type="dxa"/>
            <w:vAlign w:val="center"/>
          </w:tcPr>
          <w:p>
            <w:pPr>
              <w:pStyle w:val="0"/>
              <w:jc w:val="center"/>
            </w:pPr>
            <w:r>
              <w:rPr>
                <w:sz w:val="20"/>
              </w:rPr>
              <w:t xml:space="preserve">100</w:t>
            </w:r>
          </w:p>
        </w:tc>
      </w:tr>
      <w:tr>
        <w:tc>
          <w:tcPr>
            <w:tcW w:w="1928" w:type="dxa"/>
            <w:vAlign w:val="center"/>
          </w:tcPr>
          <w:p>
            <w:pPr>
              <w:pStyle w:val="0"/>
              <w:jc w:val="center"/>
            </w:pPr>
            <w:r>
              <w:rPr>
                <w:sz w:val="20"/>
              </w:rPr>
              <w:t xml:space="preserve">IIIв, IIIс</w:t>
            </w:r>
          </w:p>
        </w:tc>
        <w:tc>
          <w:tcPr>
            <w:tcW w:w="1417" w:type="dxa"/>
            <w:vAlign w:val="center"/>
          </w:tcPr>
          <w:p>
            <w:pPr>
              <w:pStyle w:val="0"/>
              <w:jc w:val="center"/>
            </w:pPr>
            <w:r>
              <w:rPr>
                <w:sz w:val="20"/>
              </w:rPr>
              <w:t xml:space="preserve">100</w:t>
            </w:r>
          </w:p>
        </w:tc>
        <w:tc>
          <w:tcPr>
            <w:tcW w:w="1361" w:type="dxa"/>
            <w:vAlign w:val="center"/>
          </w:tcPr>
          <w:p>
            <w:pPr>
              <w:pStyle w:val="0"/>
              <w:jc w:val="center"/>
            </w:pPr>
            <w:r>
              <w:rPr>
                <w:sz w:val="20"/>
              </w:rPr>
              <w:t xml:space="preserve">10</w:t>
            </w:r>
          </w:p>
        </w:tc>
        <w:tc>
          <w:tcPr>
            <w:tcW w:w="1531" w:type="dxa"/>
            <w:vAlign w:val="center"/>
          </w:tcPr>
          <w:p>
            <w:pPr>
              <w:pStyle w:val="0"/>
              <w:jc w:val="center"/>
            </w:pPr>
            <w:r>
              <w:rPr>
                <w:sz w:val="20"/>
              </w:rPr>
              <w:t xml:space="preserve">100</w:t>
            </w:r>
          </w:p>
        </w:tc>
        <w:tc>
          <w:tcPr>
            <w:tcW w:w="1587" w:type="dxa"/>
            <w:vAlign w:val="center"/>
          </w:tcPr>
          <w:p>
            <w:pPr>
              <w:pStyle w:val="0"/>
              <w:jc w:val="center"/>
            </w:pPr>
            <w:r>
              <w:rPr>
                <w:sz w:val="20"/>
              </w:rPr>
              <w:t xml:space="preserve">100</w:t>
            </w:r>
          </w:p>
        </w:tc>
        <w:tc>
          <w:tcPr>
            <w:tcW w:w="1247" w:type="dxa"/>
            <w:vAlign w:val="center"/>
          </w:tcPr>
          <w:p>
            <w:pPr>
              <w:pStyle w:val="0"/>
              <w:jc w:val="center"/>
            </w:pPr>
            <w:r>
              <w:rPr>
                <w:sz w:val="20"/>
              </w:rPr>
              <w:t xml:space="preserve">100</w:t>
            </w:r>
          </w:p>
        </w:tc>
      </w:tr>
    </w:tbl>
    <w:p>
      <w:pPr>
        <w:pStyle w:val="0"/>
        <w:jc w:val="both"/>
      </w:pPr>
      <w:r>
        <w:rPr>
          <w:sz w:val="20"/>
        </w:rPr>
      </w:r>
    </w:p>
    <w:p>
      <w:pPr>
        <w:pStyle w:val="0"/>
        <w:ind w:firstLine="540"/>
        <w:jc w:val="both"/>
      </w:pPr>
      <w:r>
        <w:rPr>
          <w:sz w:val="20"/>
        </w:rPr>
        <w:t xml:space="preserve">Требования </w:t>
      </w:r>
      <w:hyperlink w:history="0" w:anchor="P448" w:tooltip="Таблица N 4">
        <w:r>
          <w:rPr>
            <w:sz w:val="20"/>
            <w:color w:val="0000ff"/>
          </w:rPr>
          <w:t xml:space="preserve">таблицы N 4</w:t>
        </w:r>
      </w:hyperlink>
      <w:r>
        <w:rPr>
          <w:sz w:val="20"/>
        </w:rPr>
        <w:t xml:space="preserve"> не распространяются на сварные соединения вварки труб в трубные доски и сварные соединения оборудования и (или) трубопроводов с деталями, не нагружаемыми давлением.</w:t>
      </w:r>
    </w:p>
    <w:p>
      <w:pPr>
        <w:pStyle w:val="0"/>
        <w:spacing w:before="200" w:line-rule="auto"/>
        <w:ind w:firstLine="540"/>
        <w:jc w:val="both"/>
      </w:pPr>
      <w:r>
        <w:rPr>
          <w:sz w:val="20"/>
        </w:rPr>
        <w:t xml:space="preserve">96. Методы и объем неразрушающего контроля сварных соединений из алюминиевых сплавов приведены в таблице N 5 настоящих Правил. Объем ультразвукового контроля сварных соединений I категории толщиной 6,0 мм и более устанавливается конструкторской документацией.</w:t>
      </w:r>
    </w:p>
    <w:p>
      <w:pPr>
        <w:pStyle w:val="0"/>
        <w:jc w:val="both"/>
      </w:pPr>
      <w:r>
        <w:rPr>
          <w:sz w:val="20"/>
        </w:rPr>
      </w:r>
    </w:p>
    <w:p>
      <w:pPr>
        <w:pStyle w:val="0"/>
        <w:outlineLvl w:val="3"/>
        <w:jc w:val="right"/>
      </w:pPr>
      <w:r>
        <w:rPr>
          <w:sz w:val="20"/>
        </w:rPr>
        <w:t xml:space="preserve">Таблица N 5</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8"/>
        <w:gridCol w:w="1277"/>
        <w:gridCol w:w="1546"/>
        <w:gridCol w:w="1416"/>
        <w:gridCol w:w="1304"/>
        <w:gridCol w:w="1247"/>
      </w:tblGrid>
      <w:tr>
        <w:tc>
          <w:tcPr>
            <w:tcW w:w="2268" w:type="dxa"/>
            <w:vMerge w:val="restart"/>
          </w:tcPr>
          <w:p>
            <w:pPr>
              <w:pStyle w:val="0"/>
              <w:jc w:val="center"/>
            </w:pPr>
            <w:r>
              <w:rPr>
                <w:sz w:val="20"/>
              </w:rPr>
              <w:t xml:space="preserve">Номинальная толщина сваренных деталей, мм</w:t>
            </w:r>
          </w:p>
        </w:tc>
        <w:tc>
          <w:tcPr>
            <w:tcW w:w="1277" w:type="dxa"/>
            <w:vMerge w:val="restart"/>
          </w:tcPr>
          <w:p>
            <w:pPr>
              <w:pStyle w:val="0"/>
              <w:jc w:val="center"/>
            </w:pPr>
            <w:r>
              <w:rPr>
                <w:sz w:val="20"/>
              </w:rPr>
              <w:t xml:space="preserve">Категория сварных соединений</w:t>
            </w:r>
          </w:p>
        </w:tc>
        <w:tc>
          <w:tcPr>
            <w:gridSpan w:val="4"/>
            <w:tcW w:w="5513" w:type="dxa"/>
          </w:tcPr>
          <w:p>
            <w:pPr>
              <w:pStyle w:val="0"/>
              <w:jc w:val="center"/>
            </w:pPr>
            <w:r>
              <w:rPr>
                <w:sz w:val="20"/>
              </w:rPr>
              <w:t xml:space="preserve">Объем контроля, %</w:t>
            </w:r>
          </w:p>
        </w:tc>
      </w:tr>
      <w:tr>
        <w:tc>
          <w:tcPr>
            <w:vMerge w:val="continue"/>
          </w:tcPr>
          <w:p/>
        </w:tc>
        <w:tc>
          <w:tcPr>
            <w:vMerge w:val="continue"/>
          </w:tcPr>
          <w:p/>
        </w:tc>
        <w:tc>
          <w:tcPr>
            <w:tcW w:w="1546" w:type="dxa"/>
            <w:vMerge w:val="restart"/>
          </w:tcPr>
          <w:p>
            <w:pPr>
              <w:pStyle w:val="0"/>
              <w:jc w:val="center"/>
            </w:pPr>
            <w:r>
              <w:rPr>
                <w:sz w:val="20"/>
              </w:rPr>
              <w:t xml:space="preserve">визуального и измерительного</w:t>
            </w:r>
          </w:p>
        </w:tc>
        <w:tc>
          <w:tcPr>
            <w:tcW w:w="1416" w:type="dxa"/>
            <w:vMerge w:val="restart"/>
          </w:tcPr>
          <w:p>
            <w:pPr>
              <w:pStyle w:val="0"/>
              <w:jc w:val="center"/>
            </w:pPr>
            <w:r>
              <w:rPr>
                <w:sz w:val="20"/>
              </w:rPr>
              <w:t xml:space="preserve">капиллярного</w:t>
            </w:r>
          </w:p>
        </w:tc>
        <w:tc>
          <w:tcPr>
            <w:gridSpan w:val="2"/>
            <w:tcW w:w="2551" w:type="dxa"/>
          </w:tcPr>
          <w:p>
            <w:pPr>
              <w:pStyle w:val="0"/>
              <w:jc w:val="center"/>
            </w:pPr>
            <w:r>
              <w:rPr>
                <w:sz w:val="20"/>
              </w:rPr>
              <w:t xml:space="preserve">радиографического</w:t>
            </w:r>
          </w:p>
        </w:tc>
      </w:tr>
      <w:tr>
        <w:tc>
          <w:tcPr>
            <w:vMerge w:val="continue"/>
          </w:tcPr>
          <w:p/>
        </w:tc>
        <w:tc>
          <w:tcPr>
            <w:vMerge w:val="continue"/>
          </w:tcPr>
          <w:p/>
        </w:tc>
        <w:tc>
          <w:tcPr>
            <w:vMerge w:val="continue"/>
          </w:tcPr>
          <w:p/>
        </w:tc>
        <w:tc>
          <w:tcPr>
            <w:vMerge w:val="continue"/>
          </w:tcPr>
          <w:p/>
        </w:tc>
        <w:tc>
          <w:tcPr>
            <w:tcW w:w="1304" w:type="dxa"/>
          </w:tcPr>
          <w:p>
            <w:pPr>
              <w:pStyle w:val="0"/>
              <w:jc w:val="center"/>
            </w:pPr>
            <w:r>
              <w:rPr>
                <w:sz w:val="20"/>
              </w:rPr>
              <w:t xml:space="preserve">на оборудовании</w:t>
            </w:r>
          </w:p>
        </w:tc>
        <w:tc>
          <w:tcPr>
            <w:tcW w:w="1247" w:type="dxa"/>
          </w:tcPr>
          <w:p>
            <w:pPr>
              <w:pStyle w:val="0"/>
              <w:jc w:val="center"/>
            </w:pPr>
            <w:r>
              <w:rPr>
                <w:sz w:val="20"/>
              </w:rPr>
              <w:t xml:space="preserve">на трубопроводах</w:t>
            </w:r>
          </w:p>
        </w:tc>
      </w:tr>
      <w:tr>
        <w:tc>
          <w:tcPr>
            <w:tcW w:w="2268" w:type="dxa"/>
            <w:vAlign w:val="center"/>
          </w:tcPr>
          <w:p>
            <w:pPr>
              <w:pStyle w:val="0"/>
              <w:jc w:val="center"/>
            </w:pPr>
            <w:r>
              <w:rPr>
                <w:sz w:val="20"/>
              </w:rPr>
              <w:t xml:space="preserve">От 1,0 до 3,0 включительно</w:t>
            </w:r>
          </w:p>
        </w:tc>
        <w:tc>
          <w:tcPr>
            <w:tcW w:w="1277" w:type="dxa"/>
            <w:vAlign w:val="center"/>
          </w:tcPr>
          <w:p>
            <w:pPr>
              <w:pStyle w:val="0"/>
              <w:jc w:val="center"/>
            </w:pPr>
            <w:r>
              <w:rPr>
                <w:sz w:val="20"/>
              </w:rPr>
              <w:t xml:space="preserve">III</w:t>
            </w:r>
          </w:p>
        </w:tc>
        <w:tc>
          <w:tcPr>
            <w:tcW w:w="1546" w:type="dxa"/>
            <w:vAlign w:val="center"/>
          </w:tcPr>
          <w:p>
            <w:pPr>
              <w:pStyle w:val="0"/>
              <w:jc w:val="center"/>
            </w:pPr>
            <w:r>
              <w:rPr>
                <w:sz w:val="20"/>
              </w:rPr>
              <w:t xml:space="preserve">100</w:t>
            </w:r>
          </w:p>
        </w:tc>
        <w:tc>
          <w:tcPr>
            <w:tcW w:w="1416" w:type="dxa"/>
            <w:vAlign w:val="center"/>
          </w:tcPr>
          <w:p>
            <w:pPr>
              <w:pStyle w:val="0"/>
              <w:jc w:val="center"/>
            </w:pPr>
            <w:r>
              <w:rPr>
                <w:sz w:val="20"/>
              </w:rPr>
              <w:t xml:space="preserve">100</w:t>
            </w:r>
          </w:p>
        </w:tc>
        <w:tc>
          <w:tcPr>
            <w:tcW w:w="1304" w:type="dxa"/>
            <w:vAlign w:val="center"/>
          </w:tcPr>
          <w:p>
            <w:pPr>
              <w:pStyle w:val="0"/>
              <w:jc w:val="center"/>
            </w:pPr>
            <w:r>
              <w:rPr>
                <w:sz w:val="20"/>
              </w:rPr>
              <w:t xml:space="preserve">-</w:t>
            </w:r>
          </w:p>
        </w:tc>
        <w:tc>
          <w:tcPr>
            <w:tcW w:w="1247" w:type="dxa"/>
            <w:vAlign w:val="center"/>
          </w:tcPr>
          <w:p>
            <w:pPr>
              <w:pStyle w:val="0"/>
              <w:jc w:val="center"/>
            </w:pPr>
            <w:r>
              <w:rPr>
                <w:sz w:val="20"/>
              </w:rPr>
              <w:t xml:space="preserve">-</w:t>
            </w:r>
          </w:p>
        </w:tc>
      </w:tr>
      <w:tr>
        <w:tc>
          <w:tcPr>
            <w:tcW w:w="2268" w:type="dxa"/>
            <w:vAlign w:val="center"/>
            <w:vMerge w:val="restart"/>
          </w:tcPr>
          <w:p>
            <w:pPr>
              <w:pStyle w:val="0"/>
              <w:jc w:val="center"/>
            </w:pPr>
            <w:r>
              <w:rPr>
                <w:sz w:val="20"/>
              </w:rPr>
              <w:t xml:space="preserve">Более 3,0 до 6,0 включительно</w:t>
            </w:r>
          </w:p>
        </w:tc>
        <w:tc>
          <w:tcPr>
            <w:tcW w:w="1277" w:type="dxa"/>
            <w:vAlign w:val="center"/>
          </w:tcPr>
          <w:p>
            <w:pPr>
              <w:pStyle w:val="0"/>
              <w:jc w:val="center"/>
            </w:pPr>
            <w:r>
              <w:rPr>
                <w:sz w:val="20"/>
              </w:rPr>
              <w:t xml:space="preserve">I</w:t>
            </w:r>
          </w:p>
        </w:tc>
        <w:tc>
          <w:tcPr>
            <w:tcW w:w="1546" w:type="dxa"/>
            <w:vAlign w:val="center"/>
          </w:tcPr>
          <w:p>
            <w:pPr>
              <w:pStyle w:val="0"/>
              <w:jc w:val="center"/>
            </w:pPr>
            <w:r>
              <w:rPr>
                <w:sz w:val="20"/>
              </w:rPr>
              <w:t xml:space="preserve">100</w:t>
            </w:r>
          </w:p>
        </w:tc>
        <w:tc>
          <w:tcPr>
            <w:tcW w:w="1416" w:type="dxa"/>
            <w:vAlign w:val="center"/>
          </w:tcPr>
          <w:p>
            <w:pPr>
              <w:pStyle w:val="0"/>
              <w:jc w:val="center"/>
            </w:pPr>
            <w:r>
              <w:rPr>
                <w:sz w:val="20"/>
              </w:rPr>
              <w:t xml:space="preserve">100</w:t>
            </w:r>
          </w:p>
        </w:tc>
        <w:tc>
          <w:tcPr>
            <w:tcW w:w="1304" w:type="dxa"/>
            <w:vAlign w:val="center"/>
          </w:tcPr>
          <w:p>
            <w:pPr>
              <w:pStyle w:val="0"/>
              <w:jc w:val="center"/>
            </w:pPr>
            <w:r>
              <w:rPr>
                <w:sz w:val="20"/>
              </w:rPr>
              <w:t xml:space="preserve">100</w:t>
            </w:r>
          </w:p>
        </w:tc>
        <w:tc>
          <w:tcPr>
            <w:tcW w:w="1247" w:type="dxa"/>
            <w:vAlign w:val="center"/>
          </w:tcPr>
          <w:p>
            <w:pPr>
              <w:pStyle w:val="0"/>
              <w:jc w:val="center"/>
            </w:pPr>
            <w:r>
              <w:rPr>
                <w:sz w:val="20"/>
              </w:rPr>
              <w:t xml:space="preserve">100</w:t>
            </w:r>
          </w:p>
        </w:tc>
      </w:tr>
      <w:tr>
        <w:tc>
          <w:tcPr>
            <w:vMerge w:val="continue"/>
          </w:tcPr>
          <w:p/>
        </w:tc>
        <w:tc>
          <w:tcPr>
            <w:tcW w:w="1277" w:type="dxa"/>
            <w:vAlign w:val="center"/>
          </w:tcPr>
          <w:p>
            <w:pPr>
              <w:pStyle w:val="0"/>
              <w:jc w:val="center"/>
            </w:pPr>
            <w:r>
              <w:rPr>
                <w:sz w:val="20"/>
              </w:rPr>
              <w:t xml:space="preserve">II</w:t>
            </w:r>
          </w:p>
        </w:tc>
        <w:tc>
          <w:tcPr>
            <w:tcW w:w="1546" w:type="dxa"/>
            <w:vAlign w:val="center"/>
          </w:tcPr>
          <w:p>
            <w:pPr>
              <w:pStyle w:val="0"/>
              <w:jc w:val="center"/>
            </w:pPr>
            <w:r>
              <w:rPr>
                <w:sz w:val="20"/>
              </w:rPr>
              <w:t xml:space="preserve">100</w:t>
            </w:r>
          </w:p>
        </w:tc>
        <w:tc>
          <w:tcPr>
            <w:tcW w:w="1416" w:type="dxa"/>
            <w:vAlign w:val="center"/>
          </w:tcPr>
          <w:p>
            <w:pPr>
              <w:pStyle w:val="0"/>
              <w:jc w:val="center"/>
            </w:pPr>
            <w:r>
              <w:rPr>
                <w:sz w:val="20"/>
              </w:rPr>
              <w:t xml:space="preserve">100</w:t>
            </w:r>
          </w:p>
        </w:tc>
        <w:tc>
          <w:tcPr>
            <w:tcW w:w="1304" w:type="dxa"/>
            <w:vAlign w:val="center"/>
          </w:tcPr>
          <w:p>
            <w:pPr>
              <w:pStyle w:val="0"/>
              <w:jc w:val="center"/>
            </w:pPr>
            <w:r>
              <w:rPr>
                <w:sz w:val="20"/>
              </w:rPr>
              <w:t xml:space="preserve">50</w:t>
            </w:r>
          </w:p>
        </w:tc>
        <w:tc>
          <w:tcPr>
            <w:tcW w:w="1247" w:type="dxa"/>
            <w:vAlign w:val="center"/>
          </w:tcPr>
          <w:p>
            <w:pPr>
              <w:pStyle w:val="0"/>
              <w:jc w:val="center"/>
            </w:pPr>
            <w:r>
              <w:rPr>
                <w:sz w:val="20"/>
              </w:rPr>
              <w:t xml:space="preserve">25</w:t>
            </w:r>
          </w:p>
        </w:tc>
      </w:tr>
      <w:tr>
        <w:tc>
          <w:tcPr>
            <w:vMerge w:val="continue"/>
          </w:tcPr>
          <w:p/>
        </w:tc>
        <w:tc>
          <w:tcPr>
            <w:tcW w:w="1277" w:type="dxa"/>
            <w:vAlign w:val="center"/>
          </w:tcPr>
          <w:p>
            <w:pPr>
              <w:pStyle w:val="0"/>
              <w:jc w:val="center"/>
            </w:pPr>
            <w:r>
              <w:rPr>
                <w:sz w:val="20"/>
              </w:rPr>
              <w:t xml:space="preserve">III</w:t>
            </w:r>
          </w:p>
        </w:tc>
        <w:tc>
          <w:tcPr>
            <w:tcW w:w="1546" w:type="dxa"/>
            <w:vAlign w:val="center"/>
          </w:tcPr>
          <w:p>
            <w:pPr>
              <w:pStyle w:val="0"/>
              <w:jc w:val="center"/>
            </w:pPr>
            <w:r>
              <w:rPr>
                <w:sz w:val="20"/>
              </w:rPr>
              <w:t xml:space="preserve">100</w:t>
            </w:r>
          </w:p>
        </w:tc>
        <w:tc>
          <w:tcPr>
            <w:tcW w:w="1416" w:type="dxa"/>
            <w:vAlign w:val="center"/>
          </w:tcPr>
          <w:p>
            <w:pPr>
              <w:pStyle w:val="0"/>
              <w:jc w:val="center"/>
            </w:pPr>
            <w:r>
              <w:rPr>
                <w:sz w:val="20"/>
              </w:rPr>
              <w:t xml:space="preserve">50</w:t>
            </w:r>
          </w:p>
        </w:tc>
        <w:tc>
          <w:tcPr>
            <w:tcW w:w="1304" w:type="dxa"/>
            <w:vAlign w:val="center"/>
          </w:tcPr>
          <w:p>
            <w:pPr>
              <w:pStyle w:val="0"/>
              <w:jc w:val="center"/>
            </w:pPr>
            <w:r>
              <w:rPr>
                <w:sz w:val="20"/>
              </w:rPr>
              <w:t xml:space="preserve">25</w:t>
            </w:r>
          </w:p>
        </w:tc>
        <w:tc>
          <w:tcPr>
            <w:tcW w:w="1247" w:type="dxa"/>
            <w:vAlign w:val="center"/>
          </w:tcPr>
          <w:p>
            <w:pPr>
              <w:pStyle w:val="0"/>
              <w:jc w:val="center"/>
            </w:pPr>
            <w:r>
              <w:rPr>
                <w:sz w:val="20"/>
              </w:rPr>
              <w:t xml:space="preserve">-</w:t>
            </w:r>
          </w:p>
        </w:tc>
      </w:tr>
      <w:tr>
        <w:tc>
          <w:tcPr>
            <w:tcW w:w="2268" w:type="dxa"/>
            <w:vAlign w:val="center"/>
            <w:vMerge w:val="restart"/>
          </w:tcPr>
          <w:p>
            <w:pPr>
              <w:pStyle w:val="0"/>
              <w:jc w:val="center"/>
            </w:pPr>
            <w:r>
              <w:rPr>
                <w:sz w:val="20"/>
              </w:rPr>
              <w:t xml:space="preserve">Более 6,0</w:t>
            </w:r>
          </w:p>
        </w:tc>
        <w:tc>
          <w:tcPr>
            <w:tcW w:w="1277" w:type="dxa"/>
            <w:vAlign w:val="center"/>
          </w:tcPr>
          <w:p>
            <w:pPr>
              <w:pStyle w:val="0"/>
              <w:jc w:val="center"/>
            </w:pPr>
            <w:r>
              <w:rPr>
                <w:sz w:val="20"/>
              </w:rPr>
              <w:t xml:space="preserve">I</w:t>
            </w:r>
          </w:p>
        </w:tc>
        <w:tc>
          <w:tcPr>
            <w:tcW w:w="1546" w:type="dxa"/>
            <w:vAlign w:val="center"/>
          </w:tcPr>
          <w:p>
            <w:pPr>
              <w:pStyle w:val="0"/>
              <w:jc w:val="center"/>
            </w:pPr>
            <w:r>
              <w:rPr>
                <w:sz w:val="20"/>
              </w:rPr>
              <w:t xml:space="preserve">100</w:t>
            </w:r>
          </w:p>
        </w:tc>
        <w:tc>
          <w:tcPr>
            <w:tcW w:w="1416" w:type="dxa"/>
            <w:vAlign w:val="center"/>
          </w:tcPr>
          <w:p>
            <w:pPr>
              <w:pStyle w:val="0"/>
              <w:jc w:val="center"/>
            </w:pPr>
            <w:r>
              <w:rPr>
                <w:sz w:val="20"/>
              </w:rPr>
              <w:t xml:space="preserve">100</w:t>
            </w:r>
          </w:p>
        </w:tc>
        <w:tc>
          <w:tcPr>
            <w:tcW w:w="1304" w:type="dxa"/>
            <w:vAlign w:val="center"/>
          </w:tcPr>
          <w:p>
            <w:pPr>
              <w:pStyle w:val="0"/>
              <w:jc w:val="center"/>
            </w:pPr>
            <w:r>
              <w:rPr>
                <w:sz w:val="20"/>
              </w:rPr>
              <w:t xml:space="preserve">100</w:t>
            </w:r>
          </w:p>
        </w:tc>
        <w:tc>
          <w:tcPr>
            <w:tcW w:w="1247" w:type="dxa"/>
            <w:vAlign w:val="center"/>
          </w:tcPr>
          <w:p>
            <w:pPr>
              <w:pStyle w:val="0"/>
              <w:jc w:val="center"/>
            </w:pPr>
            <w:r>
              <w:rPr>
                <w:sz w:val="20"/>
              </w:rPr>
              <w:t xml:space="preserve">100</w:t>
            </w:r>
          </w:p>
        </w:tc>
      </w:tr>
      <w:tr>
        <w:tc>
          <w:tcPr>
            <w:vMerge w:val="continue"/>
          </w:tcPr>
          <w:p/>
        </w:tc>
        <w:tc>
          <w:tcPr>
            <w:tcW w:w="1277" w:type="dxa"/>
            <w:vAlign w:val="center"/>
          </w:tcPr>
          <w:p>
            <w:pPr>
              <w:pStyle w:val="0"/>
              <w:jc w:val="center"/>
            </w:pPr>
            <w:r>
              <w:rPr>
                <w:sz w:val="20"/>
              </w:rPr>
              <w:t xml:space="preserve">II</w:t>
            </w:r>
          </w:p>
        </w:tc>
        <w:tc>
          <w:tcPr>
            <w:tcW w:w="1546" w:type="dxa"/>
            <w:vAlign w:val="center"/>
          </w:tcPr>
          <w:p>
            <w:pPr>
              <w:pStyle w:val="0"/>
              <w:jc w:val="center"/>
            </w:pPr>
            <w:r>
              <w:rPr>
                <w:sz w:val="20"/>
              </w:rPr>
              <w:t xml:space="preserve">100</w:t>
            </w:r>
          </w:p>
        </w:tc>
        <w:tc>
          <w:tcPr>
            <w:tcW w:w="1416" w:type="dxa"/>
            <w:vAlign w:val="center"/>
          </w:tcPr>
          <w:p>
            <w:pPr>
              <w:pStyle w:val="0"/>
              <w:jc w:val="center"/>
            </w:pPr>
            <w:r>
              <w:rPr>
                <w:sz w:val="20"/>
              </w:rPr>
              <w:t xml:space="preserve">50</w:t>
            </w:r>
          </w:p>
        </w:tc>
        <w:tc>
          <w:tcPr>
            <w:tcW w:w="1304" w:type="dxa"/>
            <w:vAlign w:val="center"/>
          </w:tcPr>
          <w:p>
            <w:pPr>
              <w:pStyle w:val="0"/>
              <w:jc w:val="center"/>
            </w:pPr>
            <w:r>
              <w:rPr>
                <w:sz w:val="20"/>
              </w:rPr>
              <w:t xml:space="preserve">50</w:t>
            </w:r>
          </w:p>
        </w:tc>
        <w:tc>
          <w:tcPr>
            <w:tcW w:w="1247" w:type="dxa"/>
            <w:vAlign w:val="center"/>
          </w:tcPr>
          <w:p>
            <w:pPr>
              <w:pStyle w:val="0"/>
              <w:jc w:val="center"/>
            </w:pPr>
            <w:r>
              <w:rPr>
                <w:sz w:val="20"/>
              </w:rPr>
              <w:t xml:space="preserve">25</w:t>
            </w:r>
          </w:p>
        </w:tc>
      </w:tr>
      <w:tr>
        <w:tc>
          <w:tcPr>
            <w:vMerge w:val="continue"/>
          </w:tcPr>
          <w:p/>
        </w:tc>
        <w:tc>
          <w:tcPr>
            <w:tcW w:w="1277" w:type="dxa"/>
            <w:vAlign w:val="center"/>
          </w:tcPr>
          <w:p>
            <w:pPr>
              <w:pStyle w:val="0"/>
              <w:jc w:val="center"/>
            </w:pPr>
            <w:r>
              <w:rPr>
                <w:sz w:val="20"/>
              </w:rPr>
              <w:t xml:space="preserve">III</w:t>
            </w:r>
          </w:p>
        </w:tc>
        <w:tc>
          <w:tcPr>
            <w:tcW w:w="1546" w:type="dxa"/>
            <w:vAlign w:val="center"/>
          </w:tcPr>
          <w:p>
            <w:pPr>
              <w:pStyle w:val="0"/>
              <w:jc w:val="center"/>
            </w:pPr>
            <w:r>
              <w:rPr>
                <w:sz w:val="20"/>
              </w:rPr>
              <w:t xml:space="preserve">100</w:t>
            </w:r>
          </w:p>
        </w:tc>
        <w:tc>
          <w:tcPr>
            <w:tcW w:w="1416" w:type="dxa"/>
            <w:vAlign w:val="center"/>
          </w:tcPr>
          <w:p>
            <w:pPr>
              <w:pStyle w:val="0"/>
              <w:jc w:val="center"/>
            </w:pPr>
            <w:r>
              <w:rPr>
                <w:sz w:val="20"/>
              </w:rPr>
              <w:t xml:space="preserve">25</w:t>
            </w:r>
          </w:p>
        </w:tc>
        <w:tc>
          <w:tcPr>
            <w:tcW w:w="1304" w:type="dxa"/>
            <w:vAlign w:val="center"/>
          </w:tcPr>
          <w:p>
            <w:pPr>
              <w:pStyle w:val="0"/>
              <w:jc w:val="center"/>
            </w:pPr>
            <w:r>
              <w:rPr>
                <w:sz w:val="20"/>
              </w:rPr>
              <w:t xml:space="preserve">25</w:t>
            </w:r>
          </w:p>
        </w:tc>
        <w:tc>
          <w:tcPr>
            <w:tcW w:w="1247" w:type="dxa"/>
            <w:vAlign w:val="center"/>
          </w:tcPr>
          <w:p>
            <w:pPr>
              <w:pStyle w:val="0"/>
              <w:jc w:val="center"/>
            </w:pPr>
            <w:r>
              <w:rPr>
                <w:sz w:val="20"/>
              </w:rPr>
              <w:t xml:space="preserve">10</w:t>
            </w:r>
          </w:p>
        </w:tc>
      </w:tr>
    </w:tbl>
    <w:p>
      <w:pPr>
        <w:pStyle w:val="0"/>
        <w:jc w:val="both"/>
      </w:pPr>
      <w:r>
        <w:rPr>
          <w:sz w:val="20"/>
        </w:rPr>
      </w:r>
    </w:p>
    <w:p>
      <w:pPr>
        <w:pStyle w:val="0"/>
        <w:ind w:firstLine="540"/>
        <w:jc w:val="both"/>
      </w:pPr>
      <w:r>
        <w:rPr>
          <w:sz w:val="20"/>
        </w:rPr>
        <w:t xml:space="preserve">97. Методы и объем неразрушающего контроля сварных соединений деталей из титановых сплавов приведены в таблице N 6 настоящих Правил.</w:t>
      </w:r>
    </w:p>
    <w:p>
      <w:pPr>
        <w:pStyle w:val="0"/>
        <w:jc w:val="both"/>
      </w:pPr>
      <w:r>
        <w:rPr>
          <w:sz w:val="20"/>
        </w:rPr>
      </w:r>
    </w:p>
    <w:bookmarkStart w:id="532" w:name="P532"/>
    <w:bookmarkEnd w:id="532"/>
    <w:p>
      <w:pPr>
        <w:pStyle w:val="0"/>
        <w:outlineLvl w:val="3"/>
        <w:jc w:val="right"/>
      </w:pPr>
      <w:r>
        <w:rPr>
          <w:sz w:val="20"/>
        </w:rPr>
        <w:t xml:space="preserve">Таблица N 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86"/>
        <w:gridCol w:w="1867"/>
        <w:gridCol w:w="1949"/>
        <w:gridCol w:w="1886"/>
        <w:gridCol w:w="1574"/>
      </w:tblGrid>
      <w:tr>
        <w:tc>
          <w:tcPr>
            <w:tcW w:w="1786" w:type="dxa"/>
            <w:vMerge w:val="restart"/>
          </w:tcPr>
          <w:p>
            <w:pPr>
              <w:pStyle w:val="0"/>
              <w:jc w:val="center"/>
            </w:pPr>
            <w:r>
              <w:rPr>
                <w:sz w:val="20"/>
              </w:rPr>
              <w:t xml:space="preserve">Категория сварных соединений</w:t>
            </w:r>
          </w:p>
        </w:tc>
        <w:tc>
          <w:tcPr>
            <w:gridSpan w:val="4"/>
            <w:tcW w:w="7276" w:type="dxa"/>
          </w:tcPr>
          <w:p>
            <w:pPr>
              <w:pStyle w:val="0"/>
              <w:jc w:val="center"/>
            </w:pPr>
            <w:r>
              <w:rPr>
                <w:sz w:val="20"/>
              </w:rPr>
              <w:t xml:space="preserve">Объем контроля, %</w:t>
            </w:r>
          </w:p>
        </w:tc>
      </w:tr>
      <w:tr>
        <w:tc>
          <w:tcPr>
            <w:vMerge w:val="continue"/>
          </w:tcPr>
          <w:p/>
        </w:tc>
        <w:tc>
          <w:tcPr>
            <w:tcW w:w="1867" w:type="dxa"/>
          </w:tcPr>
          <w:p>
            <w:pPr>
              <w:pStyle w:val="0"/>
              <w:jc w:val="center"/>
            </w:pPr>
            <w:r>
              <w:rPr>
                <w:sz w:val="20"/>
              </w:rPr>
              <w:t xml:space="preserve">визуального и измерительного</w:t>
            </w:r>
          </w:p>
        </w:tc>
        <w:tc>
          <w:tcPr>
            <w:tcW w:w="1949" w:type="dxa"/>
          </w:tcPr>
          <w:p>
            <w:pPr>
              <w:pStyle w:val="0"/>
              <w:jc w:val="center"/>
            </w:pPr>
            <w:r>
              <w:rPr>
                <w:sz w:val="20"/>
              </w:rPr>
              <w:t xml:space="preserve">радиографического</w:t>
            </w:r>
          </w:p>
        </w:tc>
        <w:tc>
          <w:tcPr>
            <w:tcW w:w="1886" w:type="dxa"/>
          </w:tcPr>
          <w:p>
            <w:pPr>
              <w:pStyle w:val="0"/>
              <w:jc w:val="center"/>
            </w:pPr>
            <w:r>
              <w:rPr>
                <w:sz w:val="20"/>
              </w:rPr>
              <w:t xml:space="preserve">ультразвукового</w:t>
            </w:r>
          </w:p>
        </w:tc>
        <w:tc>
          <w:tcPr>
            <w:tcW w:w="1574" w:type="dxa"/>
          </w:tcPr>
          <w:p>
            <w:pPr>
              <w:pStyle w:val="0"/>
              <w:jc w:val="center"/>
            </w:pPr>
            <w:r>
              <w:rPr>
                <w:sz w:val="20"/>
              </w:rPr>
              <w:t xml:space="preserve">капиллярного</w:t>
            </w:r>
          </w:p>
        </w:tc>
      </w:tr>
      <w:tr>
        <w:tc>
          <w:tcPr>
            <w:tcW w:w="1786" w:type="dxa"/>
            <w:vAlign w:val="center"/>
          </w:tcPr>
          <w:p>
            <w:pPr>
              <w:pStyle w:val="0"/>
              <w:jc w:val="center"/>
            </w:pPr>
            <w:r>
              <w:rPr>
                <w:sz w:val="20"/>
              </w:rPr>
              <w:t xml:space="preserve">IIIа</w:t>
            </w:r>
          </w:p>
        </w:tc>
        <w:tc>
          <w:tcPr>
            <w:tcW w:w="1867" w:type="dxa"/>
            <w:vAlign w:val="center"/>
            <w:vMerge w:val="restart"/>
          </w:tcPr>
          <w:p>
            <w:pPr>
              <w:pStyle w:val="0"/>
              <w:jc w:val="center"/>
            </w:pPr>
            <w:r>
              <w:rPr>
                <w:sz w:val="20"/>
              </w:rPr>
              <w:t xml:space="preserve">100</w:t>
            </w:r>
          </w:p>
        </w:tc>
        <w:tc>
          <w:tcPr>
            <w:tcW w:w="1949" w:type="dxa"/>
            <w:vAlign w:val="center"/>
          </w:tcPr>
          <w:p>
            <w:pPr>
              <w:pStyle w:val="0"/>
              <w:jc w:val="center"/>
            </w:pPr>
            <w:r>
              <w:rPr>
                <w:sz w:val="20"/>
              </w:rPr>
              <w:t xml:space="preserve">50</w:t>
            </w:r>
          </w:p>
        </w:tc>
        <w:tc>
          <w:tcPr>
            <w:tcW w:w="1886" w:type="dxa"/>
            <w:vAlign w:val="center"/>
          </w:tcPr>
          <w:p>
            <w:pPr>
              <w:pStyle w:val="0"/>
              <w:jc w:val="center"/>
            </w:pPr>
            <w:r>
              <w:rPr>
                <w:sz w:val="20"/>
              </w:rPr>
              <w:t xml:space="preserve">50</w:t>
            </w:r>
          </w:p>
        </w:tc>
        <w:tc>
          <w:tcPr>
            <w:tcW w:w="1574" w:type="dxa"/>
            <w:vAlign w:val="center"/>
            <w:vMerge w:val="restart"/>
          </w:tcPr>
          <w:p>
            <w:pPr>
              <w:pStyle w:val="0"/>
              <w:jc w:val="center"/>
            </w:pPr>
            <w:r>
              <w:rPr>
                <w:sz w:val="20"/>
              </w:rPr>
              <w:t xml:space="preserve">100</w:t>
            </w:r>
          </w:p>
        </w:tc>
      </w:tr>
      <w:tr>
        <w:tc>
          <w:tcPr>
            <w:tcW w:w="1786" w:type="dxa"/>
            <w:vAlign w:val="center"/>
          </w:tcPr>
          <w:p>
            <w:pPr>
              <w:pStyle w:val="0"/>
              <w:jc w:val="center"/>
            </w:pPr>
            <w:r>
              <w:rPr>
                <w:sz w:val="20"/>
              </w:rPr>
              <w:t xml:space="preserve">IIIв</w:t>
            </w:r>
          </w:p>
        </w:tc>
        <w:tc>
          <w:tcPr>
            <w:vMerge w:val="continue"/>
          </w:tcPr>
          <w:p/>
        </w:tc>
        <w:tc>
          <w:tcPr>
            <w:tcW w:w="1949" w:type="dxa"/>
            <w:vAlign w:val="center"/>
          </w:tcPr>
          <w:p>
            <w:pPr>
              <w:pStyle w:val="0"/>
              <w:jc w:val="center"/>
            </w:pPr>
            <w:r>
              <w:rPr>
                <w:sz w:val="20"/>
              </w:rPr>
              <w:t xml:space="preserve">25</w:t>
            </w:r>
          </w:p>
        </w:tc>
        <w:tc>
          <w:tcPr>
            <w:tcW w:w="1886" w:type="dxa"/>
            <w:vAlign w:val="center"/>
          </w:tcPr>
          <w:p>
            <w:pPr>
              <w:pStyle w:val="0"/>
              <w:jc w:val="center"/>
            </w:pPr>
            <w:r>
              <w:rPr>
                <w:sz w:val="20"/>
              </w:rPr>
              <w:t xml:space="preserve">25</w:t>
            </w:r>
          </w:p>
        </w:tc>
        <w:tc>
          <w:tcPr>
            <w:vMerge w:val="continue"/>
          </w:tcPr>
          <w:p/>
        </w:tc>
      </w:tr>
      <w:tr>
        <w:tc>
          <w:tcPr>
            <w:tcW w:w="1786" w:type="dxa"/>
            <w:vAlign w:val="center"/>
          </w:tcPr>
          <w:p>
            <w:pPr>
              <w:pStyle w:val="0"/>
              <w:jc w:val="center"/>
            </w:pPr>
            <w:r>
              <w:rPr>
                <w:sz w:val="20"/>
              </w:rPr>
              <w:t xml:space="preserve">IIIс</w:t>
            </w:r>
          </w:p>
        </w:tc>
        <w:tc>
          <w:tcPr>
            <w:vMerge w:val="continue"/>
          </w:tcPr>
          <w:p/>
        </w:tc>
        <w:tc>
          <w:tcPr>
            <w:tcW w:w="1949" w:type="dxa"/>
            <w:vAlign w:val="center"/>
          </w:tcPr>
          <w:p>
            <w:pPr>
              <w:pStyle w:val="0"/>
              <w:jc w:val="center"/>
            </w:pPr>
            <w:r>
              <w:rPr>
                <w:sz w:val="20"/>
              </w:rPr>
              <w:t xml:space="preserve">-</w:t>
            </w:r>
          </w:p>
        </w:tc>
        <w:tc>
          <w:tcPr>
            <w:tcW w:w="1886" w:type="dxa"/>
            <w:vAlign w:val="center"/>
          </w:tcPr>
          <w:p>
            <w:pPr>
              <w:pStyle w:val="0"/>
              <w:jc w:val="center"/>
            </w:pPr>
            <w:r>
              <w:rPr>
                <w:sz w:val="20"/>
              </w:rPr>
              <w:t xml:space="preserve">-</w:t>
            </w:r>
          </w:p>
        </w:tc>
        <w:tc>
          <w:tcPr>
            <w:vMerge w:val="continue"/>
          </w:tcPr>
          <w:p/>
        </w:tc>
      </w:tr>
    </w:tbl>
    <w:p>
      <w:pPr>
        <w:pStyle w:val="0"/>
        <w:jc w:val="both"/>
      </w:pPr>
      <w:r>
        <w:rPr>
          <w:sz w:val="20"/>
        </w:rPr>
      </w:r>
    </w:p>
    <w:p>
      <w:pPr>
        <w:pStyle w:val="0"/>
        <w:ind w:firstLine="540"/>
        <w:jc w:val="both"/>
      </w:pPr>
      <w:r>
        <w:rPr>
          <w:sz w:val="20"/>
        </w:rPr>
        <w:t xml:space="preserve">Требования </w:t>
      </w:r>
      <w:hyperlink w:history="0" w:anchor="P532" w:tooltip="Таблица N 6">
        <w:r>
          <w:rPr>
            <w:sz w:val="20"/>
            <w:color w:val="0000ff"/>
          </w:rPr>
          <w:t xml:space="preserve">таблицы N 6</w:t>
        </w:r>
      </w:hyperlink>
      <w:r>
        <w:rPr>
          <w:sz w:val="20"/>
        </w:rPr>
        <w:t xml:space="preserve"> не распространяются на сварные соединения вварки труб в трубные доски.</w:t>
      </w:r>
    </w:p>
    <w:p>
      <w:pPr>
        <w:pStyle w:val="0"/>
        <w:spacing w:before="200" w:line-rule="auto"/>
        <w:ind w:firstLine="540"/>
        <w:jc w:val="both"/>
      </w:pPr>
      <w:r>
        <w:rPr>
          <w:sz w:val="20"/>
        </w:rPr>
        <w:t xml:space="preserve">98. Методы и объем неразрушающего контроля предварительной наплавки кромок деталей из сталей перлитного класса и из высокохромистых сталей приведены в таблице N 7 настоящих Правил.</w:t>
      </w:r>
    </w:p>
    <w:p>
      <w:pPr>
        <w:pStyle w:val="0"/>
        <w:jc w:val="both"/>
      </w:pPr>
      <w:r>
        <w:rPr>
          <w:sz w:val="20"/>
        </w:rPr>
      </w:r>
    </w:p>
    <w:p>
      <w:pPr>
        <w:pStyle w:val="0"/>
        <w:outlineLvl w:val="3"/>
        <w:jc w:val="right"/>
      </w:pPr>
      <w:r>
        <w:rPr>
          <w:sz w:val="20"/>
        </w:rPr>
        <w:t xml:space="preserve">Таблица N 7</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41"/>
        <w:gridCol w:w="1587"/>
        <w:gridCol w:w="984"/>
        <w:gridCol w:w="1133"/>
        <w:gridCol w:w="1304"/>
        <w:gridCol w:w="1133"/>
        <w:gridCol w:w="854"/>
      </w:tblGrid>
      <w:tr>
        <w:tc>
          <w:tcPr>
            <w:tcW w:w="2041" w:type="dxa"/>
            <w:vMerge w:val="restart"/>
          </w:tcPr>
          <w:p>
            <w:pPr>
              <w:pStyle w:val="0"/>
              <w:jc w:val="center"/>
            </w:pPr>
            <w:r>
              <w:rPr>
                <w:sz w:val="20"/>
              </w:rPr>
              <w:t xml:space="preserve">Вид наплавки</w:t>
            </w:r>
          </w:p>
        </w:tc>
        <w:tc>
          <w:tcPr>
            <w:tcW w:w="1587" w:type="dxa"/>
            <w:vMerge w:val="restart"/>
          </w:tcPr>
          <w:p>
            <w:pPr>
              <w:pStyle w:val="0"/>
              <w:jc w:val="center"/>
            </w:pPr>
            <w:r>
              <w:rPr>
                <w:sz w:val="20"/>
              </w:rPr>
              <w:t xml:space="preserve">Категория сварного соединения</w:t>
            </w:r>
          </w:p>
        </w:tc>
        <w:tc>
          <w:tcPr>
            <w:gridSpan w:val="5"/>
            <w:tcW w:w="5408" w:type="dxa"/>
          </w:tcPr>
          <w:p>
            <w:pPr>
              <w:pStyle w:val="0"/>
              <w:jc w:val="center"/>
            </w:pPr>
            <w:r>
              <w:rPr>
                <w:sz w:val="20"/>
              </w:rPr>
              <w:t xml:space="preserve">Объем контроля, %</w:t>
            </w:r>
          </w:p>
        </w:tc>
      </w:tr>
      <w:tr>
        <w:tc>
          <w:tcPr>
            <w:vMerge w:val="continue"/>
          </w:tcPr>
          <w:p/>
        </w:tc>
        <w:tc>
          <w:tcPr>
            <w:vMerge w:val="continue"/>
          </w:tcPr>
          <w:p/>
        </w:tc>
        <w:tc>
          <w:tcPr>
            <w:tcW w:w="984" w:type="dxa"/>
            <w:vMerge w:val="restart"/>
          </w:tcPr>
          <w:p>
            <w:pPr>
              <w:pStyle w:val="0"/>
              <w:jc w:val="center"/>
            </w:pPr>
            <w:r>
              <w:rPr>
                <w:sz w:val="20"/>
              </w:rPr>
              <w:t xml:space="preserve">визуального и измерительного</w:t>
            </w:r>
          </w:p>
        </w:tc>
        <w:tc>
          <w:tcPr>
            <w:tcW w:w="1133" w:type="dxa"/>
            <w:vMerge w:val="restart"/>
          </w:tcPr>
          <w:p>
            <w:pPr>
              <w:pStyle w:val="0"/>
              <w:jc w:val="center"/>
            </w:pPr>
            <w:r>
              <w:rPr>
                <w:sz w:val="20"/>
              </w:rPr>
              <w:t xml:space="preserve">капиллярного или магнитопорошкового</w:t>
            </w:r>
          </w:p>
        </w:tc>
        <w:tc>
          <w:tcPr>
            <w:gridSpan w:val="2"/>
            <w:tcW w:w="2437" w:type="dxa"/>
          </w:tcPr>
          <w:p>
            <w:pPr>
              <w:pStyle w:val="0"/>
              <w:jc w:val="center"/>
            </w:pPr>
            <w:r>
              <w:rPr>
                <w:sz w:val="20"/>
              </w:rPr>
              <w:t xml:space="preserve">радиографического</w:t>
            </w:r>
          </w:p>
        </w:tc>
        <w:tc>
          <w:tcPr>
            <w:tcW w:w="854" w:type="dxa"/>
            <w:vMerge w:val="restart"/>
          </w:tcPr>
          <w:p>
            <w:pPr>
              <w:pStyle w:val="0"/>
              <w:jc w:val="center"/>
            </w:pPr>
            <w:r>
              <w:rPr>
                <w:sz w:val="20"/>
              </w:rPr>
              <w:t xml:space="preserve">ультразвукового</w:t>
            </w:r>
          </w:p>
        </w:tc>
      </w:tr>
      <w:tr>
        <w:tc>
          <w:tcPr>
            <w:vMerge w:val="continue"/>
          </w:tcPr>
          <w:p/>
        </w:tc>
        <w:tc>
          <w:tcPr>
            <w:vMerge w:val="continue"/>
          </w:tcPr>
          <w:p/>
        </w:tc>
        <w:tc>
          <w:tcPr>
            <w:vMerge w:val="continue"/>
          </w:tcPr>
          <w:p/>
        </w:tc>
        <w:tc>
          <w:tcPr>
            <w:vMerge w:val="continue"/>
          </w:tcPr>
          <w:p/>
        </w:tc>
        <w:tc>
          <w:tcPr>
            <w:tcW w:w="1304" w:type="dxa"/>
          </w:tcPr>
          <w:p>
            <w:pPr>
              <w:pStyle w:val="0"/>
              <w:jc w:val="center"/>
            </w:pPr>
            <w:r>
              <w:rPr>
                <w:sz w:val="20"/>
              </w:rPr>
              <w:t xml:space="preserve">до D</w:t>
            </w:r>
            <w:r>
              <w:rPr>
                <w:sz w:val="20"/>
                <w:vertAlign w:val="subscript"/>
              </w:rPr>
              <w:t xml:space="preserve">н</w:t>
            </w:r>
            <w:r>
              <w:rPr>
                <w:sz w:val="20"/>
              </w:rPr>
              <w:t xml:space="preserve"> = 325 мм включительно</w:t>
            </w:r>
          </w:p>
        </w:tc>
        <w:tc>
          <w:tcPr>
            <w:tcW w:w="1133" w:type="dxa"/>
          </w:tcPr>
          <w:p>
            <w:pPr>
              <w:pStyle w:val="0"/>
              <w:jc w:val="center"/>
            </w:pPr>
            <w:r>
              <w:rPr>
                <w:sz w:val="20"/>
              </w:rPr>
              <w:t xml:space="preserve">более D</w:t>
            </w:r>
            <w:r>
              <w:rPr>
                <w:sz w:val="20"/>
                <w:vertAlign w:val="subscript"/>
              </w:rPr>
              <w:t xml:space="preserve">н</w:t>
            </w:r>
            <w:r>
              <w:rPr>
                <w:sz w:val="20"/>
              </w:rPr>
              <w:t xml:space="preserve"> = 325 мм</w:t>
            </w:r>
          </w:p>
        </w:tc>
        <w:tc>
          <w:tcPr>
            <w:vMerge w:val="continue"/>
          </w:tcPr>
          <w:p/>
        </w:tc>
      </w:tr>
      <w:tr>
        <w:tc>
          <w:tcPr>
            <w:tcW w:w="2041" w:type="dxa"/>
            <w:vAlign w:val="center"/>
            <w:vMerge w:val="restart"/>
          </w:tcPr>
          <w:p>
            <w:pPr>
              <w:pStyle w:val="0"/>
              <w:jc w:val="center"/>
            </w:pPr>
            <w:r>
              <w:rPr>
                <w:sz w:val="20"/>
              </w:rPr>
              <w:t xml:space="preserve">Предварительная наплавка кромок аустенитными сварочными материалами</w:t>
            </w:r>
          </w:p>
        </w:tc>
        <w:tc>
          <w:tcPr>
            <w:tcW w:w="1587" w:type="dxa"/>
            <w:vAlign w:val="center"/>
          </w:tcPr>
          <w:p>
            <w:pPr>
              <w:pStyle w:val="0"/>
              <w:jc w:val="center"/>
            </w:pPr>
            <w:r>
              <w:rPr>
                <w:sz w:val="20"/>
              </w:rPr>
              <w:t xml:space="preserve">I, Iн, IIа, IIна</w:t>
            </w:r>
          </w:p>
        </w:tc>
        <w:tc>
          <w:tcPr>
            <w:tcW w:w="98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130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854" w:type="dxa"/>
            <w:vAlign w:val="center"/>
          </w:tcPr>
          <w:p>
            <w:pPr>
              <w:pStyle w:val="0"/>
              <w:jc w:val="center"/>
            </w:pPr>
            <w:r>
              <w:rPr>
                <w:sz w:val="20"/>
              </w:rPr>
              <w:t xml:space="preserve">100</w:t>
            </w:r>
          </w:p>
        </w:tc>
      </w:tr>
      <w:tr>
        <w:tc>
          <w:tcPr>
            <w:vMerge w:val="continue"/>
          </w:tcPr>
          <w:p/>
        </w:tc>
        <w:tc>
          <w:tcPr>
            <w:tcW w:w="1587" w:type="dxa"/>
            <w:vAlign w:val="center"/>
          </w:tcPr>
          <w:p>
            <w:pPr>
              <w:pStyle w:val="0"/>
              <w:jc w:val="center"/>
            </w:pPr>
            <w:r>
              <w:rPr>
                <w:sz w:val="20"/>
              </w:rPr>
              <w:t xml:space="preserve">IIв, IIнв, IIнс, IIIа</w:t>
            </w:r>
          </w:p>
        </w:tc>
        <w:tc>
          <w:tcPr>
            <w:tcW w:w="98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130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854" w:type="dxa"/>
            <w:vAlign w:val="center"/>
          </w:tcPr>
          <w:p>
            <w:pPr>
              <w:pStyle w:val="0"/>
              <w:jc w:val="center"/>
            </w:pPr>
            <w:r>
              <w:rPr>
                <w:sz w:val="20"/>
              </w:rPr>
              <w:t xml:space="preserve">50</w:t>
            </w:r>
          </w:p>
        </w:tc>
      </w:tr>
      <w:tr>
        <w:tc>
          <w:tcPr>
            <w:vMerge w:val="continue"/>
          </w:tcPr>
          <w:p/>
        </w:tc>
        <w:tc>
          <w:tcPr>
            <w:tcW w:w="1587" w:type="dxa"/>
            <w:vAlign w:val="center"/>
          </w:tcPr>
          <w:p>
            <w:pPr>
              <w:pStyle w:val="0"/>
              <w:jc w:val="center"/>
            </w:pPr>
            <w:r>
              <w:rPr>
                <w:sz w:val="20"/>
              </w:rPr>
              <w:t xml:space="preserve">IIIв</w:t>
            </w:r>
          </w:p>
        </w:tc>
        <w:tc>
          <w:tcPr>
            <w:tcW w:w="98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130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854" w:type="dxa"/>
            <w:vAlign w:val="center"/>
          </w:tcPr>
          <w:p>
            <w:pPr>
              <w:pStyle w:val="0"/>
              <w:jc w:val="center"/>
            </w:pPr>
            <w:r>
              <w:rPr>
                <w:sz w:val="20"/>
              </w:rPr>
              <w:t xml:space="preserve">25</w:t>
            </w:r>
          </w:p>
        </w:tc>
      </w:tr>
      <w:tr>
        <w:tc>
          <w:tcPr>
            <w:vMerge w:val="continue"/>
          </w:tcPr>
          <w:p/>
        </w:tc>
        <w:tc>
          <w:tcPr>
            <w:tcW w:w="1587" w:type="dxa"/>
            <w:vAlign w:val="center"/>
          </w:tcPr>
          <w:p>
            <w:pPr>
              <w:pStyle w:val="0"/>
              <w:jc w:val="center"/>
            </w:pPr>
            <w:r>
              <w:rPr>
                <w:sz w:val="20"/>
              </w:rPr>
              <w:t xml:space="preserve">IIIс</w:t>
            </w:r>
          </w:p>
        </w:tc>
        <w:tc>
          <w:tcPr>
            <w:tcW w:w="98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130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854" w:type="dxa"/>
            <w:vAlign w:val="center"/>
          </w:tcPr>
          <w:p>
            <w:pPr>
              <w:pStyle w:val="0"/>
              <w:jc w:val="center"/>
            </w:pPr>
            <w:r>
              <w:rPr>
                <w:sz w:val="20"/>
              </w:rPr>
              <w:t xml:space="preserve">10</w:t>
            </w:r>
          </w:p>
        </w:tc>
      </w:tr>
      <w:tr>
        <w:tc>
          <w:tcPr>
            <w:tcW w:w="2041" w:type="dxa"/>
            <w:vAlign w:val="center"/>
            <w:vMerge w:val="restart"/>
          </w:tcPr>
          <w:p>
            <w:pPr>
              <w:pStyle w:val="0"/>
              <w:jc w:val="center"/>
            </w:pPr>
            <w:r>
              <w:rPr>
                <w:sz w:val="20"/>
              </w:rPr>
              <w:t xml:space="preserve">Предварительная наплавка кромок высокохромистыми или перлитными сварочными материалами</w:t>
            </w:r>
          </w:p>
        </w:tc>
        <w:tc>
          <w:tcPr>
            <w:tcW w:w="1587" w:type="dxa"/>
            <w:vAlign w:val="center"/>
          </w:tcPr>
          <w:p>
            <w:pPr>
              <w:pStyle w:val="0"/>
              <w:jc w:val="center"/>
            </w:pPr>
            <w:r>
              <w:rPr>
                <w:sz w:val="20"/>
              </w:rPr>
              <w:t xml:space="preserve">I, Iн</w:t>
            </w:r>
          </w:p>
        </w:tc>
        <w:tc>
          <w:tcPr>
            <w:tcW w:w="98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1304" w:type="dxa"/>
            <w:vAlign w:val="center"/>
          </w:tcPr>
          <w:p>
            <w:pPr>
              <w:pStyle w:val="0"/>
              <w:jc w:val="center"/>
            </w:pPr>
            <w:r>
              <w:rPr>
                <w:sz w:val="20"/>
              </w:rPr>
              <w:t xml:space="preserve">100</w:t>
            </w:r>
          </w:p>
        </w:tc>
        <w:tc>
          <w:tcPr>
            <w:tcW w:w="1133" w:type="dxa"/>
            <w:vAlign w:val="center"/>
          </w:tcPr>
          <w:p>
            <w:pPr>
              <w:pStyle w:val="0"/>
              <w:jc w:val="center"/>
            </w:pPr>
            <w:r>
              <w:rPr>
                <w:sz w:val="20"/>
              </w:rPr>
              <w:t xml:space="preserve">100</w:t>
            </w:r>
          </w:p>
        </w:tc>
        <w:tc>
          <w:tcPr>
            <w:tcW w:w="854" w:type="dxa"/>
            <w:vAlign w:val="center"/>
          </w:tcPr>
          <w:p>
            <w:pPr>
              <w:pStyle w:val="0"/>
              <w:jc w:val="center"/>
            </w:pPr>
            <w:r>
              <w:rPr>
                <w:sz w:val="20"/>
              </w:rPr>
              <w:t xml:space="preserve">100</w:t>
            </w:r>
          </w:p>
        </w:tc>
      </w:tr>
      <w:tr>
        <w:tc>
          <w:tcPr>
            <w:vMerge w:val="continue"/>
          </w:tcPr>
          <w:p/>
        </w:tc>
        <w:tc>
          <w:tcPr>
            <w:tcW w:w="1587" w:type="dxa"/>
            <w:vAlign w:val="center"/>
          </w:tcPr>
          <w:p>
            <w:pPr>
              <w:pStyle w:val="0"/>
              <w:jc w:val="center"/>
            </w:pPr>
            <w:r>
              <w:rPr>
                <w:sz w:val="20"/>
              </w:rPr>
              <w:t xml:space="preserve">IIа, IIн</w:t>
            </w:r>
          </w:p>
        </w:tc>
        <w:tc>
          <w:tcPr>
            <w:tcW w:w="984" w:type="dxa"/>
            <w:vAlign w:val="center"/>
          </w:tcPr>
          <w:p>
            <w:pPr>
              <w:pStyle w:val="0"/>
              <w:jc w:val="center"/>
            </w:pPr>
            <w:r>
              <w:rPr>
                <w:sz w:val="20"/>
              </w:rPr>
              <w:t xml:space="preserve">100</w:t>
            </w:r>
          </w:p>
        </w:tc>
        <w:tc>
          <w:tcPr>
            <w:tcW w:w="1133" w:type="dxa"/>
            <w:vAlign w:val="center"/>
          </w:tcPr>
          <w:p>
            <w:pPr>
              <w:pStyle w:val="0"/>
              <w:jc w:val="center"/>
            </w:pPr>
            <w:r>
              <w:rPr>
                <w:sz w:val="20"/>
              </w:rPr>
              <w:t xml:space="preserve">50</w:t>
            </w:r>
          </w:p>
        </w:tc>
        <w:tc>
          <w:tcPr>
            <w:tcW w:w="1304" w:type="dxa"/>
            <w:vAlign w:val="center"/>
          </w:tcPr>
          <w:p>
            <w:pPr>
              <w:pStyle w:val="0"/>
              <w:jc w:val="center"/>
            </w:pPr>
            <w:r>
              <w:rPr>
                <w:sz w:val="20"/>
              </w:rPr>
              <w:t xml:space="preserve">50</w:t>
            </w:r>
          </w:p>
        </w:tc>
        <w:tc>
          <w:tcPr>
            <w:tcW w:w="1133" w:type="dxa"/>
            <w:vAlign w:val="center"/>
          </w:tcPr>
          <w:p>
            <w:pPr>
              <w:pStyle w:val="0"/>
              <w:jc w:val="center"/>
            </w:pPr>
            <w:r>
              <w:rPr>
                <w:sz w:val="20"/>
              </w:rPr>
              <w:t xml:space="preserve">100</w:t>
            </w:r>
          </w:p>
        </w:tc>
        <w:tc>
          <w:tcPr>
            <w:tcW w:w="854" w:type="dxa"/>
            <w:vAlign w:val="center"/>
          </w:tcPr>
          <w:p>
            <w:pPr>
              <w:pStyle w:val="0"/>
              <w:jc w:val="center"/>
            </w:pPr>
            <w:r>
              <w:rPr>
                <w:sz w:val="20"/>
              </w:rPr>
              <w:t xml:space="preserve">100</w:t>
            </w:r>
          </w:p>
        </w:tc>
      </w:tr>
      <w:tr>
        <w:tc>
          <w:tcPr>
            <w:vMerge w:val="continue"/>
          </w:tcPr>
          <w:p/>
        </w:tc>
        <w:tc>
          <w:tcPr>
            <w:tcW w:w="1587" w:type="dxa"/>
            <w:vAlign w:val="center"/>
          </w:tcPr>
          <w:p>
            <w:pPr>
              <w:pStyle w:val="0"/>
              <w:jc w:val="center"/>
            </w:pPr>
            <w:r>
              <w:rPr>
                <w:sz w:val="20"/>
              </w:rPr>
              <w:t xml:space="preserve">IIв, IIнв</w:t>
            </w:r>
          </w:p>
        </w:tc>
        <w:tc>
          <w:tcPr>
            <w:tcW w:w="984" w:type="dxa"/>
            <w:vAlign w:val="center"/>
          </w:tcPr>
          <w:p>
            <w:pPr>
              <w:pStyle w:val="0"/>
              <w:jc w:val="center"/>
            </w:pPr>
            <w:r>
              <w:rPr>
                <w:sz w:val="20"/>
              </w:rPr>
              <w:t xml:space="preserve">100</w:t>
            </w:r>
          </w:p>
        </w:tc>
        <w:tc>
          <w:tcPr>
            <w:tcW w:w="1133" w:type="dxa"/>
            <w:vAlign w:val="center"/>
          </w:tcPr>
          <w:p>
            <w:pPr>
              <w:pStyle w:val="0"/>
              <w:jc w:val="center"/>
            </w:pPr>
            <w:r>
              <w:rPr>
                <w:sz w:val="20"/>
              </w:rPr>
              <w:t xml:space="preserve">25</w:t>
            </w:r>
          </w:p>
        </w:tc>
        <w:tc>
          <w:tcPr>
            <w:tcW w:w="1304" w:type="dxa"/>
            <w:vAlign w:val="center"/>
          </w:tcPr>
          <w:p>
            <w:pPr>
              <w:pStyle w:val="0"/>
              <w:jc w:val="center"/>
            </w:pPr>
            <w:r>
              <w:rPr>
                <w:sz w:val="20"/>
              </w:rPr>
              <w:t xml:space="preserve">25</w:t>
            </w:r>
          </w:p>
        </w:tc>
        <w:tc>
          <w:tcPr>
            <w:tcW w:w="1133" w:type="dxa"/>
            <w:vAlign w:val="center"/>
          </w:tcPr>
          <w:p>
            <w:pPr>
              <w:pStyle w:val="0"/>
              <w:jc w:val="center"/>
            </w:pPr>
            <w:r>
              <w:rPr>
                <w:sz w:val="20"/>
              </w:rPr>
              <w:t xml:space="preserve">50</w:t>
            </w:r>
          </w:p>
        </w:tc>
        <w:tc>
          <w:tcPr>
            <w:tcW w:w="854" w:type="dxa"/>
            <w:vAlign w:val="center"/>
          </w:tcPr>
          <w:p>
            <w:pPr>
              <w:pStyle w:val="0"/>
              <w:jc w:val="center"/>
            </w:pPr>
            <w:r>
              <w:rPr>
                <w:sz w:val="20"/>
              </w:rPr>
              <w:t xml:space="preserve">100</w:t>
            </w:r>
          </w:p>
        </w:tc>
      </w:tr>
      <w:tr>
        <w:tc>
          <w:tcPr>
            <w:vMerge w:val="continue"/>
          </w:tcPr>
          <w:p/>
        </w:tc>
        <w:tc>
          <w:tcPr>
            <w:tcW w:w="1587" w:type="dxa"/>
            <w:vAlign w:val="center"/>
          </w:tcPr>
          <w:p>
            <w:pPr>
              <w:pStyle w:val="0"/>
              <w:jc w:val="center"/>
            </w:pPr>
            <w:r>
              <w:rPr>
                <w:sz w:val="20"/>
              </w:rPr>
              <w:t xml:space="preserve">IIIа</w:t>
            </w:r>
          </w:p>
        </w:tc>
        <w:tc>
          <w:tcPr>
            <w:tcW w:w="984" w:type="dxa"/>
            <w:vAlign w:val="center"/>
          </w:tcPr>
          <w:p>
            <w:pPr>
              <w:pStyle w:val="0"/>
              <w:jc w:val="center"/>
            </w:pPr>
            <w:r>
              <w:rPr>
                <w:sz w:val="20"/>
              </w:rPr>
              <w:t xml:space="preserve">100</w:t>
            </w:r>
          </w:p>
        </w:tc>
        <w:tc>
          <w:tcPr>
            <w:tcW w:w="1133" w:type="dxa"/>
            <w:vAlign w:val="center"/>
          </w:tcPr>
          <w:p>
            <w:pPr>
              <w:pStyle w:val="0"/>
              <w:jc w:val="center"/>
            </w:pPr>
            <w:r>
              <w:rPr>
                <w:sz w:val="20"/>
              </w:rPr>
              <w:t xml:space="preserve">25</w:t>
            </w:r>
          </w:p>
        </w:tc>
        <w:tc>
          <w:tcPr>
            <w:tcW w:w="1304" w:type="dxa"/>
            <w:vAlign w:val="center"/>
          </w:tcPr>
          <w:p>
            <w:pPr>
              <w:pStyle w:val="0"/>
              <w:jc w:val="center"/>
            </w:pPr>
            <w:r>
              <w:rPr>
                <w:sz w:val="20"/>
              </w:rPr>
              <w:t xml:space="preserve">10</w:t>
            </w:r>
          </w:p>
        </w:tc>
        <w:tc>
          <w:tcPr>
            <w:tcW w:w="1133" w:type="dxa"/>
            <w:vAlign w:val="center"/>
          </w:tcPr>
          <w:p>
            <w:pPr>
              <w:pStyle w:val="0"/>
              <w:jc w:val="center"/>
            </w:pPr>
            <w:r>
              <w:rPr>
                <w:sz w:val="20"/>
              </w:rPr>
              <w:t xml:space="preserve">25</w:t>
            </w:r>
          </w:p>
        </w:tc>
        <w:tc>
          <w:tcPr>
            <w:tcW w:w="854" w:type="dxa"/>
            <w:vAlign w:val="center"/>
          </w:tcPr>
          <w:p>
            <w:pPr>
              <w:pStyle w:val="0"/>
              <w:jc w:val="center"/>
            </w:pPr>
            <w:r>
              <w:rPr>
                <w:sz w:val="20"/>
              </w:rPr>
              <w:t xml:space="preserve">100</w:t>
            </w:r>
          </w:p>
        </w:tc>
      </w:tr>
      <w:tr>
        <w:tc>
          <w:tcPr>
            <w:vMerge w:val="continue"/>
          </w:tcPr>
          <w:p/>
        </w:tc>
        <w:tc>
          <w:tcPr>
            <w:tcW w:w="1587" w:type="dxa"/>
            <w:vAlign w:val="center"/>
          </w:tcPr>
          <w:p>
            <w:pPr>
              <w:pStyle w:val="0"/>
              <w:jc w:val="center"/>
            </w:pPr>
            <w:r>
              <w:rPr>
                <w:sz w:val="20"/>
              </w:rPr>
              <w:t xml:space="preserve">IIIв, IIIс</w:t>
            </w:r>
          </w:p>
        </w:tc>
        <w:tc>
          <w:tcPr>
            <w:tcW w:w="984" w:type="dxa"/>
            <w:vAlign w:val="center"/>
          </w:tcPr>
          <w:p>
            <w:pPr>
              <w:pStyle w:val="0"/>
              <w:jc w:val="center"/>
            </w:pPr>
            <w:r>
              <w:rPr>
                <w:sz w:val="20"/>
              </w:rPr>
              <w:t xml:space="preserve">100</w:t>
            </w:r>
          </w:p>
        </w:tc>
        <w:tc>
          <w:tcPr>
            <w:tcW w:w="1133" w:type="dxa"/>
            <w:vAlign w:val="center"/>
          </w:tcPr>
          <w:p>
            <w:pPr>
              <w:pStyle w:val="0"/>
              <w:jc w:val="center"/>
            </w:pPr>
            <w:r>
              <w:rPr>
                <w:sz w:val="20"/>
              </w:rPr>
              <w:t xml:space="preserve">-</w:t>
            </w:r>
          </w:p>
        </w:tc>
        <w:tc>
          <w:tcPr>
            <w:tcW w:w="1304" w:type="dxa"/>
            <w:vAlign w:val="center"/>
          </w:tcPr>
          <w:p>
            <w:pPr>
              <w:pStyle w:val="0"/>
              <w:jc w:val="center"/>
            </w:pPr>
            <w:r>
              <w:rPr>
                <w:sz w:val="20"/>
              </w:rPr>
              <w:t xml:space="preserve">-</w:t>
            </w:r>
          </w:p>
        </w:tc>
        <w:tc>
          <w:tcPr>
            <w:tcW w:w="1133" w:type="dxa"/>
            <w:vAlign w:val="center"/>
          </w:tcPr>
          <w:p>
            <w:pPr>
              <w:pStyle w:val="0"/>
              <w:jc w:val="center"/>
            </w:pPr>
            <w:r>
              <w:rPr>
                <w:sz w:val="20"/>
              </w:rPr>
              <w:t xml:space="preserve">-</w:t>
            </w:r>
          </w:p>
        </w:tc>
        <w:tc>
          <w:tcPr>
            <w:tcW w:w="854" w:type="dxa"/>
            <w:vAlign w:val="center"/>
          </w:tcPr>
          <w:p>
            <w:pPr>
              <w:pStyle w:val="0"/>
              <w:jc w:val="center"/>
            </w:pPr>
            <w:r>
              <w:rPr>
                <w:sz w:val="20"/>
              </w:rPr>
              <w:t xml:space="preserve">100</w:t>
            </w:r>
          </w:p>
        </w:tc>
      </w:tr>
    </w:tbl>
    <w:p>
      <w:pPr>
        <w:pStyle w:val="0"/>
        <w:jc w:val="both"/>
      </w:pPr>
      <w:r>
        <w:rPr>
          <w:sz w:val="20"/>
        </w:rPr>
      </w:r>
    </w:p>
    <w:p>
      <w:pPr>
        <w:pStyle w:val="0"/>
        <w:ind w:firstLine="540"/>
        <w:jc w:val="both"/>
      </w:pPr>
      <w:r>
        <w:rPr>
          <w:sz w:val="20"/>
        </w:rPr>
        <w:t xml:space="preserve">99. Антикоррозионные наплавки на деталях и сборочных единицах из сталей перлитного класса подлежат визуальному, измерительному и ультразвуковому контролю в 100% объеме, а также капиллярному контролю при наличии требований в конструкторской документации. Области радиусного перехода в местах сопряжения двух наплавленных поверхностей при определении объема ультразвукового контроля не учитываются.</w:t>
      </w:r>
    </w:p>
    <w:p>
      <w:pPr>
        <w:pStyle w:val="0"/>
        <w:spacing w:before="200" w:line-rule="auto"/>
        <w:ind w:firstLine="540"/>
        <w:jc w:val="both"/>
      </w:pPr>
      <w:r>
        <w:rPr>
          <w:sz w:val="20"/>
        </w:rPr>
        <w:t xml:space="preserve">100. Методы и объем неразрушающего контроля сварных соединений вварки труб в трубные доски и в коллекторы приведены в </w:t>
      </w:r>
      <w:hyperlink w:history="0" w:anchor="P917" w:tooltip="КОНТРОЛЬ">
        <w:r>
          <w:rPr>
            <w:sz w:val="20"/>
            <w:color w:val="0000ff"/>
          </w:rPr>
          <w:t xml:space="preserve">приложении N 2</w:t>
        </w:r>
      </w:hyperlink>
      <w:r>
        <w:rPr>
          <w:sz w:val="20"/>
        </w:rPr>
        <w:t xml:space="preserve"> к настоящим Правилам.</w:t>
      </w:r>
    </w:p>
    <w:p>
      <w:pPr>
        <w:pStyle w:val="0"/>
        <w:spacing w:before="200" w:line-rule="auto"/>
        <w:ind w:firstLine="540"/>
        <w:jc w:val="both"/>
      </w:pPr>
      <w:r>
        <w:rPr>
          <w:sz w:val="20"/>
        </w:rPr>
        <w:t xml:space="preserve">101. Методы и объем неразрушающего контроля наплавленных уплотнительных и направляющих поверхностей приведены в </w:t>
      </w:r>
      <w:hyperlink w:history="0" w:anchor="P1044" w:tooltip="НЕРАЗРУШАЮЩИЙ КОНТРОЛЬ">
        <w:r>
          <w:rPr>
            <w:sz w:val="20"/>
            <w:color w:val="0000ff"/>
          </w:rPr>
          <w:t xml:space="preserve">приложении N 3</w:t>
        </w:r>
      </w:hyperlink>
      <w:r>
        <w:rPr>
          <w:sz w:val="20"/>
        </w:rPr>
        <w:t xml:space="preserve"> к настоящим Правилам.</w:t>
      </w:r>
    </w:p>
    <w:p>
      <w:pPr>
        <w:pStyle w:val="0"/>
        <w:spacing w:before="200" w:line-rule="auto"/>
        <w:ind w:firstLine="540"/>
        <w:jc w:val="both"/>
      </w:pPr>
      <w:r>
        <w:rPr>
          <w:sz w:val="20"/>
        </w:rPr>
        <w:t xml:space="preserve">102. Методы и объем неразрушающего контроля угловых, тавровых, торцевых и нахлесточных сварных соединений не работающих под давлением деталей с оборудованием и трубопроводами приведены в таблице N 8 настоящих Правил.</w:t>
      </w:r>
    </w:p>
    <w:p>
      <w:pPr>
        <w:pStyle w:val="0"/>
        <w:jc w:val="both"/>
      </w:pPr>
      <w:r>
        <w:rPr>
          <w:sz w:val="20"/>
        </w:rPr>
      </w:r>
    </w:p>
    <w:p>
      <w:pPr>
        <w:pStyle w:val="0"/>
        <w:outlineLvl w:val="3"/>
        <w:jc w:val="right"/>
      </w:pPr>
      <w:r>
        <w:rPr>
          <w:sz w:val="20"/>
        </w:rPr>
        <w:t xml:space="preserve">Таблица N 8</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005"/>
        <w:gridCol w:w="3005"/>
        <w:gridCol w:w="3061"/>
      </w:tblGrid>
      <w:tr>
        <w:tc>
          <w:tcPr>
            <w:tcW w:w="3005" w:type="dxa"/>
            <w:vMerge w:val="restart"/>
          </w:tcPr>
          <w:p>
            <w:pPr>
              <w:pStyle w:val="0"/>
              <w:jc w:val="center"/>
            </w:pPr>
            <w:r>
              <w:rPr>
                <w:sz w:val="20"/>
              </w:rPr>
              <w:t xml:space="preserve">Категория сварного соединения</w:t>
            </w:r>
          </w:p>
        </w:tc>
        <w:tc>
          <w:tcPr>
            <w:gridSpan w:val="2"/>
            <w:tcW w:w="6066" w:type="dxa"/>
          </w:tcPr>
          <w:p>
            <w:pPr>
              <w:pStyle w:val="0"/>
              <w:jc w:val="center"/>
            </w:pPr>
            <w:r>
              <w:rPr>
                <w:sz w:val="20"/>
              </w:rPr>
              <w:t xml:space="preserve">Объем контроля, %</w:t>
            </w:r>
          </w:p>
        </w:tc>
      </w:tr>
      <w:tr>
        <w:tc>
          <w:tcPr>
            <w:vMerge w:val="continue"/>
          </w:tcPr>
          <w:p/>
        </w:tc>
        <w:tc>
          <w:tcPr>
            <w:tcW w:w="3005" w:type="dxa"/>
          </w:tcPr>
          <w:p>
            <w:pPr>
              <w:pStyle w:val="0"/>
              <w:jc w:val="center"/>
            </w:pPr>
            <w:r>
              <w:rPr>
                <w:sz w:val="20"/>
              </w:rPr>
              <w:t xml:space="preserve">визуального и измерительного</w:t>
            </w:r>
          </w:p>
        </w:tc>
        <w:tc>
          <w:tcPr>
            <w:tcW w:w="3061" w:type="dxa"/>
          </w:tcPr>
          <w:p>
            <w:pPr>
              <w:pStyle w:val="0"/>
              <w:jc w:val="center"/>
            </w:pPr>
            <w:r>
              <w:rPr>
                <w:sz w:val="20"/>
              </w:rPr>
              <w:t xml:space="preserve">капиллярного или магнитопорошкового</w:t>
            </w:r>
          </w:p>
        </w:tc>
      </w:tr>
      <w:tr>
        <w:tc>
          <w:tcPr>
            <w:tcW w:w="3005" w:type="dxa"/>
            <w:vAlign w:val="center"/>
          </w:tcPr>
          <w:p>
            <w:pPr>
              <w:pStyle w:val="0"/>
              <w:jc w:val="center"/>
            </w:pPr>
            <w:r>
              <w:rPr>
                <w:sz w:val="20"/>
              </w:rPr>
              <w:t xml:space="preserve">I, Iн, IIна</w:t>
            </w:r>
          </w:p>
        </w:tc>
        <w:tc>
          <w:tcPr>
            <w:tcW w:w="3005" w:type="dxa"/>
            <w:vAlign w:val="center"/>
          </w:tcPr>
          <w:p>
            <w:pPr>
              <w:pStyle w:val="0"/>
              <w:jc w:val="center"/>
            </w:pPr>
            <w:r>
              <w:rPr>
                <w:sz w:val="20"/>
              </w:rPr>
              <w:t xml:space="preserve">100</w:t>
            </w:r>
          </w:p>
        </w:tc>
        <w:tc>
          <w:tcPr>
            <w:tcW w:w="3061" w:type="dxa"/>
            <w:vAlign w:val="center"/>
          </w:tcPr>
          <w:p>
            <w:pPr>
              <w:pStyle w:val="0"/>
              <w:jc w:val="center"/>
            </w:pPr>
            <w:r>
              <w:rPr>
                <w:sz w:val="20"/>
              </w:rPr>
              <w:t xml:space="preserve">100</w:t>
            </w:r>
          </w:p>
        </w:tc>
      </w:tr>
      <w:tr>
        <w:tc>
          <w:tcPr>
            <w:tcW w:w="3005" w:type="dxa"/>
            <w:vAlign w:val="center"/>
          </w:tcPr>
          <w:p>
            <w:pPr>
              <w:pStyle w:val="0"/>
              <w:jc w:val="center"/>
            </w:pPr>
            <w:r>
              <w:rPr>
                <w:sz w:val="20"/>
              </w:rPr>
              <w:t xml:space="preserve">IIа, IIнв, IIнс, IIв, IIIа</w:t>
            </w:r>
          </w:p>
        </w:tc>
        <w:tc>
          <w:tcPr>
            <w:tcW w:w="3005" w:type="dxa"/>
            <w:vAlign w:val="center"/>
          </w:tcPr>
          <w:p>
            <w:pPr>
              <w:pStyle w:val="0"/>
              <w:jc w:val="center"/>
            </w:pPr>
            <w:r>
              <w:rPr>
                <w:sz w:val="20"/>
              </w:rPr>
              <w:t xml:space="preserve">100</w:t>
            </w:r>
          </w:p>
        </w:tc>
        <w:tc>
          <w:tcPr>
            <w:tcW w:w="3061" w:type="dxa"/>
            <w:vAlign w:val="center"/>
          </w:tcPr>
          <w:p>
            <w:pPr>
              <w:pStyle w:val="0"/>
              <w:jc w:val="center"/>
            </w:pPr>
            <w:r>
              <w:rPr>
                <w:sz w:val="20"/>
              </w:rPr>
              <w:t xml:space="preserve">25</w:t>
            </w:r>
          </w:p>
        </w:tc>
      </w:tr>
      <w:tr>
        <w:tc>
          <w:tcPr>
            <w:tcW w:w="3005" w:type="dxa"/>
            <w:vAlign w:val="center"/>
          </w:tcPr>
          <w:p>
            <w:pPr>
              <w:pStyle w:val="0"/>
              <w:jc w:val="center"/>
            </w:pPr>
            <w:r>
              <w:rPr>
                <w:sz w:val="20"/>
              </w:rPr>
              <w:t xml:space="preserve">IIIв, IIIс</w:t>
            </w:r>
          </w:p>
        </w:tc>
        <w:tc>
          <w:tcPr>
            <w:tcW w:w="3005" w:type="dxa"/>
            <w:vAlign w:val="center"/>
          </w:tcPr>
          <w:p>
            <w:pPr>
              <w:pStyle w:val="0"/>
              <w:jc w:val="center"/>
            </w:pPr>
            <w:r>
              <w:rPr>
                <w:sz w:val="20"/>
              </w:rPr>
              <w:t xml:space="preserve">100</w:t>
            </w:r>
          </w:p>
        </w:tc>
        <w:tc>
          <w:tcPr>
            <w:tcW w:w="3061" w:type="dxa"/>
            <w:vAlign w:val="center"/>
          </w:tcPr>
          <w:p>
            <w:pPr>
              <w:pStyle w:val="0"/>
              <w:jc w:val="center"/>
            </w:pPr>
            <w:r>
              <w:rPr>
                <w:sz w:val="20"/>
              </w:rPr>
              <w:t xml:space="preserve">10</w:t>
            </w:r>
          </w:p>
        </w:tc>
      </w:tr>
    </w:tbl>
    <w:p>
      <w:pPr>
        <w:pStyle w:val="0"/>
        <w:jc w:val="both"/>
      </w:pPr>
      <w:r>
        <w:rPr>
          <w:sz w:val="20"/>
        </w:rPr>
      </w:r>
    </w:p>
    <w:p>
      <w:pPr>
        <w:pStyle w:val="2"/>
        <w:outlineLvl w:val="2"/>
        <w:jc w:val="center"/>
      </w:pPr>
      <w:r>
        <w:rPr>
          <w:sz w:val="20"/>
        </w:rPr>
        <w:t xml:space="preserve">Нормы оценки качества по результатам неразрушающего</w:t>
      </w:r>
    </w:p>
    <w:p>
      <w:pPr>
        <w:pStyle w:val="2"/>
        <w:jc w:val="center"/>
      </w:pPr>
      <w:r>
        <w:rPr>
          <w:sz w:val="20"/>
        </w:rPr>
        <w:t xml:space="preserve">контроля сварных соединений и наплавленных поверхностей</w:t>
      </w:r>
    </w:p>
    <w:p>
      <w:pPr>
        <w:pStyle w:val="0"/>
        <w:jc w:val="both"/>
      </w:pPr>
      <w:r>
        <w:rPr>
          <w:sz w:val="20"/>
        </w:rPr>
      </w:r>
    </w:p>
    <w:p>
      <w:pPr>
        <w:pStyle w:val="0"/>
        <w:ind w:firstLine="540"/>
        <w:jc w:val="both"/>
      </w:pPr>
      <w:r>
        <w:rPr>
          <w:sz w:val="20"/>
        </w:rPr>
        <w:t xml:space="preserve">103. Нормы оценки качества принимаются:</w:t>
      </w:r>
    </w:p>
    <w:p>
      <w:pPr>
        <w:pStyle w:val="0"/>
        <w:spacing w:before="200" w:line-rule="auto"/>
        <w:ind w:firstLine="540"/>
        <w:jc w:val="both"/>
      </w:pPr>
      <w:r>
        <w:rPr>
          <w:sz w:val="20"/>
        </w:rPr>
        <w:t xml:space="preserve">а) при контроле стыковых сварных соединений деталей различной толщины - по номинальной толщине более тонкой детали;</w:t>
      </w:r>
    </w:p>
    <w:p>
      <w:pPr>
        <w:pStyle w:val="0"/>
        <w:spacing w:before="200" w:line-rule="auto"/>
        <w:ind w:firstLine="540"/>
        <w:jc w:val="both"/>
      </w:pPr>
      <w:r>
        <w:rPr>
          <w:sz w:val="20"/>
        </w:rPr>
        <w:t xml:space="preserve">б) при контроле угловых и тавровых сварных соединений - по расчетной высоте углового шва;</w:t>
      </w:r>
    </w:p>
    <w:p>
      <w:pPr>
        <w:pStyle w:val="0"/>
        <w:spacing w:before="200" w:line-rule="auto"/>
        <w:ind w:firstLine="540"/>
        <w:jc w:val="both"/>
      </w:pPr>
      <w:r>
        <w:rPr>
          <w:sz w:val="20"/>
        </w:rPr>
        <w:t xml:space="preserve">в) при контроле торцевых и нахлесточных сварных соединений - по удвоенной номинальной толщине более тонкой свариваемой детали;</w:t>
      </w:r>
    </w:p>
    <w:p>
      <w:pPr>
        <w:pStyle w:val="0"/>
        <w:spacing w:before="200" w:line-rule="auto"/>
        <w:ind w:firstLine="540"/>
        <w:jc w:val="both"/>
      </w:pPr>
      <w:r>
        <w:rPr>
          <w:sz w:val="20"/>
        </w:rPr>
        <w:t xml:space="preserve">г) при контроле вварки труб в трубные доски - по номинальной толщине стенки труб;</w:t>
      </w:r>
    </w:p>
    <w:p>
      <w:pPr>
        <w:pStyle w:val="0"/>
        <w:spacing w:before="200" w:line-rule="auto"/>
        <w:ind w:firstLine="540"/>
        <w:jc w:val="both"/>
      </w:pPr>
      <w:r>
        <w:rPr>
          <w:sz w:val="20"/>
        </w:rPr>
        <w:t xml:space="preserve">д) при радиографическом контроле сварных соединений труб или других цилиндрических деталей через две стенки - по номинальной толщине одной стенки;</w:t>
      </w:r>
    </w:p>
    <w:p>
      <w:pPr>
        <w:pStyle w:val="0"/>
        <w:spacing w:before="200" w:line-rule="auto"/>
        <w:ind w:firstLine="540"/>
        <w:jc w:val="both"/>
      </w:pPr>
      <w:r>
        <w:rPr>
          <w:sz w:val="20"/>
        </w:rPr>
        <w:t xml:space="preserve">е) при контроле сварных соединений, выполненных с расточкой, - по номинальной толщине стенки (в месте расточки), которая должна указываться в конструкторской документации.</w:t>
      </w:r>
    </w:p>
    <w:p>
      <w:pPr>
        <w:pStyle w:val="0"/>
        <w:spacing w:before="200" w:line-rule="auto"/>
        <w:ind w:firstLine="540"/>
        <w:jc w:val="both"/>
      </w:pPr>
      <w:r>
        <w:rPr>
          <w:sz w:val="20"/>
        </w:rPr>
        <w:t xml:space="preserve">104. Протяженность (длина) сварных соединений цилиндрических и сферических деталей должна определяться по их наружной поверхности (для стыковых сварных соединений с кольцевыми швами, угловых и тавровых сварных соединений - по наружной поверхности привариваемой детали у края шва).</w:t>
      </w:r>
    </w:p>
    <w:p>
      <w:pPr>
        <w:pStyle w:val="0"/>
        <w:spacing w:before="200" w:line-rule="auto"/>
        <w:ind w:firstLine="540"/>
        <w:jc w:val="both"/>
      </w:pPr>
      <w:r>
        <w:rPr>
          <w:sz w:val="20"/>
        </w:rPr>
        <w:t xml:space="preserve">105. Нормы оценки качества сварных соединений и наплавленных поверхностей по результатам неразрушающего контроля приведены в </w:t>
      </w:r>
      <w:hyperlink w:history="0" w:anchor="P1217" w:tooltip="ОЦЕНКА">
        <w:r>
          <w:rPr>
            <w:sz w:val="20"/>
            <w:color w:val="0000ff"/>
          </w:rPr>
          <w:t xml:space="preserve">приложении N 4</w:t>
        </w:r>
      </w:hyperlink>
      <w:r>
        <w:rPr>
          <w:sz w:val="20"/>
        </w:rPr>
        <w:t xml:space="preserve"> к настоящим Правилам.</w:t>
      </w:r>
    </w:p>
    <w:p>
      <w:pPr>
        <w:pStyle w:val="0"/>
        <w:spacing w:before="200" w:line-rule="auto"/>
        <w:ind w:firstLine="540"/>
        <w:jc w:val="both"/>
      </w:pPr>
      <w:r>
        <w:rPr>
          <w:sz w:val="20"/>
        </w:rPr>
        <w:t xml:space="preserve">Нормы оценки качества сварных соединений по результатам вихретокового контроля устанавливаются конструкторской документацией.</w:t>
      </w:r>
    </w:p>
    <w:p>
      <w:pPr>
        <w:pStyle w:val="0"/>
        <w:spacing w:before="200" w:line-rule="auto"/>
        <w:ind w:firstLine="540"/>
        <w:jc w:val="both"/>
      </w:pPr>
      <w:r>
        <w:rPr>
          <w:sz w:val="20"/>
        </w:rPr>
        <w:t xml:space="preserve">Нормы оценки качества наплавленных уплотнительных и направляющих поверхностей по результатам неразрушающего контроля приведены в </w:t>
      </w:r>
      <w:hyperlink w:history="0" w:anchor="P1044" w:tooltip="НЕРАЗРУШАЮЩИЙ КОНТРОЛЬ">
        <w:r>
          <w:rPr>
            <w:sz w:val="20"/>
            <w:color w:val="0000ff"/>
          </w:rPr>
          <w:t xml:space="preserve">приложении N 3</w:t>
        </w:r>
      </w:hyperlink>
      <w:r>
        <w:rPr>
          <w:sz w:val="20"/>
        </w:rPr>
        <w:t xml:space="preserve"> к настоящим Правилам.</w:t>
      </w:r>
    </w:p>
    <w:p>
      <w:pPr>
        <w:pStyle w:val="0"/>
        <w:jc w:val="both"/>
      </w:pPr>
      <w:r>
        <w:rPr>
          <w:sz w:val="20"/>
        </w:rPr>
        <w:t xml:space="preserve">(абзац введен </w:t>
      </w:r>
      <w:hyperlink w:history="0" r:id="rId32"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Приказом</w:t>
        </w:r>
      </w:hyperlink>
      <w:r>
        <w:rPr>
          <w:sz w:val="20"/>
        </w:rPr>
        <w:t xml:space="preserve"> Ростехнадзора от 08.07.2024 N 211)</w:t>
      </w:r>
    </w:p>
    <w:p>
      <w:pPr>
        <w:pStyle w:val="0"/>
        <w:jc w:val="both"/>
      </w:pPr>
      <w:r>
        <w:rPr>
          <w:sz w:val="20"/>
        </w:rPr>
      </w:r>
    </w:p>
    <w:p>
      <w:pPr>
        <w:pStyle w:val="2"/>
        <w:outlineLvl w:val="1"/>
        <w:jc w:val="center"/>
      </w:pPr>
      <w:r>
        <w:rPr>
          <w:sz w:val="20"/>
        </w:rPr>
        <w:t xml:space="preserve">VIII. Разрушающий контроль сварных соединений</w:t>
      </w:r>
    </w:p>
    <w:p>
      <w:pPr>
        <w:pStyle w:val="0"/>
        <w:jc w:val="both"/>
      </w:pPr>
      <w:r>
        <w:rPr>
          <w:sz w:val="20"/>
        </w:rPr>
      </w:r>
    </w:p>
    <w:p>
      <w:pPr>
        <w:pStyle w:val="2"/>
        <w:outlineLvl w:val="2"/>
        <w:jc w:val="center"/>
      </w:pPr>
      <w:r>
        <w:rPr>
          <w:sz w:val="20"/>
        </w:rPr>
        <w:t xml:space="preserve">Проведение и объем разрушающего контроля</w:t>
      </w:r>
    </w:p>
    <w:p>
      <w:pPr>
        <w:pStyle w:val="0"/>
        <w:jc w:val="both"/>
      </w:pPr>
      <w:r>
        <w:rPr>
          <w:sz w:val="20"/>
        </w:rPr>
      </w:r>
    </w:p>
    <w:p>
      <w:pPr>
        <w:pStyle w:val="0"/>
        <w:ind w:firstLine="540"/>
        <w:jc w:val="both"/>
      </w:pPr>
      <w:r>
        <w:rPr>
          <w:sz w:val="20"/>
        </w:rPr>
        <w:t xml:space="preserve">106. Разрушающий контроль должен проводиться:</w:t>
      </w:r>
    </w:p>
    <w:p>
      <w:pPr>
        <w:pStyle w:val="0"/>
        <w:spacing w:before="200" w:line-rule="auto"/>
        <w:ind w:firstLine="540"/>
        <w:jc w:val="both"/>
      </w:pPr>
      <w:r>
        <w:rPr>
          <w:sz w:val="20"/>
        </w:rPr>
        <w:t xml:space="preserve">а) при проверке качества сварочных (наплавочных) материалов путем испытаний образцов, вырезаемых из контрольных сварных швов (наплавок);</w:t>
      </w:r>
    </w:p>
    <w:p>
      <w:pPr>
        <w:pStyle w:val="0"/>
        <w:spacing w:before="200" w:line-rule="auto"/>
        <w:ind w:firstLine="540"/>
        <w:jc w:val="both"/>
      </w:pPr>
      <w:r>
        <w:rPr>
          <w:sz w:val="20"/>
        </w:rPr>
        <w:t xml:space="preserve">б) при проверке соответствия характеристик металла производственных сварных соединений установленным требованиям путем испытаний образцов, вырезаемых из производственных контрольных сварных соединений.</w:t>
      </w:r>
    </w:p>
    <w:p>
      <w:pPr>
        <w:pStyle w:val="0"/>
        <w:spacing w:before="200" w:line-rule="auto"/>
        <w:ind w:firstLine="540"/>
        <w:jc w:val="both"/>
      </w:pPr>
      <w:r>
        <w:rPr>
          <w:sz w:val="20"/>
        </w:rPr>
        <w:t xml:space="preserve">107. При проведении разрушающего контроля металла шва (наплавки) должны определяться:</w:t>
      </w:r>
    </w:p>
    <w:p>
      <w:pPr>
        <w:pStyle w:val="0"/>
        <w:spacing w:before="200" w:line-rule="auto"/>
        <w:ind w:firstLine="540"/>
        <w:jc w:val="both"/>
      </w:pPr>
      <w:r>
        <w:rPr>
          <w:sz w:val="20"/>
        </w:rPr>
        <w:t xml:space="preserve">а) химический состав;</w:t>
      </w:r>
    </w:p>
    <w:p>
      <w:pPr>
        <w:pStyle w:val="0"/>
        <w:spacing w:before="200" w:line-rule="auto"/>
        <w:ind w:firstLine="540"/>
        <w:jc w:val="both"/>
      </w:pPr>
      <w:r>
        <w:rPr>
          <w:sz w:val="20"/>
        </w:rPr>
        <w:t xml:space="preserve">б) механические свойства при нормальной и повышенной температурах (предел прочности, предел текучести, относительное удлинение, относительное сужение);</w:t>
      </w:r>
    </w:p>
    <w:p>
      <w:pPr>
        <w:pStyle w:val="0"/>
        <w:spacing w:before="200" w:line-rule="auto"/>
        <w:ind w:firstLine="540"/>
        <w:jc w:val="both"/>
      </w:pPr>
      <w:r>
        <w:rPr>
          <w:sz w:val="20"/>
        </w:rPr>
        <w:t xml:space="preserve">в) ударная вязкость;</w:t>
      </w:r>
    </w:p>
    <w:p>
      <w:pPr>
        <w:pStyle w:val="0"/>
        <w:spacing w:before="200" w:line-rule="auto"/>
        <w:ind w:firstLine="540"/>
        <w:jc w:val="both"/>
      </w:pPr>
      <w:r>
        <w:rPr>
          <w:sz w:val="20"/>
        </w:rPr>
        <w:t xml:space="preserve">г) критическая температура хрупкости (или проводится ее подтверждение) для перлитных и высокохромистых материалов;</w:t>
      </w:r>
    </w:p>
    <w:p>
      <w:pPr>
        <w:pStyle w:val="0"/>
        <w:spacing w:before="200" w:line-rule="auto"/>
        <w:ind w:firstLine="540"/>
        <w:jc w:val="both"/>
      </w:pPr>
      <w:r>
        <w:rPr>
          <w:sz w:val="20"/>
        </w:rPr>
        <w:t xml:space="preserve">д) содержание ферритной фазы в аустенитном наплавленном металле;</w:t>
      </w:r>
    </w:p>
    <w:p>
      <w:pPr>
        <w:pStyle w:val="0"/>
        <w:spacing w:before="200" w:line-rule="auto"/>
        <w:ind w:firstLine="540"/>
        <w:jc w:val="both"/>
      </w:pPr>
      <w:r>
        <w:rPr>
          <w:sz w:val="20"/>
        </w:rPr>
        <w:t xml:space="preserve">е) стойкость к межкристаллитной коррозии аустенитного металла.</w:t>
      </w:r>
    </w:p>
    <w:p>
      <w:pPr>
        <w:pStyle w:val="0"/>
        <w:spacing w:before="200" w:line-rule="auto"/>
        <w:ind w:firstLine="540"/>
        <w:jc w:val="both"/>
      </w:pPr>
      <w:r>
        <w:rPr>
          <w:sz w:val="20"/>
        </w:rPr>
        <w:t xml:space="preserve">108. При проведении разрушающего контроля металла сварных соединений и наплавленных деталей должны выполняться:</w:t>
      </w:r>
    </w:p>
    <w:p>
      <w:pPr>
        <w:pStyle w:val="0"/>
        <w:spacing w:before="200" w:line-rule="auto"/>
        <w:ind w:firstLine="540"/>
        <w:jc w:val="both"/>
      </w:pPr>
      <w:r>
        <w:rPr>
          <w:sz w:val="20"/>
        </w:rPr>
        <w:t xml:space="preserve">а) металлографические исследования;</w:t>
      </w:r>
    </w:p>
    <w:p>
      <w:pPr>
        <w:pStyle w:val="0"/>
        <w:spacing w:before="200" w:line-rule="auto"/>
        <w:ind w:firstLine="540"/>
        <w:jc w:val="both"/>
      </w:pPr>
      <w:r>
        <w:rPr>
          <w:sz w:val="20"/>
        </w:rPr>
        <w:t xml:space="preserve">б) определение предела прочности сварных соединений;</w:t>
      </w:r>
    </w:p>
    <w:p>
      <w:pPr>
        <w:pStyle w:val="0"/>
        <w:spacing w:before="200" w:line-rule="auto"/>
        <w:ind w:firstLine="540"/>
        <w:jc w:val="both"/>
      </w:pPr>
      <w:r>
        <w:rPr>
          <w:sz w:val="20"/>
        </w:rPr>
        <w:t xml:space="preserve">в) механические испытания на статический изгиб;</w:t>
      </w:r>
    </w:p>
    <w:p>
      <w:pPr>
        <w:pStyle w:val="0"/>
        <w:spacing w:before="200" w:line-rule="auto"/>
        <w:ind w:firstLine="540"/>
        <w:jc w:val="both"/>
      </w:pPr>
      <w:r>
        <w:rPr>
          <w:sz w:val="20"/>
        </w:rPr>
        <w:t xml:space="preserve">г) механические испытания на сплющивание сварных труб.</w:t>
      </w:r>
    </w:p>
    <w:p>
      <w:pPr>
        <w:pStyle w:val="0"/>
        <w:spacing w:before="200" w:line-rule="auto"/>
        <w:ind w:firstLine="540"/>
        <w:jc w:val="both"/>
      </w:pPr>
      <w:r>
        <w:rPr>
          <w:sz w:val="20"/>
        </w:rPr>
        <w:t xml:space="preserve">109. Разрушающий контроль должен проводиться в соответствии с требованиями:</w:t>
      </w:r>
    </w:p>
    <w:p>
      <w:pPr>
        <w:pStyle w:val="0"/>
        <w:spacing w:before="200" w:line-rule="auto"/>
        <w:ind w:firstLine="540"/>
        <w:jc w:val="both"/>
      </w:pPr>
      <w:r>
        <w:rPr>
          <w:sz w:val="20"/>
        </w:rPr>
        <w:t xml:space="preserve">а) в части определения химического состава - </w:t>
      </w:r>
      <w:hyperlink w:history="0" r:id="rId33" w:tooltip="&quot;ГОСТ Р 50.05.24-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Химический состав наплавленного металла (металла шва)&quot; (утв. и введен в действие Приказом Росстандарта от 29.12.2020 N 1434-ст) {КонсультантПлюс}">
        <w:r>
          <w:rPr>
            <w:sz w:val="20"/>
            <w:color w:val="0000ff"/>
          </w:rPr>
          <w:t xml:space="preserve">разделов 1</w:t>
        </w:r>
      </w:hyperlink>
      <w:r>
        <w:rPr>
          <w:sz w:val="20"/>
        </w:rPr>
        <w:t xml:space="preserve"> - </w:t>
      </w:r>
      <w:hyperlink w:history="0" r:id="rId34" w:tooltip="&quot;ГОСТ Р 50.05.24-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Химический состав наплавленного металла (металла шва)&quot; (утв. и введен в действие Приказом Росстандарта от 29.12.2020 N 1434-ст) {КонсультантПлюс}">
        <w:r>
          <w:rPr>
            <w:sz w:val="20"/>
            <w:color w:val="0000ff"/>
          </w:rPr>
          <w:t xml:space="preserve">10</w:t>
        </w:r>
      </w:hyperlink>
      <w:r>
        <w:rPr>
          <w:sz w:val="20"/>
        </w:rPr>
        <w:t xml:space="preserve"> национального стандарта Российской Федерации ГОСТ Р 50.05.24-2020 "Система оценки соответствия в области использования атомной энергии. Оценка соответствия в форме контроля. Химический состав наплавленного металла (металла шва)", утвержденного и введенного в действие 1 февраля 2022 г. </w:t>
      </w:r>
      <w:hyperlink w:history="0" r:id="rId35" w:tooltip="Приказ Росстандарта от 29.12.2020 N 1434-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29 декабря 2020 г. N 1434-ст (М., Стандартинформ, 2021);</w:t>
      </w:r>
    </w:p>
    <w:p>
      <w:pPr>
        <w:pStyle w:val="0"/>
        <w:jc w:val="both"/>
      </w:pPr>
      <w:r>
        <w:rPr>
          <w:sz w:val="20"/>
        </w:rPr>
        <w:t xml:space="preserve">(в ред. </w:t>
      </w:r>
      <w:hyperlink w:history="0" r:id="rId36"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б) в части определения механических свойств - </w:t>
      </w:r>
      <w:hyperlink w:history="0" r:id="rId37" w:tooltip="&quot;ГОСТ Р 50.05.25-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Механические свойства металла сварных соединений и наплавленных поверхностей&quot; (утв. и введен в действие Приказом Росстандарта от 29.12.2020 N 1435-ст) {КонсультантПлюс}">
        <w:r>
          <w:rPr>
            <w:sz w:val="20"/>
            <w:color w:val="0000ff"/>
          </w:rPr>
          <w:t xml:space="preserve">разделов 1</w:t>
        </w:r>
      </w:hyperlink>
      <w:r>
        <w:rPr>
          <w:sz w:val="20"/>
        </w:rPr>
        <w:t xml:space="preserve"> - </w:t>
      </w:r>
      <w:hyperlink w:history="0" r:id="rId38" w:tooltip="&quot;ГОСТ Р 50.05.25-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Механические свойства металла сварных соединений и наплавленных поверхностей&quot; (утв. и введен в действие Приказом Росстандарта от 29.12.2020 N 1435-ст) {КонсультантПлюс}">
        <w:r>
          <w:rPr>
            <w:sz w:val="20"/>
            <w:color w:val="0000ff"/>
          </w:rPr>
          <w:t xml:space="preserve">12</w:t>
        </w:r>
      </w:hyperlink>
      <w:r>
        <w:rPr>
          <w:sz w:val="20"/>
        </w:rPr>
        <w:t xml:space="preserve"> национального стандарта Российской Федерации ГОСТ Р 50.05.25-2020 "Система оценки соответствия в области использования атомной энергии. Оценка соответствия в форме контроля. Механические свойства металла сварных соединений и наплавленных поверхностей", утвержденного и введенного в действие 1 февраля 2022 г. </w:t>
      </w:r>
      <w:hyperlink w:history="0" r:id="rId39" w:tooltip="Приказ Росстандарта от 29.12.2020 N 1435-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29 декабря 2020 г. N 1435-ст (М., Стандартинформ, 2021) (далее - ГОСТ Р 50.05.25-2020);</w:t>
      </w:r>
    </w:p>
    <w:p>
      <w:pPr>
        <w:pStyle w:val="0"/>
        <w:jc w:val="both"/>
      </w:pPr>
      <w:r>
        <w:rPr>
          <w:sz w:val="20"/>
        </w:rPr>
        <w:t xml:space="preserve">(в ред. </w:t>
      </w:r>
      <w:hyperlink w:history="0" r:id="rId40"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в) в части определения или подтверждения критической температуры хрупкости - федеральных норм и правил в области использования атомной энергии, регламентирующих нормы расчета оборудования и трубопроводов атомных энергетических установок на прочность;</w:t>
      </w:r>
    </w:p>
    <w:p>
      <w:pPr>
        <w:pStyle w:val="0"/>
        <w:spacing w:before="200" w:line-rule="auto"/>
        <w:ind w:firstLine="540"/>
        <w:jc w:val="both"/>
      </w:pPr>
      <w:r>
        <w:rPr>
          <w:sz w:val="20"/>
        </w:rPr>
        <w:t xml:space="preserve">г) в части испытания на стойкость к межкристаллитной коррозии - </w:t>
      </w:r>
      <w:hyperlink w:history="0" w:anchor="P742" w:tooltip="127. Сварное соединение или наплавленный металл обладают стойкостью к межкристаллитной коррозии, если результаты испытания соответствуют требованиям ГОСТ 6032-2017 &quot;Стали и сплавы коррозионностойкие. Методы испытаний на стойкость против межкристаллитной коррозии&quot;, утвержденным приказом Федерального агентства по техническому регулированию и метрологии от 12 сентября 2017 г. N 1054-ст (Стандартинформ, 2017) (далее - ГОСТ 6032-2017). Конкретный метод испытания должен быть указан в конструкторской документации.">
        <w:r>
          <w:rPr>
            <w:sz w:val="20"/>
            <w:color w:val="0000ff"/>
          </w:rPr>
          <w:t xml:space="preserve">пункта 127</w:t>
        </w:r>
      </w:hyperlink>
      <w:r>
        <w:rPr>
          <w:sz w:val="20"/>
        </w:rPr>
        <w:t xml:space="preserve"> настоящих Правил;</w:t>
      </w:r>
    </w:p>
    <w:p>
      <w:pPr>
        <w:pStyle w:val="0"/>
        <w:spacing w:before="200" w:line-rule="auto"/>
        <w:ind w:firstLine="540"/>
        <w:jc w:val="both"/>
      </w:pPr>
      <w:r>
        <w:rPr>
          <w:sz w:val="20"/>
        </w:rPr>
        <w:t xml:space="preserve">д) в части металлографических исследований - </w:t>
      </w:r>
      <w:hyperlink w:history="0" r:id="rId41" w:tooltip="&quot;ГОСТ Р 50.05.22-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Нормы оценки качества при металлографических исследованиях сварных соединений и наплавленных поверхностей&quot; (утв. и введен в действие Приказом Росстандарта от 29.12.2020 N 1432-ст) {КонсультантПлюс}">
        <w:r>
          <w:rPr>
            <w:sz w:val="20"/>
            <w:color w:val="0000ff"/>
          </w:rPr>
          <w:t xml:space="preserve">разделов 1</w:t>
        </w:r>
      </w:hyperlink>
      <w:r>
        <w:rPr>
          <w:sz w:val="20"/>
        </w:rPr>
        <w:t xml:space="preserve"> - </w:t>
      </w:r>
      <w:hyperlink w:history="0" r:id="rId42" w:tooltip="&quot;ГОСТ Р 50.05.22-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Нормы оценки качества при металлографических исследованиях сварных соединений и наплавленных поверхностей&quot; (утв. и введен в действие Приказом Росстандарта от 29.12.2020 N 1432-ст) {КонсультантПлюс}">
        <w:r>
          <w:rPr>
            <w:sz w:val="20"/>
            <w:color w:val="0000ff"/>
          </w:rPr>
          <w:t xml:space="preserve">6</w:t>
        </w:r>
      </w:hyperlink>
      <w:r>
        <w:rPr>
          <w:sz w:val="20"/>
        </w:rPr>
        <w:t xml:space="preserve"> национального стандарта Российской Федерации ГОСТ Р 50.05.22-2020 "Система оценки соответствия в области использования атомной энергии. Оценка соответствия в форме контроля. Нормы оценки качества при металлографических исследованиях сварных соединений и наплавленных поверхностей", утвержденного и введенного в действие 1 февраля 2022 г. </w:t>
      </w:r>
      <w:hyperlink w:history="0" r:id="rId43" w:tooltip="Приказ Росстандарта от 29.12.2020 N 1432-ст &quot;Об утверждении национального стандарта Российской Федерации&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29 декабря 2020 г. N 1432-ст (М., Стандартинформ, 2021);</w:t>
      </w:r>
    </w:p>
    <w:p>
      <w:pPr>
        <w:pStyle w:val="0"/>
        <w:jc w:val="both"/>
      </w:pPr>
      <w:r>
        <w:rPr>
          <w:sz w:val="20"/>
        </w:rPr>
        <w:t xml:space="preserve">(в ред. </w:t>
      </w:r>
      <w:hyperlink w:history="0" r:id="rId44"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е) в части определения содержания ферритной фазы в наплавленном металле - </w:t>
      </w:r>
      <w:hyperlink w:history="0" w:anchor="P747" w:tooltip="128. Определение содержания ферритной фазы в наплавленном металле должно выполняться в соответствии с требованиями ГОСТ Р 53686-2009 &quot;Сварка. Определение содержания ферритной фазы в металле сварного шва аустенитных и двухфазных феррито-аустенитных хромоникелевых коррозионностойких сталей&quot;, утвержденного приказом Федерального агентства по техническому регулированию и метрологии от 15 декабря 2009 г. N 1081-ст (Стандартинформ, 2009).">
        <w:r>
          <w:rPr>
            <w:sz w:val="20"/>
            <w:color w:val="0000ff"/>
          </w:rPr>
          <w:t xml:space="preserve">пункта 128</w:t>
        </w:r>
      </w:hyperlink>
      <w:r>
        <w:rPr>
          <w:sz w:val="20"/>
        </w:rPr>
        <w:t xml:space="preserve"> настоящих Правил;</w:t>
      </w:r>
    </w:p>
    <w:p>
      <w:pPr>
        <w:pStyle w:val="0"/>
        <w:spacing w:before="200" w:line-rule="auto"/>
        <w:ind w:firstLine="540"/>
        <w:jc w:val="both"/>
      </w:pPr>
      <w:r>
        <w:rPr>
          <w:sz w:val="20"/>
        </w:rPr>
        <w:t xml:space="preserve">ж) в части определения твердости наплавок - </w:t>
      </w:r>
      <w:hyperlink w:history="0" w:anchor="P1044" w:tooltip="НЕРАЗРУШАЮЩИЙ КОНТРОЛЬ">
        <w:r>
          <w:rPr>
            <w:sz w:val="20"/>
            <w:color w:val="0000ff"/>
          </w:rPr>
          <w:t xml:space="preserve">приложения N 3</w:t>
        </w:r>
      </w:hyperlink>
      <w:r>
        <w:rPr>
          <w:sz w:val="20"/>
        </w:rPr>
        <w:t xml:space="preserve"> к настоящим Правилам.</w:t>
      </w:r>
    </w:p>
    <w:p>
      <w:pPr>
        <w:pStyle w:val="0"/>
        <w:spacing w:before="200" w:line-rule="auto"/>
        <w:ind w:firstLine="540"/>
        <w:jc w:val="both"/>
      </w:pPr>
      <w:r>
        <w:rPr>
          <w:sz w:val="20"/>
        </w:rPr>
        <w:t xml:space="preserve">110. Типы образцов для определения механических свойств металла шва, наплавленного металла и сварных соединений должны соответствовать требованиям документа по стандартизации, включенного в Сводный </w:t>
      </w:r>
      <w:hyperlink w:history="0" r:id="rId45"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p>
      <w:pPr>
        <w:pStyle w:val="0"/>
        <w:spacing w:before="200" w:line-rule="auto"/>
        <w:ind w:firstLine="540"/>
        <w:jc w:val="both"/>
      </w:pPr>
      <w:r>
        <w:rPr>
          <w:sz w:val="20"/>
        </w:rPr>
        <w:t xml:space="preserve">111. Число образцов для проведения механических испытаний на растяжение должно быть не менее двух при каждой температуре и не менее трех при испытаниях на ударный изгиб при каждой температуре.</w:t>
      </w:r>
    </w:p>
    <w:p>
      <w:pPr>
        <w:pStyle w:val="0"/>
        <w:spacing w:before="200" w:line-rule="auto"/>
        <w:ind w:firstLine="540"/>
        <w:jc w:val="both"/>
      </w:pPr>
      <w:r>
        <w:rPr>
          <w:sz w:val="20"/>
        </w:rPr>
        <w:t xml:space="preserve">Для других видов испытаний число образцов должно быть не менее указанного в соответствующем документе по стандартизации.</w:t>
      </w:r>
    </w:p>
    <w:p>
      <w:pPr>
        <w:pStyle w:val="0"/>
        <w:spacing w:before="200" w:line-rule="auto"/>
        <w:ind w:firstLine="540"/>
        <w:jc w:val="both"/>
      </w:pPr>
      <w:r>
        <w:rPr>
          <w:sz w:val="20"/>
        </w:rPr>
        <w:t xml:space="preserve">112. При получении неудовлетворительных результатов определения химического состава, испытания на стойкость к межкристаллитной коррозии или по какому-либо из видов механических испытаний должны быть проведены повторные испытания для соответствующего показателя на удвоенном количестве образцов.</w:t>
      </w:r>
    </w:p>
    <w:p>
      <w:pPr>
        <w:pStyle w:val="0"/>
        <w:spacing w:before="200" w:line-rule="auto"/>
        <w:ind w:firstLine="540"/>
        <w:jc w:val="both"/>
      </w:pPr>
      <w:r>
        <w:rPr>
          <w:sz w:val="20"/>
        </w:rPr>
        <w:t xml:space="preserve">113. При неудовлетворительных результатах металлографических исследований или испытаний по определению ферритной фазы должно быть выполнено новое контрольное сварное соединение (шов, наплавка) и испытания повторены в том же объеме.</w:t>
      </w:r>
    </w:p>
    <w:p>
      <w:pPr>
        <w:pStyle w:val="0"/>
        <w:spacing w:before="200" w:line-rule="auto"/>
        <w:ind w:firstLine="540"/>
        <w:jc w:val="both"/>
      </w:pPr>
      <w:r>
        <w:rPr>
          <w:sz w:val="20"/>
        </w:rPr>
        <w:t xml:space="preserve">Результаты повторных испытаний являются окончательными.</w:t>
      </w:r>
    </w:p>
    <w:p>
      <w:pPr>
        <w:pStyle w:val="0"/>
        <w:jc w:val="both"/>
      </w:pPr>
      <w:r>
        <w:rPr>
          <w:sz w:val="20"/>
        </w:rPr>
      </w:r>
    </w:p>
    <w:p>
      <w:pPr>
        <w:pStyle w:val="2"/>
        <w:outlineLvl w:val="2"/>
        <w:jc w:val="center"/>
      </w:pPr>
      <w:r>
        <w:rPr>
          <w:sz w:val="20"/>
        </w:rPr>
        <w:t xml:space="preserve">Производственные контрольные сварные соединения</w:t>
      </w:r>
    </w:p>
    <w:p>
      <w:pPr>
        <w:pStyle w:val="0"/>
        <w:jc w:val="both"/>
      </w:pPr>
      <w:r>
        <w:rPr>
          <w:sz w:val="20"/>
        </w:rPr>
      </w:r>
    </w:p>
    <w:bookmarkStart w:id="699" w:name="P699"/>
    <w:bookmarkEnd w:id="699"/>
    <w:p>
      <w:pPr>
        <w:pStyle w:val="0"/>
        <w:ind w:firstLine="540"/>
        <w:jc w:val="both"/>
      </w:pPr>
      <w:r>
        <w:rPr>
          <w:sz w:val="20"/>
        </w:rPr>
        <w:t xml:space="preserve">114. Контроль производственных сварных соединений должен проводиться для указанных в конструкторской документации стыковых сварных соединений:</w:t>
      </w:r>
    </w:p>
    <w:p>
      <w:pPr>
        <w:pStyle w:val="0"/>
        <w:jc w:val="both"/>
      </w:pPr>
      <w:r>
        <w:rPr>
          <w:sz w:val="20"/>
        </w:rPr>
        <w:t xml:space="preserve">(в ред. </w:t>
      </w:r>
      <w:hyperlink w:history="0" r:id="rId46"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а) корпусов оборудования группы A, включая коллектор первого контура парогенератора;</w:t>
      </w:r>
    </w:p>
    <w:p>
      <w:pPr>
        <w:pStyle w:val="0"/>
        <w:jc w:val="both"/>
      </w:pPr>
      <w:r>
        <w:rPr>
          <w:sz w:val="20"/>
        </w:rPr>
        <w:t xml:space="preserve">(в ред. </w:t>
      </w:r>
      <w:hyperlink w:history="0" r:id="rId47"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б) корпусов оборудования и трубопроводов группы B.</w:t>
      </w:r>
    </w:p>
    <w:p>
      <w:pPr>
        <w:pStyle w:val="0"/>
        <w:jc w:val="both"/>
      </w:pPr>
      <w:r>
        <w:rPr>
          <w:sz w:val="20"/>
        </w:rPr>
        <w:t xml:space="preserve">(в ред. </w:t>
      </w:r>
      <w:hyperlink w:history="0" r:id="rId48"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115. При контроле производственных сварных соединений выполняется производственное контрольное сварное соединение. Производственное контрольное сварное соединение подлежит неразрушающему контролю в объеме, соответствующем контролируемому производственному сварному соединению.</w:t>
      </w:r>
    </w:p>
    <w:p>
      <w:pPr>
        <w:pStyle w:val="0"/>
        <w:spacing w:before="200" w:line-rule="auto"/>
        <w:ind w:firstLine="540"/>
        <w:jc w:val="both"/>
      </w:pPr>
      <w:r>
        <w:rPr>
          <w:sz w:val="20"/>
        </w:rPr>
        <w:t xml:space="preserve">Разрушающий контроль должен проводиться путем испытаний образцов, вырезанных из производственных контрольных сварных соединений.</w:t>
      </w:r>
    </w:p>
    <w:bookmarkStart w:id="707" w:name="P707"/>
    <w:bookmarkEnd w:id="707"/>
    <w:p>
      <w:pPr>
        <w:pStyle w:val="0"/>
        <w:spacing w:before="200" w:line-rule="auto"/>
        <w:ind w:firstLine="540"/>
        <w:jc w:val="both"/>
      </w:pPr>
      <w:r>
        <w:rPr>
          <w:sz w:val="20"/>
        </w:rPr>
        <w:t xml:space="preserve">116. Производственное контрольное сварное соединение должно быть идентично контролируемому производственному сварному соединению по марке и плавке основного металла; по партии электродов; сочетанию плавки сварочной проволоки или сварочной ленты с партией сварочных флюсов; по типу сварного соединения; номинальным толщинам и наружным диаметрам свариваемых деталей; способу и режимам сварки; по режимам предварительного и сопутствующего подогрева и термической обработки.</w:t>
      </w:r>
    </w:p>
    <w:p>
      <w:pPr>
        <w:pStyle w:val="0"/>
        <w:jc w:val="both"/>
      </w:pPr>
      <w:r>
        <w:rPr>
          <w:sz w:val="20"/>
        </w:rPr>
        <w:t xml:space="preserve">(в ред. </w:t>
      </w:r>
      <w:hyperlink w:history="0" r:id="rId49"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Абзац утратил силу. - </w:t>
      </w:r>
      <w:hyperlink w:history="0" r:id="rId50"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w:t>
        </w:r>
      </w:hyperlink>
      <w:r>
        <w:rPr>
          <w:sz w:val="20"/>
        </w:rPr>
        <w:t xml:space="preserve"> Ростехнадзора от 08.07.2024 N 211.</w:t>
      </w:r>
    </w:p>
    <w:p>
      <w:pPr>
        <w:pStyle w:val="0"/>
        <w:spacing w:before="200" w:line-rule="auto"/>
        <w:ind w:firstLine="540"/>
        <w:jc w:val="both"/>
      </w:pPr>
      <w:r>
        <w:rPr>
          <w:sz w:val="20"/>
        </w:rPr>
        <w:t xml:space="preserve">Допускается выполнение производственных контрольных сварных соединений с размерами, отличающимися от размеров соответствующих производственных сварных соединений, при условии, что отношение максимальных и минимальных толщин и отношение наружных диаметров деталей производственного сварного соединения и производственного контрольного сварного соединения не должны превышать:</w:t>
      </w:r>
    </w:p>
    <w:p>
      <w:pPr>
        <w:pStyle w:val="0"/>
        <w:spacing w:before="200" w:line-rule="auto"/>
        <w:ind w:firstLine="540"/>
        <w:jc w:val="both"/>
      </w:pPr>
      <w:r>
        <w:rPr>
          <w:sz w:val="20"/>
        </w:rPr>
        <w:t xml:space="preserve">а) для оборудования группы A - 1,25;</w:t>
      </w:r>
    </w:p>
    <w:p>
      <w:pPr>
        <w:pStyle w:val="0"/>
        <w:spacing w:before="200" w:line-rule="auto"/>
        <w:ind w:firstLine="540"/>
        <w:jc w:val="both"/>
      </w:pPr>
      <w:r>
        <w:rPr>
          <w:sz w:val="20"/>
        </w:rPr>
        <w:t xml:space="preserve">б) для оборудования группы B - 2,0;</w:t>
      </w:r>
    </w:p>
    <w:p>
      <w:pPr>
        <w:pStyle w:val="0"/>
        <w:spacing w:before="200" w:line-rule="auto"/>
        <w:ind w:firstLine="540"/>
        <w:jc w:val="both"/>
      </w:pPr>
      <w:r>
        <w:rPr>
          <w:sz w:val="20"/>
        </w:rPr>
        <w:t xml:space="preserve">в) для сварных соединений, выполняемых электрошлаковой сваркой, независимо от группы оборудования, - 1,25.</w:t>
      </w:r>
    </w:p>
    <w:p>
      <w:pPr>
        <w:pStyle w:val="0"/>
        <w:spacing w:before="200" w:line-rule="auto"/>
        <w:ind w:firstLine="540"/>
        <w:jc w:val="both"/>
      </w:pPr>
      <w:r>
        <w:rPr>
          <w:sz w:val="20"/>
        </w:rPr>
        <w:t xml:space="preserve">Для производственных контрольных сварных соединений с продольными швами допускается не учитывать соотношение диаметров.</w:t>
      </w:r>
    </w:p>
    <w:p>
      <w:pPr>
        <w:pStyle w:val="0"/>
        <w:spacing w:before="200" w:line-rule="auto"/>
        <w:ind w:firstLine="540"/>
        <w:jc w:val="both"/>
      </w:pPr>
      <w:r>
        <w:rPr>
          <w:sz w:val="20"/>
        </w:rPr>
        <w:t xml:space="preserve">В случаях, предусмотренных конструкторской документацией, при номинальном наружном диаметре производственных сварных соединений более 500,0 мм допускается изготовление плоских производственных контрольных сварных соединений.</w:t>
      </w:r>
    </w:p>
    <w:p>
      <w:pPr>
        <w:pStyle w:val="0"/>
        <w:spacing w:before="200" w:line-rule="auto"/>
        <w:ind w:firstLine="540"/>
        <w:jc w:val="both"/>
      </w:pPr>
      <w:r>
        <w:rPr>
          <w:sz w:val="20"/>
        </w:rPr>
        <w:t xml:space="preserve">117. В конструкторской документации на оборудование и трубопроводы, указанные в </w:t>
      </w:r>
      <w:hyperlink w:history="0" w:anchor="P699" w:tooltip="114. Контроль производственных сварных соединений должен проводиться для указанных в конструкторской документации стыковых сварных соединений:">
        <w:r>
          <w:rPr>
            <w:sz w:val="20"/>
            <w:color w:val="0000ff"/>
          </w:rPr>
          <w:t xml:space="preserve">пункте 114</w:t>
        </w:r>
      </w:hyperlink>
      <w:r>
        <w:rPr>
          <w:sz w:val="20"/>
        </w:rPr>
        <w:t xml:space="preserve"> настоящих Правил, должно быть предусмотрено изготовление специальных деталей или соответствующее увеличение длины заготовок производственных деталей, обеспечивающее возможность выполнения производственного контрольного сварного соединения с учетом требований </w:t>
      </w:r>
      <w:hyperlink w:history="0" w:anchor="P707" w:tooltip="116. Производственное контрольное сварное соединение должно быть идентично контролируемому производственному сварному соединению по марке и плавке основного металла; по партии электродов; сочетанию плавки сварочной проволоки или сварочной ленты с партией сварочных флюсов; по типу сварного соединения; номинальным толщинам и наружным диаметрам свариваемых деталей; способу и режимам сварки; по режимам предварительного и сопутствующего подогрева и термической обработки.">
        <w:r>
          <w:rPr>
            <w:sz w:val="20"/>
            <w:color w:val="0000ff"/>
          </w:rPr>
          <w:t xml:space="preserve">пункта 116</w:t>
        </w:r>
      </w:hyperlink>
      <w:r>
        <w:rPr>
          <w:sz w:val="20"/>
        </w:rPr>
        <w:t xml:space="preserve"> настоящих Правил.</w:t>
      </w:r>
    </w:p>
    <w:p>
      <w:pPr>
        <w:pStyle w:val="0"/>
        <w:spacing w:before="200" w:line-rule="auto"/>
        <w:ind w:firstLine="540"/>
        <w:jc w:val="both"/>
      </w:pPr>
      <w:r>
        <w:rPr>
          <w:sz w:val="20"/>
        </w:rPr>
        <w:t xml:space="preserve">118. При контроле производственных контрольных сварных соединений должны определяться следующие характеристики сварного соединения:</w:t>
      </w:r>
    </w:p>
    <w:p>
      <w:pPr>
        <w:pStyle w:val="0"/>
        <w:spacing w:before="200" w:line-rule="auto"/>
        <w:ind w:firstLine="540"/>
        <w:jc w:val="both"/>
      </w:pPr>
      <w:r>
        <w:rPr>
          <w:sz w:val="20"/>
        </w:rPr>
        <w:t xml:space="preserve">а) предел прочности и угол изгиба при нормальной температуре;</w:t>
      </w:r>
    </w:p>
    <w:p>
      <w:pPr>
        <w:pStyle w:val="0"/>
        <w:spacing w:before="200" w:line-rule="auto"/>
        <w:ind w:firstLine="540"/>
        <w:jc w:val="both"/>
      </w:pPr>
      <w:r>
        <w:rPr>
          <w:sz w:val="20"/>
        </w:rPr>
        <w:t xml:space="preserve">б) предел прочности при повышенной температуре;</w:t>
      </w:r>
    </w:p>
    <w:p>
      <w:pPr>
        <w:pStyle w:val="0"/>
        <w:spacing w:before="200" w:line-rule="auto"/>
        <w:ind w:firstLine="540"/>
        <w:jc w:val="both"/>
      </w:pPr>
      <w:r>
        <w:rPr>
          <w:sz w:val="20"/>
        </w:rPr>
        <w:t xml:space="preserve">в) стойкость к межкристаллитной коррозии;</w:t>
      </w:r>
    </w:p>
    <w:p>
      <w:pPr>
        <w:pStyle w:val="0"/>
        <w:spacing w:before="200" w:line-rule="auto"/>
        <w:ind w:firstLine="540"/>
        <w:jc w:val="both"/>
      </w:pPr>
      <w:r>
        <w:rPr>
          <w:sz w:val="20"/>
        </w:rPr>
        <w:t xml:space="preserve">г) критическая температура хрупкости металла шва, зоны сплавления и околошовной зоны;</w:t>
      </w:r>
    </w:p>
    <w:p>
      <w:pPr>
        <w:pStyle w:val="0"/>
        <w:spacing w:before="200" w:line-rule="auto"/>
        <w:ind w:firstLine="540"/>
        <w:jc w:val="both"/>
      </w:pPr>
      <w:r>
        <w:rPr>
          <w:sz w:val="20"/>
        </w:rPr>
        <w:t xml:space="preserve">д) химический состав металла шва;</w:t>
      </w:r>
    </w:p>
    <w:p>
      <w:pPr>
        <w:pStyle w:val="0"/>
        <w:spacing w:before="200" w:line-rule="auto"/>
        <w:ind w:firstLine="540"/>
        <w:jc w:val="both"/>
      </w:pPr>
      <w:r>
        <w:rPr>
          <w:sz w:val="20"/>
        </w:rPr>
        <w:t xml:space="preserve">е) механические свойства металла шва.</w:t>
      </w:r>
    </w:p>
    <w:p>
      <w:pPr>
        <w:pStyle w:val="0"/>
        <w:spacing w:before="200" w:line-rule="auto"/>
        <w:ind w:firstLine="540"/>
        <w:jc w:val="both"/>
      </w:pPr>
      <w:r>
        <w:rPr>
          <w:sz w:val="20"/>
        </w:rPr>
        <w:t xml:space="preserve">119. Определение предела прочности и угла изгиба для сварных соединений из сталей аустенитного класса должно проводиться в случаях, когда контролируемые производственные детали подвергаются термической обработке, нагреву под гибку, штамповке или другим термическим операциям, или при наличии требований в конструкторской документации.</w:t>
      </w:r>
    </w:p>
    <w:p>
      <w:pPr>
        <w:pStyle w:val="0"/>
        <w:spacing w:before="200" w:line-rule="auto"/>
        <w:ind w:firstLine="540"/>
        <w:jc w:val="both"/>
      </w:pPr>
      <w:r>
        <w:rPr>
          <w:sz w:val="20"/>
        </w:rPr>
        <w:t xml:space="preserve">120. Определение предела прочности сварного соединения при повышенной температуре должно проводиться при наличии соответствующего требования в конструкторской документации на контролируемое изделие.</w:t>
      </w:r>
    </w:p>
    <w:p>
      <w:pPr>
        <w:pStyle w:val="0"/>
        <w:spacing w:before="200" w:line-rule="auto"/>
        <w:ind w:firstLine="540"/>
        <w:jc w:val="both"/>
      </w:pPr>
      <w:r>
        <w:rPr>
          <w:sz w:val="20"/>
        </w:rPr>
        <w:t xml:space="preserve">121. Определение предела прочности для сварных соединений деталей из сталей различных структурных классов (например, перлитного и аустенитного) должно проводиться только при наличии требований в конструкторской документации с указанием норм оценки качества контроля.</w:t>
      </w:r>
    </w:p>
    <w:p>
      <w:pPr>
        <w:pStyle w:val="0"/>
        <w:spacing w:before="200" w:line-rule="auto"/>
        <w:ind w:firstLine="540"/>
        <w:jc w:val="both"/>
      </w:pPr>
      <w:r>
        <w:rPr>
          <w:sz w:val="20"/>
        </w:rPr>
        <w:t xml:space="preserve">122. Испытания на стойкость к межкристаллитной коррозии должны проводиться только для сварных соединений деталей из сталей аустенитного класса при наличии требований в конструкторской документации.</w:t>
      </w:r>
    </w:p>
    <w:p>
      <w:pPr>
        <w:pStyle w:val="0"/>
        <w:spacing w:before="200" w:line-rule="auto"/>
        <w:ind w:firstLine="540"/>
        <w:jc w:val="both"/>
      </w:pPr>
      <w:r>
        <w:rPr>
          <w:sz w:val="20"/>
        </w:rPr>
        <w:t xml:space="preserve">123. Критическая температура хрупкости металла шва и зоны сплавления и околошовной зоны производственного контрольного сварного соединения должна определяться при наличии требований в конструкторской документации.</w:t>
      </w:r>
    </w:p>
    <w:p>
      <w:pPr>
        <w:pStyle w:val="0"/>
        <w:spacing w:before="200" w:line-rule="auto"/>
        <w:ind w:firstLine="540"/>
        <w:jc w:val="both"/>
      </w:pPr>
      <w:r>
        <w:rPr>
          <w:sz w:val="20"/>
        </w:rPr>
        <w:t xml:space="preserve">124. Определение механических свойств и критической температуры хрупкости выполняется с учетом минимальной и максимальной продолжительности отпусков, предусмотренных для соответствующих производственных сварных соединений изделия.</w:t>
      </w:r>
    </w:p>
    <w:p>
      <w:pPr>
        <w:pStyle w:val="0"/>
        <w:jc w:val="both"/>
      </w:pPr>
      <w:r>
        <w:rPr>
          <w:sz w:val="20"/>
        </w:rPr>
      </w:r>
    </w:p>
    <w:p>
      <w:pPr>
        <w:pStyle w:val="2"/>
        <w:outlineLvl w:val="2"/>
        <w:jc w:val="center"/>
      </w:pPr>
      <w:r>
        <w:rPr>
          <w:sz w:val="20"/>
        </w:rPr>
        <w:t xml:space="preserve">Нормы оценки качества по результатам разрушающего контроля</w:t>
      </w:r>
    </w:p>
    <w:p>
      <w:pPr>
        <w:pStyle w:val="0"/>
        <w:jc w:val="both"/>
      </w:pPr>
      <w:r>
        <w:rPr>
          <w:sz w:val="20"/>
        </w:rPr>
      </w:r>
    </w:p>
    <w:p>
      <w:pPr>
        <w:pStyle w:val="2"/>
        <w:outlineLvl w:val="3"/>
        <w:jc w:val="center"/>
      </w:pPr>
      <w:r>
        <w:rPr>
          <w:sz w:val="20"/>
        </w:rPr>
        <w:t xml:space="preserve">Механические испытания</w:t>
      </w:r>
    </w:p>
    <w:p>
      <w:pPr>
        <w:pStyle w:val="0"/>
        <w:jc w:val="both"/>
      </w:pPr>
      <w:r>
        <w:rPr>
          <w:sz w:val="20"/>
        </w:rPr>
      </w:r>
    </w:p>
    <w:p>
      <w:pPr>
        <w:pStyle w:val="0"/>
        <w:ind w:firstLine="540"/>
        <w:jc w:val="both"/>
      </w:pPr>
      <w:r>
        <w:rPr>
          <w:sz w:val="20"/>
        </w:rPr>
        <w:t xml:space="preserve">125. Показатели механических свойств сварного соединения, металла шва (наплавленного металла) должны быть не ниже приведенных в </w:t>
      </w:r>
      <w:hyperlink w:history="0" r:id="rId51" w:tooltip="&quot;ГОСТ Р 50.05.25-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Механические свойства металла сварных соединений и наплавленных поверхностей&quot; (утв. и введен в действие Приказом Росстандарта от 29.12.2020 N 1435-ст) {КонсультантПлюс}">
        <w:r>
          <w:rPr>
            <w:sz w:val="20"/>
            <w:color w:val="0000ff"/>
          </w:rPr>
          <w:t xml:space="preserve">разделах 1</w:t>
        </w:r>
      </w:hyperlink>
      <w:r>
        <w:rPr>
          <w:sz w:val="20"/>
        </w:rPr>
        <w:t xml:space="preserve"> - </w:t>
      </w:r>
      <w:hyperlink w:history="0" r:id="rId52" w:tooltip="&quot;ГОСТ Р 50.05.25-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Механические свойства металла сварных соединений и наплавленных поверхностей&quot; (утв. и введен в действие Приказом Росстандарта от 29.12.2020 N 1435-ст) {КонсультантПлюс}">
        <w:r>
          <w:rPr>
            <w:sz w:val="20"/>
            <w:color w:val="0000ff"/>
          </w:rPr>
          <w:t xml:space="preserve">12</w:t>
        </w:r>
      </w:hyperlink>
      <w:r>
        <w:rPr>
          <w:sz w:val="20"/>
        </w:rPr>
        <w:t xml:space="preserve"> ГОСТ Р 50.05.25-2020. Для материалов сварных соединений, не указанных в </w:t>
      </w:r>
      <w:hyperlink w:history="0" r:id="rId53" w:tooltip="&quot;ГОСТ Р 50.05.25-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Механические свойства металла сварных соединений и наплавленных поверхностей&quot; (утв. и введен в действие Приказом Росстандарта от 29.12.2020 N 1435-ст) {КонсультантПлюс}">
        <w:r>
          <w:rPr>
            <w:sz w:val="20"/>
            <w:color w:val="0000ff"/>
          </w:rPr>
          <w:t xml:space="preserve">разделах 1</w:t>
        </w:r>
      </w:hyperlink>
      <w:r>
        <w:rPr>
          <w:sz w:val="20"/>
        </w:rPr>
        <w:t xml:space="preserve"> - </w:t>
      </w:r>
      <w:hyperlink w:history="0" r:id="rId54" w:tooltip="&quot;ГОСТ Р 50.05.25-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Механические свойства металла сварных соединений и наплавленных поверхностей&quot; (утв. и введен в действие Приказом Росстандарта от 29.12.2020 N 1435-ст) {КонсультантПлюс}">
        <w:r>
          <w:rPr>
            <w:sz w:val="20"/>
            <w:color w:val="0000ff"/>
          </w:rPr>
          <w:t xml:space="preserve">12</w:t>
        </w:r>
      </w:hyperlink>
      <w:r>
        <w:rPr>
          <w:sz w:val="20"/>
        </w:rPr>
        <w:t xml:space="preserve"> ГОСТ Р 50.05.25-2020, предел прочности сварного соединения устанавливается равным пределу прочности менее прочного основного материала сваренных деталей.</w:t>
      </w:r>
    </w:p>
    <w:p>
      <w:pPr>
        <w:pStyle w:val="0"/>
        <w:jc w:val="both"/>
      </w:pPr>
      <w:r>
        <w:rPr>
          <w:sz w:val="20"/>
        </w:rPr>
        <w:t xml:space="preserve">(в ред. </w:t>
      </w:r>
      <w:hyperlink w:history="0" r:id="rId55"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126. Предел прочности на растяжение сварных соединений из алюминиевых сплавов, определяемых на плоских образцах с усилением шва, должен быть не менее 0,9 от гарантированного предела прочности основного металла в отожженном состоянии.</w:t>
      </w:r>
    </w:p>
    <w:p>
      <w:pPr>
        <w:pStyle w:val="0"/>
        <w:spacing w:before="200" w:line-rule="auto"/>
        <w:ind w:firstLine="540"/>
        <w:jc w:val="both"/>
      </w:pPr>
      <w:r>
        <w:rPr>
          <w:sz w:val="20"/>
        </w:rPr>
        <w:t xml:space="preserve">Предел прочности комбинированных сварных соединений деталей из алюминиевых сплавов разных марок определяется пределом прочности сварного соединения менее прочного сплава.</w:t>
      </w:r>
    </w:p>
    <w:p>
      <w:pPr>
        <w:pStyle w:val="0"/>
        <w:jc w:val="both"/>
      </w:pPr>
      <w:r>
        <w:rPr>
          <w:sz w:val="20"/>
        </w:rPr>
      </w:r>
    </w:p>
    <w:p>
      <w:pPr>
        <w:pStyle w:val="2"/>
        <w:outlineLvl w:val="3"/>
        <w:jc w:val="center"/>
      </w:pPr>
      <w:r>
        <w:rPr>
          <w:sz w:val="20"/>
        </w:rPr>
        <w:t xml:space="preserve">Испытания на стойкость к межкристаллитной коррозии</w:t>
      </w:r>
    </w:p>
    <w:p>
      <w:pPr>
        <w:pStyle w:val="0"/>
        <w:jc w:val="both"/>
      </w:pPr>
      <w:r>
        <w:rPr>
          <w:sz w:val="20"/>
        </w:rPr>
      </w:r>
    </w:p>
    <w:bookmarkStart w:id="742" w:name="P742"/>
    <w:bookmarkEnd w:id="742"/>
    <w:p>
      <w:pPr>
        <w:pStyle w:val="0"/>
        <w:ind w:firstLine="540"/>
        <w:jc w:val="both"/>
      </w:pPr>
      <w:r>
        <w:rPr>
          <w:sz w:val="20"/>
        </w:rPr>
        <w:t xml:space="preserve">127. Сварное соединение или наплавленный металл обладают стойкостью к межкристаллитной коррозии, если результаты испытания соответствуют требованиям </w:t>
      </w:r>
      <w:hyperlink w:history="0" r:id="rId56" w:tooltip="Ссылка на КонсультантПлюс">
        <w:r>
          <w:rPr>
            <w:sz w:val="20"/>
            <w:color w:val="0000ff"/>
          </w:rPr>
          <w:t xml:space="preserve">ГОСТ 6032-2017</w:t>
        </w:r>
      </w:hyperlink>
      <w:r>
        <w:rPr>
          <w:sz w:val="20"/>
        </w:rPr>
        <w:t xml:space="preserve"> "Стали и сплавы коррозионностойкие. Методы испытаний на стойкость против межкристаллитной коррозии", утвержденным </w:t>
      </w:r>
      <w:hyperlink w:history="0" r:id="rId57" w:tooltip="Приказ Росстандарта от 12.09.2017 N 1054-ст &quot;О введении в действие межгосударственного стандарта&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12 сентября 2017 г. N 1054-ст (Стандартинформ, 2017) (далее - ГОСТ 6032-2017). Конкретный метод испытания должен быть указан в конструкторской документации.</w:t>
      </w:r>
    </w:p>
    <w:p>
      <w:pPr>
        <w:pStyle w:val="0"/>
        <w:jc w:val="both"/>
      </w:pPr>
      <w:r>
        <w:rPr>
          <w:sz w:val="20"/>
        </w:rPr>
      </w:r>
    </w:p>
    <w:p>
      <w:pPr>
        <w:pStyle w:val="2"/>
        <w:outlineLvl w:val="2"/>
        <w:jc w:val="center"/>
      </w:pPr>
      <w:r>
        <w:rPr>
          <w:sz w:val="20"/>
        </w:rPr>
        <w:t xml:space="preserve">Определение содержания ферритной фазы</w:t>
      </w:r>
    </w:p>
    <w:p>
      <w:pPr>
        <w:pStyle w:val="2"/>
        <w:jc w:val="center"/>
      </w:pPr>
      <w:r>
        <w:rPr>
          <w:sz w:val="20"/>
        </w:rPr>
        <w:t xml:space="preserve">в наплавленном металле</w:t>
      </w:r>
    </w:p>
    <w:p>
      <w:pPr>
        <w:pStyle w:val="0"/>
        <w:jc w:val="both"/>
      </w:pPr>
      <w:r>
        <w:rPr>
          <w:sz w:val="20"/>
        </w:rPr>
      </w:r>
    </w:p>
    <w:bookmarkStart w:id="747" w:name="P747"/>
    <w:bookmarkEnd w:id="747"/>
    <w:p>
      <w:pPr>
        <w:pStyle w:val="0"/>
        <w:ind w:firstLine="540"/>
        <w:jc w:val="both"/>
      </w:pPr>
      <w:r>
        <w:rPr>
          <w:sz w:val="20"/>
        </w:rPr>
        <w:t xml:space="preserve">128. Определение содержания ферритной фазы в наплавленном металле должно выполняться в соответствии с требованиями </w:t>
      </w:r>
      <w:hyperlink w:history="0" r:id="rId58" w:tooltip="&quot;ГОСТ Р 53686-2009 (ИСО 8249:2000). Национальный стандарт Российской Федерации. Сварка. Определение содержания ферритной фазы в металле сварного шва аустенитных и двухфазных феррито-аустенитных хромоникелевых коррозионностойких сталей&quot; (утв. и введен в действие Приказом Ростехрегулирования от 15.12.2009 N 1081-ст) {КонсультантПлюс}">
        <w:r>
          <w:rPr>
            <w:sz w:val="20"/>
            <w:color w:val="0000ff"/>
          </w:rPr>
          <w:t xml:space="preserve">ГОСТ Р 53686-2009</w:t>
        </w:r>
      </w:hyperlink>
      <w:r>
        <w:rPr>
          <w:sz w:val="20"/>
        </w:rPr>
        <w:t xml:space="preserve"> "Сварка. Определение содержания ферритной фазы в металле сварного шва аустенитных и двухфазных феррито-аустенитных хромоникелевых коррозионностойких сталей", утвержденного </w:t>
      </w:r>
      <w:hyperlink w:history="0" r:id="rId59" w:tooltip="Приказ Ростехрегулирования от 15.12.2009 N 1081-ст &quot;Об утверждении национального стандарта&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15 декабря 2009 г. N 1081-ст (Стандартинформ, 2009).</w:t>
      </w:r>
    </w:p>
    <w:p>
      <w:pPr>
        <w:pStyle w:val="0"/>
        <w:spacing w:before="200" w:line-rule="auto"/>
        <w:ind w:firstLine="540"/>
        <w:jc w:val="both"/>
      </w:pPr>
      <w:r>
        <w:rPr>
          <w:sz w:val="20"/>
        </w:rPr>
        <w:t xml:space="preserve">Содержание ферритной фазы в наплавленном металле должно быть в пределах от 2 до 8% для сварных соединений деталей, работающих при температуре до 350 °C включительно, и от 2 до 5% - для сварных соединений деталей, работающих при температуре свыше 350 °C, но в любом случае не должно превышать значений верхнего предела, установленного в документах по стандартизации на соответствующие сварочные (наплавочные) материалы.</w:t>
      </w:r>
    </w:p>
    <w:p>
      <w:pPr>
        <w:pStyle w:val="0"/>
        <w:jc w:val="both"/>
      </w:pPr>
      <w:r>
        <w:rPr>
          <w:sz w:val="20"/>
        </w:rPr>
      </w:r>
    </w:p>
    <w:p>
      <w:pPr>
        <w:pStyle w:val="2"/>
        <w:outlineLvl w:val="1"/>
        <w:jc w:val="center"/>
      </w:pPr>
      <w:r>
        <w:rPr>
          <w:sz w:val="20"/>
        </w:rPr>
        <w:t xml:space="preserve">IX. Контроль основного металла</w:t>
      </w:r>
    </w:p>
    <w:p>
      <w:pPr>
        <w:pStyle w:val="0"/>
        <w:jc w:val="both"/>
      </w:pPr>
      <w:r>
        <w:rPr>
          <w:sz w:val="20"/>
        </w:rPr>
      </w:r>
    </w:p>
    <w:p>
      <w:pPr>
        <w:pStyle w:val="0"/>
        <w:ind w:firstLine="540"/>
        <w:jc w:val="both"/>
      </w:pPr>
      <w:r>
        <w:rPr>
          <w:sz w:val="20"/>
        </w:rPr>
        <w:t xml:space="preserve">129. Контроль отливок должен выполняться в соответствии с требованиями </w:t>
      </w:r>
      <w:hyperlink w:history="0" w:anchor="P3232" w:tooltip="МЕТОДЫ И ОБЪЕМЫ КОНТРОЛЯ МЕТАЛЛА ОТЛИВОК">
        <w:r>
          <w:rPr>
            <w:sz w:val="20"/>
            <w:color w:val="0000ff"/>
          </w:rPr>
          <w:t xml:space="preserve">приложения N 8</w:t>
        </w:r>
      </w:hyperlink>
      <w:r>
        <w:rPr>
          <w:sz w:val="20"/>
        </w:rPr>
        <w:t xml:space="preserve"> к настоящим Правилам.</w:t>
      </w:r>
    </w:p>
    <w:p>
      <w:pPr>
        <w:pStyle w:val="0"/>
        <w:spacing w:before="200" w:line-rule="auto"/>
        <w:ind w:firstLine="540"/>
        <w:jc w:val="both"/>
      </w:pPr>
      <w:r>
        <w:rPr>
          <w:sz w:val="20"/>
        </w:rPr>
        <w:t xml:space="preserve">130. Полуфабрикаты, используемые для изготовления крепежных изделий, деталей и сборочных единиц оборудования и трубопроводов, должны быть термообработаны при наличии соответствующих требований в конструкторской документации.</w:t>
      </w:r>
    </w:p>
    <w:p>
      <w:pPr>
        <w:pStyle w:val="0"/>
        <w:spacing w:before="200" w:line-rule="auto"/>
        <w:ind w:firstLine="540"/>
        <w:jc w:val="both"/>
      </w:pPr>
      <w:r>
        <w:rPr>
          <w:sz w:val="20"/>
        </w:rPr>
        <w:t xml:space="preserve">131. Контроль полуфабрикатов (кроме отливок) и крепежных изделий, используемых для изготовления деталей и сборочных единиц оборудования и трубопроводов, должен выполняться в соответствии с требованиями документов по стандартизации на полуфабрикаты (кроме отливок) и крепежные изделия, включенных в Сводный </w:t>
      </w:r>
      <w:hyperlink w:history="0" r:id="rId60"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p>
      <w:pPr>
        <w:pStyle w:val="0"/>
        <w:jc w:val="both"/>
      </w:pPr>
      <w:r>
        <w:rPr>
          <w:sz w:val="20"/>
        </w:rPr>
        <w:t xml:space="preserve">(в ред. </w:t>
      </w:r>
      <w:hyperlink w:history="0" r:id="rId61"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132. Контроль основного металла деталей и сборочных единиц должен выполняться в соответствии с требованиями конструкторской и проектной документации на изделие.</w:t>
      </w:r>
    </w:p>
    <w:p>
      <w:pPr>
        <w:pStyle w:val="0"/>
        <w:jc w:val="both"/>
      </w:pPr>
      <w:r>
        <w:rPr>
          <w:sz w:val="20"/>
        </w:rPr>
      </w:r>
    </w:p>
    <w:p>
      <w:pPr>
        <w:pStyle w:val="2"/>
        <w:outlineLvl w:val="1"/>
        <w:jc w:val="center"/>
      </w:pPr>
      <w:r>
        <w:rPr>
          <w:sz w:val="20"/>
        </w:rPr>
        <w:t xml:space="preserve">X. Документация</w:t>
      </w:r>
    </w:p>
    <w:p>
      <w:pPr>
        <w:pStyle w:val="0"/>
        <w:jc w:val="both"/>
      </w:pPr>
      <w:r>
        <w:rPr>
          <w:sz w:val="20"/>
        </w:rPr>
      </w:r>
    </w:p>
    <w:p>
      <w:pPr>
        <w:pStyle w:val="0"/>
        <w:ind w:firstLine="540"/>
        <w:jc w:val="both"/>
      </w:pPr>
      <w:r>
        <w:rPr>
          <w:sz w:val="20"/>
        </w:rPr>
        <w:t xml:space="preserve">133. Документация по контролю должна разрабатываться организацией, выполняющей контроль.</w:t>
      </w:r>
    </w:p>
    <w:p>
      <w:pPr>
        <w:pStyle w:val="0"/>
        <w:jc w:val="both"/>
      </w:pPr>
      <w:r>
        <w:rPr>
          <w:sz w:val="20"/>
        </w:rPr>
      </w:r>
    </w:p>
    <w:p>
      <w:pPr>
        <w:pStyle w:val="2"/>
        <w:outlineLvl w:val="2"/>
        <w:jc w:val="center"/>
      </w:pPr>
      <w:r>
        <w:rPr>
          <w:sz w:val="20"/>
        </w:rPr>
        <w:t xml:space="preserve">Учетная документация</w:t>
      </w:r>
    </w:p>
    <w:p>
      <w:pPr>
        <w:pStyle w:val="0"/>
        <w:jc w:val="both"/>
      </w:pPr>
      <w:r>
        <w:rPr>
          <w:sz w:val="20"/>
        </w:rPr>
      </w:r>
    </w:p>
    <w:p>
      <w:pPr>
        <w:pStyle w:val="0"/>
        <w:ind w:firstLine="540"/>
        <w:jc w:val="both"/>
      </w:pPr>
      <w:r>
        <w:rPr>
          <w:sz w:val="20"/>
        </w:rPr>
        <w:t xml:space="preserve">134. Результаты по неразрушающему и разрушающему контролю металла оборудования и трубопроводов должны вноситься в журналы.</w:t>
      </w:r>
    </w:p>
    <w:p>
      <w:pPr>
        <w:pStyle w:val="0"/>
        <w:spacing w:before="200" w:line-rule="auto"/>
        <w:ind w:firstLine="540"/>
        <w:jc w:val="both"/>
      </w:pPr>
      <w:r>
        <w:rPr>
          <w:sz w:val="20"/>
        </w:rPr>
        <w:t xml:space="preserve">135. В журналах должны быть указаны сведения, на основании которых будет заноситься информация в заключение (протокол) по контролю.</w:t>
      </w:r>
    </w:p>
    <w:p>
      <w:pPr>
        <w:pStyle w:val="0"/>
        <w:spacing w:before="200" w:line-rule="auto"/>
        <w:ind w:firstLine="540"/>
        <w:jc w:val="both"/>
      </w:pPr>
      <w:r>
        <w:rPr>
          <w:sz w:val="20"/>
        </w:rPr>
        <w:t xml:space="preserve">136. Порядок ведения учетной документации должен обеспечить возможность восстановления результатов контроля в случае утраты или порчи отчетной документации.</w:t>
      </w:r>
    </w:p>
    <w:p>
      <w:pPr>
        <w:pStyle w:val="0"/>
        <w:jc w:val="both"/>
      </w:pPr>
      <w:r>
        <w:rPr>
          <w:sz w:val="20"/>
        </w:rPr>
      </w:r>
    </w:p>
    <w:p>
      <w:pPr>
        <w:pStyle w:val="2"/>
        <w:outlineLvl w:val="2"/>
        <w:jc w:val="center"/>
      </w:pPr>
      <w:r>
        <w:rPr>
          <w:sz w:val="20"/>
        </w:rPr>
        <w:t xml:space="preserve">Отчетная документация</w:t>
      </w:r>
    </w:p>
    <w:p>
      <w:pPr>
        <w:pStyle w:val="0"/>
        <w:jc w:val="both"/>
      </w:pPr>
      <w:r>
        <w:rPr>
          <w:sz w:val="20"/>
        </w:rPr>
      </w:r>
    </w:p>
    <w:p>
      <w:pPr>
        <w:pStyle w:val="0"/>
        <w:ind w:firstLine="540"/>
        <w:jc w:val="both"/>
      </w:pPr>
      <w:r>
        <w:rPr>
          <w:sz w:val="20"/>
        </w:rPr>
        <w:t xml:space="preserve">137. На основании учетной документации должна оформляться отчетная документация. Отчетной документации должен быть присвоен регистрационный номер.</w:t>
      </w:r>
    </w:p>
    <w:p>
      <w:pPr>
        <w:pStyle w:val="0"/>
        <w:spacing w:before="200" w:line-rule="auto"/>
        <w:ind w:firstLine="540"/>
        <w:jc w:val="both"/>
      </w:pPr>
      <w:r>
        <w:rPr>
          <w:sz w:val="20"/>
        </w:rPr>
        <w:t xml:space="preserve">138. Отчетная документация должна оформляться для каждого применяемого метода контроля.</w:t>
      </w:r>
    </w:p>
    <w:p>
      <w:pPr>
        <w:pStyle w:val="0"/>
        <w:spacing w:before="200" w:line-rule="auto"/>
        <w:ind w:firstLine="540"/>
        <w:jc w:val="both"/>
      </w:pPr>
      <w:r>
        <w:rPr>
          <w:sz w:val="20"/>
        </w:rPr>
        <w:t xml:space="preserve">139. Результаты контроля каждым методом оформляются протоколами, актами, заключениями или извещениями с фиксацией, как минимум, следующих данных:</w:t>
      </w:r>
    </w:p>
    <w:p>
      <w:pPr>
        <w:pStyle w:val="0"/>
        <w:spacing w:before="200" w:line-rule="auto"/>
        <w:ind w:firstLine="540"/>
        <w:jc w:val="both"/>
      </w:pPr>
      <w:r>
        <w:rPr>
          <w:sz w:val="20"/>
        </w:rPr>
        <w:t xml:space="preserve">а) наименование, шифр или обозначение (номер) изделия;</w:t>
      </w:r>
    </w:p>
    <w:p>
      <w:pPr>
        <w:pStyle w:val="0"/>
        <w:spacing w:before="200" w:line-rule="auto"/>
        <w:ind w:firstLine="540"/>
        <w:jc w:val="both"/>
      </w:pPr>
      <w:r>
        <w:rPr>
          <w:sz w:val="20"/>
        </w:rPr>
        <w:t xml:space="preserve">б) номер чертежа;</w:t>
      </w:r>
    </w:p>
    <w:p>
      <w:pPr>
        <w:pStyle w:val="0"/>
        <w:spacing w:before="200" w:line-rule="auto"/>
        <w:ind w:firstLine="540"/>
        <w:jc w:val="both"/>
      </w:pPr>
      <w:r>
        <w:rPr>
          <w:sz w:val="20"/>
        </w:rPr>
        <w:t xml:space="preserve">в) сведения о марках и плавках или партиях использованных материалов с заключением по результатам контроля их качества;</w:t>
      </w:r>
    </w:p>
    <w:p>
      <w:pPr>
        <w:pStyle w:val="0"/>
        <w:spacing w:before="200" w:line-rule="auto"/>
        <w:ind w:firstLine="540"/>
        <w:jc w:val="both"/>
      </w:pPr>
      <w:r>
        <w:rPr>
          <w:sz w:val="20"/>
        </w:rPr>
        <w:t xml:space="preserve">г) сведения о проведенной термической обработке;</w:t>
      </w:r>
    </w:p>
    <w:p>
      <w:pPr>
        <w:pStyle w:val="0"/>
        <w:spacing w:before="200" w:line-rule="auto"/>
        <w:ind w:firstLine="540"/>
        <w:jc w:val="both"/>
      </w:pPr>
      <w:r>
        <w:rPr>
          <w:sz w:val="20"/>
        </w:rPr>
        <w:t xml:space="preserve">д) метод и объем контроля;</w:t>
      </w:r>
    </w:p>
    <w:p>
      <w:pPr>
        <w:pStyle w:val="0"/>
        <w:spacing w:before="200" w:line-rule="auto"/>
        <w:ind w:firstLine="540"/>
        <w:jc w:val="both"/>
      </w:pPr>
      <w:r>
        <w:rPr>
          <w:sz w:val="20"/>
        </w:rPr>
        <w:t xml:space="preserve">е) дата проведения контроля;</w:t>
      </w:r>
    </w:p>
    <w:p>
      <w:pPr>
        <w:pStyle w:val="0"/>
        <w:spacing w:before="200" w:line-rule="auto"/>
        <w:ind w:firstLine="540"/>
        <w:jc w:val="both"/>
      </w:pPr>
      <w:r>
        <w:rPr>
          <w:sz w:val="20"/>
        </w:rPr>
        <w:t xml:space="preserve">ж) сведения о выявленных дефектах, местах их расположения;</w:t>
      </w:r>
    </w:p>
    <w:p>
      <w:pPr>
        <w:pStyle w:val="0"/>
        <w:spacing w:before="200" w:line-rule="auto"/>
        <w:ind w:firstLine="540"/>
        <w:jc w:val="both"/>
      </w:pPr>
      <w:r>
        <w:rPr>
          <w:sz w:val="20"/>
        </w:rPr>
        <w:t xml:space="preserve">з) сведения о результатах контроля после исправления дефектов;</w:t>
      </w:r>
    </w:p>
    <w:p>
      <w:pPr>
        <w:pStyle w:val="0"/>
        <w:spacing w:before="200" w:line-rule="auto"/>
        <w:ind w:firstLine="540"/>
        <w:jc w:val="both"/>
      </w:pPr>
      <w:r>
        <w:rPr>
          <w:sz w:val="20"/>
        </w:rPr>
        <w:t xml:space="preserve">и) окончательное заключение о результатах контроля.</w:t>
      </w:r>
    </w:p>
    <w:p>
      <w:pPr>
        <w:pStyle w:val="0"/>
        <w:spacing w:before="200" w:line-rule="auto"/>
        <w:ind w:firstLine="540"/>
        <w:jc w:val="both"/>
      </w:pPr>
      <w:r>
        <w:rPr>
          <w:sz w:val="20"/>
        </w:rPr>
        <w:t xml:space="preserve">140. В отчетной документации по контролю металла сварных соединений и (или) наплавленных поверхностей дополнительно должны содержаться сведения:</w:t>
      </w:r>
    </w:p>
    <w:p>
      <w:pPr>
        <w:pStyle w:val="0"/>
        <w:spacing w:before="200" w:line-rule="auto"/>
        <w:ind w:firstLine="540"/>
        <w:jc w:val="both"/>
      </w:pPr>
      <w:r>
        <w:rPr>
          <w:sz w:val="20"/>
        </w:rPr>
        <w:t xml:space="preserve">а) номера контролируемых сварных соединений и наплавок;</w:t>
      </w:r>
    </w:p>
    <w:p>
      <w:pPr>
        <w:pStyle w:val="0"/>
        <w:spacing w:before="200" w:line-rule="auto"/>
        <w:ind w:firstLine="540"/>
        <w:jc w:val="both"/>
      </w:pPr>
      <w:r>
        <w:rPr>
          <w:sz w:val="20"/>
        </w:rPr>
        <w:t xml:space="preserve">б) категории сварных соединений;</w:t>
      </w:r>
    </w:p>
    <w:p>
      <w:pPr>
        <w:pStyle w:val="0"/>
        <w:spacing w:before="200" w:line-rule="auto"/>
        <w:ind w:firstLine="540"/>
        <w:jc w:val="both"/>
      </w:pPr>
      <w:r>
        <w:rPr>
          <w:sz w:val="20"/>
        </w:rPr>
        <w:t xml:space="preserve">в) результаты испытаний производственных контрольных сварных соединений, если они были изготовлены.</w:t>
      </w:r>
    </w:p>
    <w:p>
      <w:pPr>
        <w:pStyle w:val="0"/>
        <w:spacing w:before="200" w:line-rule="auto"/>
        <w:ind w:firstLine="540"/>
        <w:jc w:val="both"/>
      </w:pPr>
      <w:r>
        <w:rPr>
          <w:sz w:val="20"/>
        </w:rPr>
        <w:t xml:space="preserve">141. Отчетная документация должна оформляться на бумажном носителе информации.</w:t>
      </w:r>
    </w:p>
    <w:p>
      <w:pPr>
        <w:pStyle w:val="0"/>
        <w:spacing w:before="200" w:line-rule="auto"/>
        <w:ind w:firstLine="540"/>
        <w:jc w:val="both"/>
      </w:pPr>
      <w:r>
        <w:rPr>
          <w:sz w:val="20"/>
        </w:rPr>
        <w:t xml:space="preserve">142. Организацией-изготовителем (монтажной организацией) должны быть обеспечены условия для хранения отчетной документации по неразрушающему и разрушающему контролю, исключающие ее утрату, порчу и несанкционированный доступ к содержащейся в ней информации в течение назначенного срока эксплуатации оборудования и трубопроводов.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w:t>
      </w:r>
    </w:p>
    <w:p>
      <w:pPr>
        <w:pStyle w:val="0"/>
        <w:jc w:val="right"/>
      </w:pPr>
      <w:r>
        <w:rPr>
          <w:sz w:val="20"/>
        </w:rPr>
        <w:t xml:space="preserve">энергии "Правила контроля металла</w:t>
      </w:r>
    </w:p>
    <w:p>
      <w:pPr>
        <w:pStyle w:val="0"/>
        <w:jc w:val="right"/>
      </w:pPr>
      <w:r>
        <w:rPr>
          <w:sz w:val="20"/>
        </w:rPr>
        <w:t xml:space="preserve">оборудования и трубопроводов</w:t>
      </w:r>
    </w:p>
    <w:p>
      <w:pPr>
        <w:pStyle w:val="0"/>
        <w:jc w:val="right"/>
      </w:pPr>
      <w:r>
        <w:rPr>
          <w:sz w:val="20"/>
        </w:rPr>
        <w:t xml:space="preserve">атомных энергетических установок</w:t>
      </w:r>
    </w:p>
    <w:p>
      <w:pPr>
        <w:pStyle w:val="0"/>
        <w:jc w:val="right"/>
      </w:pPr>
      <w:r>
        <w:rPr>
          <w:sz w:val="20"/>
        </w:rPr>
        <w:t xml:space="preserve">при изготовлении и монтаже",</w:t>
      </w:r>
    </w:p>
    <w:p>
      <w:pPr>
        <w:pStyle w:val="0"/>
        <w:jc w:val="right"/>
      </w:pPr>
      <w:r>
        <w:rPr>
          <w:sz w:val="20"/>
        </w:rPr>
        <w:t xml:space="preserve">утвержденным приказом Федеральной</w:t>
      </w:r>
    </w:p>
    <w:p>
      <w:pPr>
        <w:pStyle w:val="0"/>
        <w:jc w:val="right"/>
      </w:pPr>
      <w:r>
        <w:rPr>
          <w:sz w:val="20"/>
        </w:rPr>
        <w:t xml:space="preserve">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553</w:t>
      </w:r>
    </w:p>
    <w:p>
      <w:pPr>
        <w:pStyle w:val="0"/>
        <w:jc w:val="both"/>
      </w:pPr>
      <w:r>
        <w:rPr>
          <w:sz w:val="20"/>
        </w:rPr>
      </w:r>
    </w:p>
    <w:bookmarkStart w:id="805" w:name="P805"/>
    <w:bookmarkEnd w:id="805"/>
    <w:p>
      <w:pPr>
        <w:pStyle w:val="2"/>
        <w:jc w:val="center"/>
      </w:pPr>
      <w:r>
        <w:rPr>
          <w:sz w:val="20"/>
        </w:rPr>
        <w:t xml:space="preserve">ТЕРМИНЫ И ОПРЕДЕЛЕНИЯ</w:t>
      </w:r>
    </w:p>
    <w:p>
      <w:pPr>
        <w:pStyle w:val="0"/>
        <w:jc w:val="both"/>
      </w:pPr>
      <w:r>
        <w:rPr>
          <w:sz w:val="20"/>
        </w:rPr>
      </w:r>
    </w:p>
    <w:p>
      <w:pPr>
        <w:pStyle w:val="0"/>
        <w:ind w:firstLine="540"/>
        <w:jc w:val="both"/>
      </w:pPr>
      <w:r>
        <w:rPr>
          <w:sz w:val="20"/>
        </w:rPr>
        <w:t xml:space="preserve">1. Атомная энергетическая установка - блок атомной станции с водо-водяным реактором, либо с реактором канального типа, либо с реактором на быстрых нейтронах с жидкометаллическим натриевым теплоносителем, либо установка с исследовательским реактором указанных типов.</w:t>
      </w:r>
    </w:p>
    <w:p>
      <w:pPr>
        <w:pStyle w:val="0"/>
        <w:spacing w:before="200" w:line-rule="auto"/>
        <w:ind w:firstLine="540"/>
        <w:jc w:val="both"/>
      </w:pPr>
      <w:r>
        <w:rPr>
          <w:sz w:val="20"/>
        </w:rPr>
        <w:t xml:space="preserve">2. Включение - полость в основном или наплавленном металле или металле шва, заполненная газом, шлаком или инородным металлом.</w:t>
      </w:r>
    </w:p>
    <w:p>
      <w:pPr>
        <w:pStyle w:val="0"/>
        <w:spacing w:before="200" w:line-rule="auto"/>
        <w:ind w:firstLine="540"/>
        <w:jc w:val="both"/>
      </w:pPr>
      <w:r>
        <w:rPr>
          <w:sz w:val="20"/>
        </w:rPr>
        <w:t xml:space="preserve">2.1. Максимальный размер одиночного включения a - наибольшее расстояние между двумя точками внешнего контура включения (рисунок 1.1).</w:t>
      </w:r>
    </w:p>
    <w:p>
      <w:pPr>
        <w:pStyle w:val="0"/>
        <w:jc w:val="both"/>
      </w:pPr>
      <w:r>
        <w:rPr>
          <w:sz w:val="20"/>
        </w:rPr>
      </w:r>
    </w:p>
    <w:p>
      <w:pPr>
        <w:pStyle w:val="0"/>
        <w:jc w:val="center"/>
      </w:pPr>
      <w:r>
        <w:rPr>
          <w:position w:val="-254"/>
        </w:rPr>
        <w:drawing>
          <wp:inline distT="0" distB="0" distL="0" distR="0">
            <wp:extent cx="1813560" cy="33648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813560" cy="3364865"/>
                    </a:xfrm>
                    <a:prstGeom prst="rect">
                      <a:avLst/>
                    </a:prstGeom>
                    <a:noFill/>
                    <a:ln>
                      <a:noFill/>
                    </a:ln>
                  </pic:spPr>
                </pic:pic>
              </a:graphicData>
            </a:graphic>
          </wp:inline>
        </w:drawing>
      </w:r>
    </w:p>
    <w:p>
      <w:pPr>
        <w:pStyle w:val="0"/>
        <w:jc w:val="both"/>
      </w:pPr>
      <w:r>
        <w:rPr>
          <w:sz w:val="20"/>
        </w:rPr>
      </w:r>
    </w:p>
    <w:bookmarkStart w:id="813" w:name="P813"/>
    <w:bookmarkEnd w:id="813"/>
    <w:p>
      <w:pPr>
        <w:pStyle w:val="0"/>
        <w:jc w:val="center"/>
      </w:pPr>
      <w:r>
        <w:rPr>
          <w:sz w:val="20"/>
        </w:rPr>
        <w:t xml:space="preserve">Рисунок 1.1. Максимальные размер a и ширина b включения</w:t>
      </w:r>
    </w:p>
    <w:p>
      <w:pPr>
        <w:pStyle w:val="0"/>
        <w:jc w:val="both"/>
      </w:pPr>
      <w:r>
        <w:rPr>
          <w:sz w:val="20"/>
        </w:rPr>
      </w:r>
    </w:p>
    <w:p>
      <w:pPr>
        <w:pStyle w:val="0"/>
        <w:ind w:firstLine="540"/>
        <w:jc w:val="both"/>
      </w:pPr>
      <w:r>
        <w:rPr>
          <w:sz w:val="20"/>
        </w:rPr>
        <w:t xml:space="preserve">2.2. Максимальная ширина включения b - наибольшее расстояние между двумя точками внешнего контура включения, измеренное в направлении, перпендикулярном наибольшему размеру включения </w:t>
      </w:r>
      <w:hyperlink w:history="0" w:anchor="P813" w:tooltip="Рисунок 1.1. Максимальные размер a и ширина b включения">
        <w:r>
          <w:rPr>
            <w:sz w:val="20"/>
            <w:color w:val="0000ff"/>
          </w:rPr>
          <w:t xml:space="preserve">(рисунок 1.1)</w:t>
        </w:r>
      </w:hyperlink>
      <w:r>
        <w:rPr>
          <w:sz w:val="20"/>
        </w:rPr>
        <w:t xml:space="preserve">.</w:t>
      </w:r>
    </w:p>
    <w:p>
      <w:pPr>
        <w:pStyle w:val="0"/>
        <w:spacing w:before="200" w:line-rule="auto"/>
        <w:ind w:firstLine="540"/>
        <w:jc w:val="both"/>
      </w:pPr>
      <w:r>
        <w:rPr>
          <w:sz w:val="20"/>
        </w:rPr>
        <w:t xml:space="preserve">2.3. Включение одиночное - включение, минимальное расстояние L от края которого до края любого другого соседнего включения не менее максимальной ширины каждого из рассматриваемых включений, но не менее трехкратного максимального размера включения с меньшим значением этого показания (из двух рассматриваемых) (рисунок 1.2).</w:t>
      </w:r>
    </w:p>
    <w:p>
      <w:pPr>
        <w:pStyle w:val="0"/>
        <w:jc w:val="both"/>
      </w:pPr>
      <w:r>
        <w:rPr>
          <w:sz w:val="20"/>
        </w:rPr>
      </w:r>
    </w:p>
    <w:p>
      <w:pPr>
        <w:pStyle w:val="0"/>
        <w:jc w:val="center"/>
      </w:pPr>
      <w:r>
        <w:rPr>
          <w:position w:val="-335"/>
        </w:rPr>
        <w:drawing>
          <wp:inline distT="0" distB="0" distL="0" distR="0">
            <wp:extent cx="3084830" cy="4392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a:extLst>
                        <a:ext uri="{28A0092B-C50C-407E-A947-70E740481C1C}">
                          <a14:useLocalDpi xmlns:a14="http://schemas.microsoft.com/office/drawing/2010/main" val="0"/>
                        </a:ext>
                      </a:extLst>
                    </a:blip>
                    <a:srcRect/>
                    <a:stretch>
                      <a:fillRect/>
                    </a:stretch>
                  </pic:blipFill>
                  <pic:spPr bwMode="auto">
                    <a:xfrm>
                      <a:off x="0" y="0"/>
                      <a:ext cx="3084830" cy="4392295"/>
                    </a:xfrm>
                    <a:prstGeom prst="rect">
                      <a:avLst/>
                    </a:prstGeom>
                    <a:noFill/>
                    <a:ln>
                      <a:noFill/>
                    </a:ln>
                  </pic:spPr>
                </pic:pic>
              </a:graphicData>
            </a:graphic>
          </wp:inline>
        </w:drawing>
      </w:r>
    </w:p>
    <w:p>
      <w:pPr>
        <w:pStyle w:val="0"/>
        <w:jc w:val="both"/>
      </w:pPr>
      <w:r>
        <w:rPr>
          <w:sz w:val="20"/>
        </w:rPr>
      </w:r>
    </w:p>
    <w:p>
      <w:pPr>
        <w:pStyle w:val="0"/>
        <w:jc w:val="center"/>
      </w:pPr>
      <w:r>
        <w:rPr>
          <w:sz w:val="20"/>
        </w:rPr>
        <w:t xml:space="preserve">Рисунок 1.2. Условия одиночности</w:t>
      </w:r>
    </w:p>
    <w:p>
      <w:pPr>
        <w:pStyle w:val="0"/>
        <w:jc w:val="center"/>
      </w:pPr>
      <w:r>
        <w:rPr>
          <w:sz w:val="20"/>
        </w:rPr>
        <w:t xml:space="preserve">двух рассматриваемых включений:</w:t>
      </w:r>
    </w:p>
    <w:p>
      <w:pPr>
        <w:pStyle w:val="0"/>
        <w:jc w:val="center"/>
      </w:pPr>
      <w:r>
        <w:rPr>
          <w:sz w:val="20"/>
        </w:rPr>
        <w:t xml:space="preserve">а) L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b</w:t>
      </w:r>
      <w:r>
        <w:rPr>
          <w:sz w:val="20"/>
          <w:vertAlign w:val="subscript"/>
        </w:rPr>
        <w:t xml:space="preserve">1</w:t>
      </w:r>
      <w:r>
        <w:rPr>
          <w:sz w:val="20"/>
        </w:rPr>
        <w:t xml:space="preserve">; L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3a</w:t>
      </w:r>
      <w:r>
        <w:rPr>
          <w:sz w:val="20"/>
          <w:vertAlign w:val="subscript"/>
        </w:rPr>
        <w:t xml:space="preserve">2</w:t>
      </w:r>
      <w:r>
        <w:rPr>
          <w:sz w:val="20"/>
        </w:rPr>
        <w:t xml:space="preserve">; a</w:t>
      </w:r>
      <w:r>
        <w:rPr>
          <w:sz w:val="20"/>
          <w:vertAlign w:val="subscript"/>
        </w:rPr>
        <w:t xml:space="preserve">1</w:t>
      </w:r>
      <w:r>
        <w:rPr>
          <w:sz w:val="20"/>
        </w:rPr>
        <w:t xml:space="preserve"> &gt; a</w:t>
      </w:r>
      <w:r>
        <w:rPr>
          <w:sz w:val="20"/>
          <w:vertAlign w:val="subscript"/>
        </w:rPr>
        <w:t xml:space="preserve">2</w:t>
      </w:r>
      <w:r>
        <w:rPr>
          <w:sz w:val="20"/>
        </w:rPr>
        <w:t xml:space="preserve">; b</w:t>
      </w:r>
      <w:r>
        <w:rPr>
          <w:sz w:val="20"/>
          <w:vertAlign w:val="subscript"/>
        </w:rPr>
        <w:t xml:space="preserve">1</w:t>
      </w:r>
      <w:r>
        <w:rPr>
          <w:sz w:val="20"/>
        </w:rPr>
        <w:t xml:space="preserve"> &gt; b</w:t>
      </w:r>
      <w:r>
        <w:rPr>
          <w:sz w:val="20"/>
          <w:vertAlign w:val="subscript"/>
        </w:rPr>
        <w:t xml:space="preserve">2</w:t>
      </w:r>
      <w:r>
        <w:rPr>
          <w:sz w:val="20"/>
        </w:rPr>
        <w:t xml:space="preserve">;</w:t>
      </w:r>
    </w:p>
    <w:p>
      <w:pPr>
        <w:pStyle w:val="0"/>
        <w:jc w:val="center"/>
      </w:pPr>
      <w:r>
        <w:rPr>
          <w:sz w:val="20"/>
        </w:rPr>
        <w:t xml:space="preserve">б) L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3a</w:t>
      </w:r>
      <w:r>
        <w:rPr>
          <w:sz w:val="20"/>
          <w:vertAlign w:val="subscript"/>
        </w:rPr>
        <w:t xml:space="preserve">1</w:t>
      </w:r>
      <w:r>
        <w:rPr>
          <w:sz w:val="20"/>
        </w:rPr>
        <w:t xml:space="preserve">; b</w:t>
      </w:r>
      <w:r>
        <w:rPr>
          <w:sz w:val="20"/>
          <w:vertAlign w:val="subscript"/>
        </w:rPr>
        <w:t xml:space="preserve">1</w:t>
      </w:r>
      <w:r>
        <w:rPr>
          <w:sz w:val="20"/>
        </w:rPr>
        <w:t xml:space="preserve">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a</w:t>
      </w:r>
      <w:r>
        <w:rPr>
          <w:sz w:val="20"/>
          <w:vertAlign w:val="subscript"/>
        </w:rPr>
        <w:t xml:space="preserve">1</w:t>
      </w:r>
      <w:r>
        <w:rPr>
          <w:sz w:val="20"/>
        </w:rPr>
        <w:t xml:space="preserve">; a</w:t>
      </w:r>
      <w:r>
        <w:rPr>
          <w:sz w:val="20"/>
          <w:vertAlign w:val="subscript"/>
        </w:rPr>
        <w:t xml:space="preserve">1</w:t>
      </w:r>
      <w:r>
        <w:rPr>
          <w:sz w:val="20"/>
        </w:rPr>
        <w:t xml:space="preserve"> &gt; a</w:t>
      </w:r>
      <w:r>
        <w:rPr>
          <w:sz w:val="20"/>
          <w:vertAlign w:val="subscript"/>
        </w:rPr>
        <w:t xml:space="preserve">2</w:t>
      </w:r>
      <w:r>
        <w:rPr>
          <w:sz w:val="20"/>
        </w:rPr>
        <w:t xml:space="preserve">; b</w:t>
      </w:r>
      <w:r>
        <w:rPr>
          <w:sz w:val="20"/>
          <w:vertAlign w:val="subscript"/>
        </w:rPr>
        <w:t xml:space="preserve">1</w:t>
      </w:r>
      <w:r>
        <w:rPr>
          <w:sz w:val="20"/>
        </w:rPr>
        <w:t xml:space="preserve"> &gt; b</w:t>
      </w:r>
      <w:r>
        <w:rPr>
          <w:sz w:val="20"/>
          <w:vertAlign w:val="subscript"/>
        </w:rPr>
        <w:t xml:space="preserve">2</w:t>
      </w:r>
      <w:r>
        <w:rPr>
          <w:sz w:val="20"/>
        </w:rPr>
        <w:t xml:space="preserve">;</w:t>
      </w:r>
    </w:p>
    <w:p>
      <w:pPr>
        <w:pStyle w:val="0"/>
        <w:jc w:val="center"/>
      </w:pPr>
      <w:r>
        <w:rPr>
          <w:sz w:val="20"/>
        </w:rPr>
        <w:t xml:space="preserve">в) L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3a</w:t>
      </w:r>
      <w:r>
        <w:rPr>
          <w:sz w:val="20"/>
          <w:vertAlign w:val="subscript"/>
        </w:rPr>
        <w:t xml:space="preserve">2</w:t>
      </w:r>
      <w:r>
        <w:rPr>
          <w:sz w:val="20"/>
        </w:rPr>
        <w:t xml:space="preserve">; b</w:t>
      </w:r>
      <w:r>
        <w:rPr>
          <w:sz w:val="20"/>
          <w:vertAlign w:val="subscript"/>
        </w:rPr>
        <w:t xml:space="preserve">2</w:t>
      </w:r>
      <w:r>
        <w:rPr>
          <w:sz w:val="20"/>
        </w:rPr>
        <w:t xml:space="preserve">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a</w:t>
      </w:r>
      <w:r>
        <w:rPr>
          <w:sz w:val="20"/>
          <w:vertAlign w:val="subscript"/>
        </w:rPr>
        <w:t xml:space="preserve">2</w:t>
      </w:r>
      <w:r>
        <w:rPr>
          <w:sz w:val="20"/>
        </w:rPr>
        <w:t xml:space="preserve">; a</w:t>
      </w:r>
      <w:r>
        <w:rPr>
          <w:sz w:val="20"/>
          <w:vertAlign w:val="subscript"/>
        </w:rPr>
        <w:t xml:space="preserve">1</w:t>
      </w:r>
      <w:r>
        <w:rPr>
          <w:sz w:val="20"/>
        </w:rPr>
        <w:t xml:space="preserve"> &gt; a</w:t>
      </w:r>
      <w:r>
        <w:rPr>
          <w:sz w:val="20"/>
          <w:vertAlign w:val="subscript"/>
        </w:rPr>
        <w:t xml:space="preserve">2</w:t>
      </w:r>
      <w:r>
        <w:rPr>
          <w:sz w:val="20"/>
        </w:rPr>
        <w:t xml:space="preserve">; b</w:t>
      </w:r>
      <w:r>
        <w:rPr>
          <w:sz w:val="20"/>
          <w:vertAlign w:val="subscript"/>
        </w:rPr>
        <w:t xml:space="preserve">1</w:t>
      </w:r>
      <w:r>
        <w:rPr>
          <w:sz w:val="20"/>
        </w:rPr>
        <w:t xml:space="preserve"> &gt; b</w:t>
      </w:r>
      <w:r>
        <w:rPr>
          <w:sz w:val="20"/>
          <w:vertAlign w:val="subscript"/>
        </w:rPr>
        <w:t xml:space="preserve">2</w:t>
      </w:r>
    </w:p>
    <w:p>
      <w:pPr>
        <w:pStyle w:val="0"/>
        <w:jc w:val="both"/>
      </w:pPr>
      <w:r>
        <w:rPr>
          <w:sz w:val="20"/>
        </w:rPr>
      </w:r>
    </w:p>
    <w:p>
      <w:pPr>
        <w:pStyle w:val="0"/>
        <w:ind w:firstLine="540"/>
        <w:jc w:val="both"/>
      </w:pPr>
      <w:r>
        <w:rPr>
          <w:sz w:val="20"/>
        </w:rPr>
        <w:t xml:space="preserve">2.4. Включения одиночные мелкие (при радиографическом контроле) - включения, допустимость которых устанавливается в зависимости от их размеров, а также от общего числа и суммарной приведенной площади одиночных мелких включений и одиночных скоплений.</w:t>
      </w:r>
    </w:p>
    <w:p>
      <w:pPr>
        <w:pStyle w:val="0"/>
        <w:spacing w:before="200" w:line-rule="auto"/>
        <w:ind w:firstLine="540"/>
        <w:jc w:val="both"/>
      </w:pPr>
      <w:r>
        <w:rPr>
          <w:sz w:val="20"/>
        </w:rPr>
        <w:t xml:space="preserve">2.5. Включения одиночные крупные (при радиографическом контроле) - включения, максимальный размер которых превышает допустимый размер одиночных мелких включений, а допустимость устанавливается только в зависимости от размеров и числа без учета их площади при подсчете суммарной приведенной площади и без включения их в общее число одиночных мелких включений и одиночных скоплений.</w:t>
      </w:r>
    </w:p>
    <w:p>
      <w:pPr>
        <w:pStyle w:val="0"/>
        <w:spacing w:before="200" w:line-rule="auto"/>
        <w:ind w:firstLine="540"/>
        <w:jc w:val="both"/>
      </w:pPr>
      <w:r>
        <w:rPr>
          <w:sz w:val="20"/>
        </w:rPr>
        <w:t xml:space="preserve">3. Вогнутость корня шва - углубление на поверхности сварного соединения с односторонним швом в месте расположения его корня (оценивается по максимальной глубине расположения поверхности корня шва от уровня расположения поверхностей сваренных деталей).</w:t>
      </w:r>
    </w:p>
    <w:p>
      <w:pPr>
        <w:pStyle w:val="0"/>
        <w:spacing w:before="200" w:line-rule="auto"/>
        <w:ind w:firstLine="540"/>
        <w:jc w:val="both"/>
      </w:pPr>
      <w:r>
        <w:rPr>
          <w:sz w:val="20"/>
        </w:rPr>
        <w:t xml:space="preserve">4. Вогнутость углового шва - максимальное расстояние от поверхности шва до линии, соединяющей края его поверхности в одном поперечном сечении (оценивается по максимальной глубине расположения поверхности шва под указанной линией).</w:t>
      </w:r>
    </w:p>
    <w:p>
      <w:pPr>
        <w:pStyle w:val="0"/>
        <w:spacing w:before="200" w:line-rule="auto"/>
        <w:ind w:firstLine="540"/>
        <w:jc w:val="both"/>
      </w:pPr>
      <w:r>
        <w:rPr>
          <w:sz w:val="20"/>
        </w:rPr>
        <w:t xml:space="preserve">5. Выпуклость (превышение проплавления) корня шва - часть одностороннего сварного шва со стороны его корня, выступающая над уровнем расположения поверхностей сваренных деталей (оценивается по максимальной высоте расположения поверхности корня шва над указанным уровнем).</w:t>
      </w:r>
    </w:p>
    <w:p>
      <w:pPr>
        <w:pStyle w:val="0"/>
        <w:spacing w:before="200" w:line-rule="auto"/>
        <w:ind w:firstLine="540"/>
        <w:jc w:val="both"/>
      </w:pPr>
      <w:r>
        <w:rPr>
          <w:sz w:val="20"/>
        </w:rPr>
        <w:t xml:space="preserve">6. Выпуклость стыкового шва - часть стыкового сварного шва, выступающая над уровнем расположения поверхностей сваренных деталей (оценивается по максимальной высоте расположения поверхности шва над указанной линией).</w:t>
      </w:r>
    </w:p>
    <w:p>
      <w:pPr>
        <w:pStyle w:val="0"/>
        <w:spacing w:before="200" w:line-rule="auto"/>
        <w:ind w:firstLine="540"/>
        <w:jc w:val="both"/>
      </w:pPr>
      <w:r>
        <w:rPr>
          <w:sz w:val="20"/>
        </w:rPr>
        <w:t xml:space="preserve">7. Выпуклость углового шва - часть углового сварного шва, выступающая над линией, соединяющей края его поверхности в одном поперечном сечении (оценивается по максимальной высоте расположения поверхности над указанной линией).</w:t>
      </w:r>
    </w:p>
    <w:p>
      <w:pPr>
        <w:pStyle w:val="0"/>
        <w:spacing w:before="200" w:line-rule="auto"/>
        <w:ind w:firstLine="540"/>
        <w:jc w:val="both"/>
      </w:pPr>
      <w:r>
        <w:rPr>
          <w:sz w:val="20"/>
        </w:rPr>
        <w:t xml:space="preserve">8. Индикаторный след:</w:t>
      </w:r>
    </w:p>
    <w:p>
      <w:pPr>
        <w:pStyle w:val="0"/>
        <w:spacing w:before="200" w:line-rule="auto"/>
        <w:ind w:firstLine="540"/>
        <w:jc w:val="both"/>
      </w:pPr>
      <w:r>
        <w:rPr>
          <w:sz w:val="20"/>
        </w:rPr>
        <w:t xml:space="preserve">а) при капиллярном контроле - след, образованный индикаторным пенетрантом на слое проявителя;</w:t>
      </w:r>
    </w:p>
    <w:p>
      <w:pPr>
        <w:pStyle w:val="0"/>
        <w:spacing w:before="200" w:line-rule="auto"/>
        <w:ind w:firstLine="540"/>
        <w:jc w:val="both"/>
      </w:pPr>
      <w:r>
        <w:rPr>
          <w:sz w:val="20"/>
        </w:rPr>
        <w:t xml:space="preserve">б) при контроле магнитопорошковым методом - видимая длина валика осаждения магнитного порошка над несплошностью.</w:t>
      </w:r>
    </w:p>
    <w:p>
      <w:pPr>
        <w:pStyle w:val="0"/>
        <w:spacing w:before="200" w:line-rule="auto"/>
        <w:ind w:firstLine="540"/>
        <w:jc w:val="both"/>
      </w:pPr>
      <w:r>
        <w:rPr>
          <w:sz w:val="20"/>
        </w:rPr>
        <w:t xml:space="preserve">9. Контрольное сварное соединение - сварное соединение, выполняемое при проведении металлографических исследований производственных сварных соединений.</w:t>
      </w:r>
    </w:p>
    <w:p>
      <w:pPr>
        <w:pStyle w:val="0"/>
        <w:spacing w:before="200" w:line-rule="auto"/>
        <w:ind w:firstLine="540"/>
        <w:jc w:val="both"/>
      </w:pPr>
      <w:r>
        <w:rPr>
          <w:sz w:val="20"/>
        </w:rPr>
        <w:t xml:space="preserve">10. Кромка сварного шва - торцевая поверхность детали после механической обработки до заданных конструкторской документацией размеров разделки сварного шва.</w:t>
      </w:r>
    </w:p>
    <w:p>
      <w:pPr>
        <w:pStyle w:val="0"/>
        <w:spacing w:before="200" w:line-rule="auto"/>
        <w:ind w:firstLine="540"/>
        <w:jc w:val="both"/>
      </w:pPr>
      <w:r>
        <w:rPr>
          <w:sz w:val="20"/>
        </w:rPr>
        <w:t xml:space="preserve">11. Наплыв - дефект в виде металла, натекшего в процессе сварки (наплавки) на поверхность основного металла, но не сплавленный с ним.</w:t>
      </w:r>
    </w:p>
    <w:p>
      <w:pPr>
        <w:pStyle w:val="0"/>
        <w:spacing w:before="200" w:line-rule="auto"/>
        <w:ind w:firstLine="540"/>
        <w:jc w:val="both"/>
      </w:pPr>
      <w:r>
        <w:rPr>
          <w:sz w:val="20"/>
        </w:rPr>
        <w:t xml:space="preserve">12. Непровар - несплавление в сварном соединении или наплавленной детали между основным металлом и металлом шва (наплавленным металлом) или между отдельными валиками.</w:t>
      </w:r>
    </w:p>
    <w:p>
      <w:pPr>
        <w:pStyle w:val="0"/>
        <w:spacing w:before="200" w:line-rule="auto"/>
        <w:ind w:firstLine="540"/>
        <w:jc w:val="both"/>
      </w:pPr>
      <w:r>
        <w:rPr>
          <w:sz w:val="20"/>
        </w:rPr>
        <w:t xml:space="preserve">13. Несплошность - нарушение однородности материала, вызывающее скачкообразное изменение одной или нескольких физических характеристик, определяемых методами неразрушающего контроля. Несплошность - обобщенное наименование трещин, отслоений, прожогов, свищей, пор, непроваров и включений.</w:t>
      </w:r>
    </w:p>
    <w:p>
      <w:pPr>
        <w:pStyle w:val="0"/>
        <w:spacing w:before="200" w:line-rule="auto"/>
        <w:ind w:firstLine="540"/>
        <w:jc w:val="both"/>
      </w:pPr>
      <w:r>
        <w:rPr>
          <w:sz w:val="20"/>
        </w:rPr>
        <w:t xml:space="preserve">14. Номинальная толщина основного металла наплавленной детали - указанная в конструкторской документации (без учета допусков) толщина основного металла детали.</w:t>
      </w:r>
    </w:p>
    <w:p>
      <w:pPr>
        <w:pStyle w:val="0"/>
        <w:spacing w:before="200" w:line-rule="auto"/>
        <w:ind w:firstLine="540"/>
        <w:jc w:val="both"/>
      </w:pPr>
      <w:r>
        <w:rPr>
          <w:sz w:val="20"/>
        </w:rPr>
        <w:t xml:space="preserve">15. Номинальная толщина сваренных деталей - указанная в конструкторской документации (без учета допусков) толщина основного металла деталей в зоне, примыкающей к сварному шву.</w:t>
      </w:r>
    </w:p>
    <w:p>
      <w:pPr>
        <w:pStyle w:val="0"/>
        <w:spacing w:before="200" w:line-rule="auto"/>
        <w:ind w:firstLine="540"/>
        <w:jc w:val="both"/>
      </w:pPr>
      <w:r>
        <w:rPr>
          <w:sz w:val="20"/>
        </w:rPr>
        <w:t xml:space="preserve">16. Отслоение - дефект в виде нарушения сплошности сплавления наплавленного металла с основным на деталях (изделиях) с антикоррозионной наплавкой или с предварительно наплавленными кромками, а также на других наплавленных деталях.</w:t>
      </w:r>
    </w:p>
    <w:p>
      <w:pPr>
        <w:pStyle w:val="0"/>
        <w:spacing w:before="200" w:line-rule="auto"/>
        <w:ind w:firstLine="540"/>
        <w:jc w:val="both"/>
      </w:pPr>
      <w:r>
        <w:rPr>
          <w:sz w:val="20"/>
        </w:rPr>
        <w:t xml:space="preserve">17. Подрез - углубление в виде канавки на границе поверхности сварного шва с основным металлом или на границе поверхностей двух соседних валиков.</w:t>
      </w:r>
    </w:p>
    <w:p>
      <w:pPr>
        <w:pStyle w:val="0"/>
        <w:spacing w:before="200" w:line-rule="auto"/>
        <w:ind w:firstLine="540"/>
        <w:jc w:val="both"/>
      </w:pPr>
      <w:r>
        <w:rPr>
          <w:sz w:val="20"/>
        </w:rPr>
        <w:t xml:space="preserve">18. Приведенная площадь включения или скопления (при радиографическом контроле) - произведение максимального размера включения (скопления) на его максимальную ширину (учитывается для одиночных малых включений и одиночных скоплений).</w:t>
      </w:r>
    </w:p>
    <w:p>
      <w:pPr>
        <w:pStyle w:val="0"/>
        <w:spacing w:before="200" w:line-rule="auto"/>
        <w:ind w:firstLine="540"/>
        <w:jc w:val="both"/>
      </w:pPr>
      <w:r>
        <w:rPr>
          <w:sz w:val="20"/>
        </w:rPr>
        <w:t xml:space="preserve">19. Прожог - дефект в виде сквозного отверстия в сварном шве, образовавшегося вследствие вытекания части жидкого металла сварочной ванны в процессе выполнения сварки.</w:t>
      </w:r>
    </w:p>
    <w:p>
      <w:pPr>
        <w:pStyle w:val="0"/>
        <w:spacing w:before="200" w:line-rule="auto"/>
        <w:ind w:firstLine="540"/>
        <w:jc w:val="both"/>
      </w:pPr>
      <w:r>
        <w:rPr>
          <w:sz w:val="20"/>
        </w:rPr>
        <w:t xml:space="preserve">20. Производственное контрольное сварное соединение - сварное соединение, выполняемое с целью проверки соответствия характеристик металла производственных сварных соединений установленным требованиям.</w:t>
      </w:r>
    </w:p>
    <w:p>
      <w:pPr>
        <w:pStyle w:val="0"/>
        <w:spacing w:before="200" w:line-rule="auto"/>
        <w:ind w:firstLine="540"/>
        <w:jc w:val="both"/>
      </w:pPr>
      <w:r>
        <w:rPr>
          <w:sz w:val="20"/>
        </w:rPr>
        <w:t xml:space="preserve">21. Радиационная толщина - суммарная длина участков оси рабочего пучка направленного первичного ионизирующего излучения в материале контролируемого объекта.</w:t>
      </w:r>
    </w:p>
    <w:p>
      <w:pPr>
        <w:pStyle w:val="0"/>
        <w:spacing w:before="200" w:line-rule="auto"/>
        <w:ind w:firstLine="540"/>
        <w:jc w:val="both"/>
      </w:pPr>
      <w:r>
        <w:rPr>
          <w:sz w:val="20"/>
        </w:rPr>
        <w:t xml:space="preserve">22. Расчетная высота углового шва - указанный в конструкторской документации размер h перпендикуляра, опущенного из точки сопряжения сваренных деталей (точки 0) на прямую линию, соединяющую края его поверхности в одном поперечном сечении (при выпуклом угловом шве), или на параллельную указанной линии касательную к поверхности сварного шва (при вогнутом угловом шве) </w:t>
      </w:r>
      <w:hyperlink w:history="0" w:anchor="P854" w:tooltip="Рисунок 1.3. Расчетная высота углового шва">
        <w:r>
          <w:rPr>
            <w:sz w:val="20"/>
            <w:color w:val="0000ff"/>
          </w:rPr>
          <w:t xml:space="preserve">(рисунок 1.3)</w:t>
        </w:r>
      </w:hyperlink>
      <w:r>
        <w:rPr>
          <w:sz w:val="20"/>
        </w:rPr>
        <w:t xml:space="preserve">.</w:t>
      </w:r>
    </w:p>
    <w:p>
      <w:pPr>
        <w:pStyle w:val="0"/>
        <w:spacing w:before="200" w:line-rule="auto"/>
        <w:ind w:firstLine="540"/>
        <w:jc w:val="both"/>
      </w:pPr>
      <w:r>
        <w:rPr>
          <w:sz w:val="20"/>
        </w:rPr>
        <w:t xml:space="preserve">Для двустороннего углового шва его расчетная высота определяется как сумма расчетных высот (h1 + h2) его частей, выполненных с разных сторон.</w:t>
      </w:r>
    </w:p>
    <w:p>
      <w:pPr>
        <w:pStyle w:val="0"/>
        <w:jc w:val="both"/>
      </w:pPr>
      <w:r>
        <w:rPr>
          <w:sz w:val="20"/>
        </w:rPr>
      </w:r>
    </w:p>
    <w:p>
      <w:pPr>
        <w:pStyle w:val="0"/>
        <w:jc w:val="center"/>
      </w:pPr>
      <w:r>
        <w:rPr>
          <w:position w:val="-321"/>
        </w:rPr>
        <w:drawing>
          <wp:inline distT="0" distB="0" distL="0" distR="0">
            <wp:extent cx="4270375" cy="42094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4270375" cy="4209415"/>
                    </a:xfrm>
                    <a:prstGeom prst="rect">
                      <a:avLst/>
                    </a:prstGeom>
                    <a:noFill/>
                    <a:ln>
                      <a:noFill/>
                    </a:ln>
                  </pic:spPr>
                </pic:pic>
              </a:graphicData>
            </a:graphic>
          </wp:inline>
        </w:drawing>
      </w:r>
    </w:p>
    <w:p>
      <w:pPr>
        <w:pStyle w:val="0"/>
        <w:jc w:val="both"/>
      </w:pPr>
      <w:r>
        <w:rPr>
          <w:sz w:val="20"/>
        </w:rPr>
      </w:r>
    </w:p>
    <w:bookmarkStart w:id="854" w:name="P854"/>
    <w:bookmarkEnd w:id="854"/>
    <w:p>
      <w:pPr>
        <w:pStyle w:val="0"/>
        <w:jc w:val="center"/>
      </w:pPr>
      <w:r>
        <w:rPr>
          <w:sz w:val="20"/>
        </w:rPr>
        <w:t xml:space="preserve">Рисунок 1.3. Расчетная высота углового шва</w:t>
      </w:r>
    </w:p>
    <w:p>
      <w:pPr>
        <w:pStyle w:val="0"/>
        <w:jc w:val="both"/>
      </w:pPr>
      <w:r>
        <w:rPr>
          <w:sz w:val="20"/>
        </w:rPr>
      </w:r>
    </w:p>
    <w:p>
      <w:pPr>
        <w:pStyle w:val="0"/>
        <w:ind w:firstLine="540"/>
        <w:jc w:val="both"/>
      </w:pPr>
      <w:r>
        <w:rPr>
          <w:sz w:val="20"/>
        </w:rPr>
        <w:t xml:space="preserve">23. Свищ - дефект в виде воронкообразного или трубчатого углубления в сварном шве.</w:t>
      </w:r>
    </w:p>
    <w:p>
      <w:pPr>
        <w:pStyle w:val="0"/>
        <w:spacing w:before="200" w:line-rule="auto"/>
        <w:ind w:firstLine="540"/>
        <w:jc w:val="both"/>
      </w:pPr>
      <w:r>
        <w:rPr>
          <w:sz w:val="20"/>
        </w:rPr>
        <w:t xml:space="preserve">24. Скопление - два или несколько включений (пор, шлаковых и вольфрамовых включений) с наибольшим размером более 0,2 мм (рисунок 1.4 а), минимальное расстояние между краями которых меньше установленного для одиночных включений, но не менее максимальной ширины каждого из двух рассматриваемых любых соседних включений. При оценке расстояний между скоплениями и включениями скопление рассматривается как одиночное включение.</w:t>
      </w:r>
    </w:p>
    <w:p>
      <w:pPr>
        <w:pStyle w:val="0"/>
        <w:jc w:val="both"/>
      </w:pPr>
      <w:r>
        <w:rPr>
          <w:sz w:val="20"/>
        </w:rPr>
      </w:r>
    </w:p>
    <w:p>
      <w:pPr>
        <w:pStyle w:val="0"/>
        <w:jc w:val="center"/>
      </w:pPr>
      <w:r>
        <w:rPr>
          <w:position w:val="-170"/>
        </w:rPr>
        <w:drawing>
          <wp:inline distT="0" distB="0" distL="0" distR="0">
            <wp:extent cx="5041265" cy="22980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5041265" cy="2298065"/>
                    </a:xfrm>
                    <a:prstGeom prst="rect">
                      <a:avLst/>
                    </a:prstGeom>
                    <a:noFill/>
                    <a:ln>
                      <a:noFill/>
                    </a:ln>
                  </pic:spPr>
                </pic:pic>
              </a:graphicData>
            </a:graphic>
          </wp:inline>
        </w:drawing>
      </w:r>
    </w:p>
    <w:p>
      <w:pPr>
        <w:pStyle w:val="0"/>
        <w:jc w:val="both"/>
      </w:pPr>
      <w:r>
        <w:rPr>
          <w:sz w:val="20"/>
        </w:rPr>
      </w:r>
    </w:p>
    <w:bookmarkStart w:id="861" w:name="P861"/>
    <w:bookmarkEnd w:id="861"/>
    <w:p>
      <w:pPr>
        <w:pStyle w:val="0"/>
        <w:jc w:val="center"/>
      </w:pPr>
      <w:r>
        <w:rPr>
          <w:sz w:val="20"/>
        </w:rPr>
        <w:t xml:space="preserve">Рисунок 1.4. Скопление</w:t>
      </w:r>
    </w:p>
    <w:p>
      <w:pPr>
        <w:pStyle w:val="0"/>
        <w:jc w:val="center"/>
      </w:pPr>
      <w:r>
        <w:rPr>
          <w:sz w:val="20"/>
        </w:rPr>
        <w:t xml:space="preserve">(A - максимальный размер скопления;</w:t>
      </w:r>
    </w:p>
    <w:p>
      <w:pPr>
        <w:pStyle w:val="0"/>
        <w:jc w:val="center"/>
      </w:pPr>
      <w:r>
        <w:rPr>
          <w:sz w:val="20"/>
        </w:rPr>
        <w:t xml:space="preserve">B - максимальная ширина скопления):</w:t>
      </w:r>
    </w:p>
    <w:p>
      <w:pPr>
        <w:pStyle w:val="0"/>
        <w:jc w:val="center"/>
      </w:pPr>
      <w:r>
        <w:rPr>
          <w:sz w:val="20"/>
        </w:rPr>
        <w:t xml:space="preserve">3b</w:t>
      </w:r>
      <w:r>
        <w:rPr>
          <w:sz w:val="20"/>
          <w:vertAlign w:val="subscript"/>
        </w:rPr>
        <w:t xml:space="preserve">1</w:t>
      </w:r>
      <w:r>
        <w:rPr>
          <w:sz w:val="20"/>
        </w:rPr>
        <w:t xml:space="preserve"> &gt; L</w:t>
      </w:r>
      <w:r>
        <w:rPr>
          <w:sz w:val="20"/>
          <w:vertAlign w:val="subscript"/>
        </w:rPr>
        <w:t xml:space="preserve">1-2</w:t>
      </w:r>
      <w:r>
        <w:rPr>
          <w:sz w:val="20"/>
        </w:rPr>
        <w:t xml:space="preserve">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b</w:t>
      </w:r>
      <w:r>
        <w:rPr>
          <w:sz w:val="20"/>
          <w:vertAlign w:val="subscript"/>
        </w:rPr>
        <w:t xml:space="preserve">1</w:t>
      </w:r>
      <w:r>
        <w:rPr>
          <w:sz w:val="20"/>
        </w:rPr>
        <w:t xml:space="preserve"> для b</w:t>
      </w:r>
      <w:r>
        <w:rPr>
          <w:sz w:val="20"/>
          <w:vertAlign w:val="subscript"/>
        </w:rPr>
        <w:t xml:space="preserve">1</w:t>
      </w:r>
      <w:r>
        <w:rPr>
          <w:sz w:val="20"/>
        </w:rPr>
        <w:t xml:space="preserve"> &gt; b</w:t>
      </w:r>
      <w:r>
        <w:rPr>
          <w:sz w:val="20"/>
          <w:vertAlign w:val="subscript"/>
        </w:rPr>
        <w:t xml:space="preserve">2</w:t>
      </w:r>
      <w:r>
        <w:rPr>
          <w:sz w:val="20"/>
        </w:rPr>
        <w:t xml:space="preserve">, или 3b</w:t>
      </w:r>
      <w:r>
        <w:rPr>
          <w:sz w:val="20"/>
          <w:vertAlign w:val="subscript"/>
        </w:rPr>
        <w:t xml:space="preserve">2</w:t>
      </w:r>
      <w:r>
        <w:rPr>
          <w:sz w:val="20"/>
        </w:rPr>
        <w:t xml:space="preserve"> &gt; L</w:t>
      </w:r>
      <w:r>
        <w:rPr>
          <w:sz w:val="20"/>
          <w:vertAlign w:val="subscript"/>
        </w:rPr>
        <w:t xml:space="preserve">1-2</w:t>
      </w:r>
      <w:r>
        <w:rPr>
          <w:sz w:val="20"/>
        </w:rPr>
        <w:t xml:space="preserve">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b</w:t>
      </w:r>
      <w:r>
        <w:rPr>
          <w:sz w:val="20"/>
          <w:vertAlign w:val="subscript"/>
        </w:rPr>
        <w:t xml:space="preserve">2</w:t>
      </w:r>
    </w:p>
    <w:p>
      <w:pPr>
        <w:pStyle w:val="0"/>
        <w:jc w:val="center"/>
      </w:pPr>
      <w:r>
        <w:rPr>
          <w:sz w:val="20"/>
        </w:rPr>
        <w:t xml:space="preserve">для b</w:t>
      </w:r>
      <w:r>
        <w:rPr>
          <w:sz w:val="20"/>
          <w:vertAlign w:val="subscript"/>
        </w:rPr>
        <w:t xml:space="preserve">2</w:t>
      </w:r>
      <w:r>
        <w:rPr>
          <w:sz w:val="20"/>
        </w:rPr>
        <w:t xml:space="preserve"> &gt; b</w:t>
      </w:r>
      <w:r>
        <w:rPr>
          <w:sz w:val="20"/>
          <w:vertAlign w:val="subscript"/>
        </w:rPr>
        <w:t xml:space="preserve">1</w:t>
      </w:r>
      <w:r>
        <w:rPr>
          <w:sz w:val="20"/>
        </w:rPr>
        <w:t xml:space="preserve">, или L</w:t>
      </w:r>
      <w:r>
        <w:rPr>
          <w:sz w:val="20"/>
          <w:vertAlign w:val="subscript"/>
        </w:rPr>
        <w:t xml:space="preserve">1-2</w:t>
      </w:r>
      <w:r>
        <w:rPr>
          <w:sz w:val="20"/>
        </w:rPr>
        <w:t xml:space="preserve"> &lt; 3a</w:t>
      </w:r>
      <w:r>
        <w:rPr>
          <w:sz w:val="20"/>
          <w:vertAlign w:val="subscript"/>
        </w:rPr>
        <w:t xml:space="preserve">1</w:t>
      </w:r>
      <w:r>
        <w:rPr>
          <w:sz w:val="20"/>
        </w:rPr>
        <w:t xml:space="preserve"> для a</w:t>
      </w:r>
      <w:r>
        <w:rPr>
          <w:sz w:val="20"/>
          <w:vertAlign w:val="subscript"/>
        </w:rPr>
        <w:t xml:space="preserve">1</w:t>
      </w:r>
      <w:r>
        <w:rPr>
          <w:sz w:val="20"/>
        </w:rPr>
        <w:t xml:space="preserve"> &lt; a</w:t>
      </w:r>
      <w:r>
        <w:rPr>
          <w:sz w:val="20"/>
          <w:vertAlign w:val="subscript"/>
        </w:rPr>
        <w:t xml:space="preserve">2</w:t>
      </w:r>
      <w:r>
        <w:rPr>
          <w:sz w:val="20"/>
        </w:rPr>
        <w:t xml:space="preserve">, или L</w:t>
      </w:r>
      <w:r>
        <w:rPr>
          <w:sz w:val="20"/>
          <w:vertAlign w:val="subscript"/>
        </w:rPr>
        <w:t xml:space="preserve">1-2</w:t>
      </w:r>
      <w:r>
        <w:rPr>
          <w:sz w:val="20"/>
        </w:rPr>
        <w:t xml:space="preserve"> &lt; 3a</w:t>
      </w:r>
      <w:r>
        <w:rPr>
          <w:sz w:val="20"/>
          <w:vertAlign w:val="subscript"/>
        </w:rPr>
        <w:t xml:space="preserve">2</w:t>
      </w:r>
    </w:p>
    <w:p>
      <w:pPr>
        <w:pStyle w:val="0"/>
        <w:jc w:val="center"/>
      </w:pPr>
      <w:r>
        <w:rPr>
          <w:sz w:val="20"/>
        </w:rPr>
        <w:t xml:space="preserve">для a</w:t>
      </w:r>
      <w:r>
        <w:rPr>
          <w:sz w:val="20"/>
          <w:vertAlign w:val="subscript"/>
        </w:rPr>
        <w:t xml:space="preserve">2</w:t>
      </w:r>
      <w:r>
        <w:rPr>
          <w:sz w:val="20"/>
        </w:rPr>
        <w:t xml:space="preserve"> &lt; a</w:t>
      </w:r>
      <w:r>
        <w:rPr>
          <w:sz w:val="20"/>
          <w:vertAlign w:val="subscript"/>
        </w:rPr>
        <w:t xml:space="preserve">1</w:t>
      </w:r>
      <w:r>
        <w:rPr>
          <w:sz w:val="20"/>
        </w:rPr>
        <w:t xml:space="preserve">; 3b</w:t>
      </w:r>
      <w:r>
        <w:rPr>
          <w:sz w:val="20"/>
          <w:vertAlign w:val="subscript"/>
        </w:rPr>
        <w:t xml:space="preserve">1</w:t>
      </w:r>
      <w:r>
        <w:rPr>
          <w:sz w:val="20"/>
        </w:rPr>
        <w:t xml:space="preserve"> &gt; L</w:t>
      </w:r>
      <w:r>
        <w:rPr>
          <w:sz w:val="20"/>
          <w:vertAlign w:val="subscript"/>
        </w:rPr>
        <w:t xml:space="preserve">1-3</w:t>
      </w:r>
      <w:r>
        <w:rPr>
          <w:sz w:val="20"/>
        </w:rPr>
        <w:t xml:space="preserve">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b</w:t>
      </w:r>
      <w:r>
        <w:rPr>
          <w:sz w:val="20"/>
          <w:vertAlign w:val="subscript"/>
        </w:rPr>
        <w:t xml:space="preserve">1</w:t>
      </w:r>
      <w:r>
        <w:rPr>
          <w:sz w:val="20"/>
        </w:rPr>
        <w:t xml:space="preserve"> для b</w:t>
      </w:r>
      <w:r>
        <w:rPr>
          <w:sz w:val="20"/>
          <w:vertAlign w:val="subscript"/>
        </w:rPr>
        <w:t xml:space="preserve">1</w:t>
      </w:r>
      <w:r>
        <w:rPr>
          <w:sz w:val="20"/>
        </w:rPr>
        <w:t xml:space="preserve"> &gt; b</w:t>
      </w:r>
      <w:r>
        <w:rPr>
          <w:sz w:val="20"/>
          <w:vertAlign w:val="subscript"/>
        </w:rPr>
        <w:t xml:space="preserve">3</w:t>
      </w:r>
      <w:r>
        <w:rPr>
          <w:sz w:val="20"/>
        </w:rPr>
        <w:t xml:space="preserve">, или 3b</w:t>
      </w:r>
      <w:r>
        <w:rPr>
          <w:sz w:val="20"/>
          <w:vertAlign w:val="subscript"/>
        </w:rPr>
        <w:t xml:space="preserve">3</w:t>
      </w:r>
      <w:r>
        <w:rPr>
          <w:sz w:val="20"/>
        </w:rPr>
        <w:t xml:space="preserve"> &gt; L</w:t>
      </w:r>
      <w:r>
        <w:rPr>
          <w:sz w:val="20"/>
          <w:vertAlign w:val="subscript"/>
        </w:rPr>
        <w:t xml:space="preserve">1-3</w:t>
      </w:r>
    </w:p>
    <w:p>
      <w:pPr>
        <w:pStyle w:val="0"/>
        <w:jc w:val="center"/>
      </w:pP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b</w:t>
      </w:r>
      <w:r>
        <w:rPr>
          <w:sz w:val="20"/>
          <w:vertAlign w:val="subscript"/>
        </w:rPr>
        <w:t xml:space="preserve">3</w:t>
      </w:r>
      <w:r>
        <w:rPr>
          <w:sz w:val="20"/>
        </w:rPr>
        <w:t xml:space="preserve"> для b</w:t>
      </w:r>
      <w:r>
        <w:rPr>
          <w:sz w:val="20"/>
          <w:vertAlign w:val="subscript"/>
        </w:rPr>
        <w:t xml:space="preserve">3</w:t>
      </w:r>
      <w:r>
        <w:rPr>
          <w:sz w:val="20"/>
        </w:rPr>
        <w:t xml:space="preserve"> &gt; b</w:t>
      </w:r>
      <w:r>
        <w:rPr>
          <w:sz w:val="20"/>
          <w:vertAlign w:val="subscript"/>
        </w:rPr>
        <w:t xml:space="preserve">1</w:t>
      </w:r>
      <w:r>
        <w:rPr>
          <w:sz w:val="20"/>
        </w:rPr>
        <w:t xml:space="preserve">, или L</w:t>
      </w:r>
      <w:r>
        <w:rPr>
          <w:sz w:val="20"/>
          <w:vertAlign w:val="subscript"/>
        </w:rPr>
        <w:t xml:space="preserve">1-3</w:t>
      </w:r>
      <w:r>
        <w:rPr>
          <w:sz w:val="20"/>
        </w:rPr>
        <w:t xml:space="preserve"> &lt; 3a</w:t>
      </w:r>
      <w:r>
        <w:rPr>
          <w:sz w:val="20"/>
          <w:vertAlign w:val="subscript"/>
        </w:rPr>
        <w:t xml:space="preserve">3</w:t>
      </w:r>
      <w:r>
        <w:rPr>
          <w:sz w:val="20"/>
        </w:rPr>
        <w:t xml:space="preserve"> для a</w:t>
      </w:r>
      <w:r>
        <w:rPr>
          <w:sz w:val="20"/>
          <w:vertAlign w:val="subscript"/>
        </w:rPr>
        <w:t xml:space="preserve">3</w:t>
      </w:r>
      <w:r>
        <w:rPr>
          <w:sz w:val="20"/>
        </w:rPr>
        <w:t xml:space="preserve"> &lt; a</w:t>
      </w:r>
      <w:r>
        <w:rPr>
          <w:sz w:val="20"/>
          <w:vertAlign w:val="subscript"/>
        </w:rPr>
        <w:t xml:space="preserve">1</w:t>
      </w:r>
      <w:r>
        <w:rPr>
          <w:sz w:val="20"/>
        </w:rPr>
        <w:t xml:space="preserve">, или L</w:t>
      </w:r>
      <w:r>
        <w:rPr>
          <w:sz w:val="20"/>
          <w:vertAlign w:val="subscript"/>
        </w:rPr>
        <w:t xml:space="preserve">1-3</w:t>
      </w:r>
      <w:r>
        <w:rPr>
          <w:sz w:val="20"/>
        </w:rPr>
        <w:t xml:space="preserve"> &lt;</w:t>
      </w:r>
    </w:p>
    <w:p>
      <w:pPr>
        <w:pStyle w:val="0"/>
        <w:jc w:val="center"/>
      </w:pPr>
      <w:r>
        <w:rPr>
          <w:sz w:val="20"/>
        </w:rPr>
        <w:t xml:space="preserve">3a</w:t>
      </w:r>
      <w:r>
        <w:rPr>
          <w:sz w:val="20"/>
          <w:vertAlign w:val="subscript"/>
        </w:rPr>
        <w:t xml:space="preserve">1</w:t>
      </w:r>
      <w:r>
        <w:rPr>
          <w:sz w:val="20"/>
        </w:rPr>
        <w:t xml:space="preserve"> для a</w:t>
      </w:r>
      <w:r>
        <w:rPr>
          <w:sz w:val="20"/>
          <w:vertAlign w:val="subscript"/>
        </w:rPr>
        <w:t xml:space="preserve">1</w:t>
      </w:r>
      <w:r>
        <w:rPr>
          <w:sz w:val="20"/>
        </w:rPr>
        <w:t xml:space="preserve"> &lt; a</w:t>
      </w:r>
      <w:r>
        <w:rPr>
          <w:sz w:val="20"/>
          <w:vertAlign w:val="subscript"/>
        </w:rPr>
        <w:t xml:space="preserve">3</w:t>
      </w:r>
      <w:r>
        <w:rPr>
          <w:sz w:val="20"/>
        </w:rPr>
        <w:t xml:space="preserve">; 3b</w:t>
      </w:r>
      <w:r>
        <w:rPr>
          <w:sz w:val="20"/>
          <w:vertAlign w:val="subscript"/>
        </w:rPr>
        <w:t xml:space="preserve">2</w:t>
      </w:r>
      <w:r>
        <w:rPr>
          <w:sz w:val="20"/>
        </w:rPr>
        <w:t xml:space="preserve"> &gt; L</w:t>
      </w:r>
      <w:r>
        <w:rPr>
          <w:sz w:val="20"/>
          <w:vertAlign w:val="subscript"/>
        </w:rPr>
        <w:t xml:space="preserve">2-3</w:t>
      </w:r>
      <w:r>
        <w:rPr>
          <w:sz w:val="20"/>
        </w:rPr>
        <w:t xml:space="preserve">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b</w:t>
      </w:r>
      <w:r>
        <w:rPr>
          <w:sz w:val="20"/>
          <w:vertAlign w:val="subscript"/>
        </w:rPr>
        <w:t xml:space="preserve">2</w:t>
      </w:r>
      <w:r>
        <w:rPr>
          <w:sz w:val="20"/>
        </w:rPr>
        <w:t xml:space="preserve"> для b</w:t>
      </w:r>
      <w:r>
        <w:rPr>
          <w:sz w:val="20"/>
          <w:vertAlign w:val="subscript"/>
        </w:rPr>
        <w:t xml:space="preserve">2</w:t>
      </w:r>
      <w:r>
        <w:rPr>
          <w:sz w:val="20"/>
        </w:rPr>
        <w:t xml:space="preserve"> &gt; b</w:t>
      </w:r>
      <w:r>
        <w:rPr>
          <w:sz w:val="20"/>
          <w:vertAlign w:val="subscript"/>
        </w:rPr>
        <w:t xml:space="preserve">3</w:t>
      </w:r>
      <w:r>
        <w:rPr>
          <w:sz w:val="20"/>
        </w:rPr>
        <w:t xml:space="preserve">, или 3b</w:t>
      </w:r>
      <w:r>
        <w:rPr>
          <w:sz w:val="20"/>
          <w:vertAlign w:val="subscript"/>
        </w:rPr>
        <w:t xml:space="preserve">3</w:t>
      </w:r>
      <w:r>
        <w:rPr>
          <w:sz w:val="20"/>
        </w:rPr>
        <w:t xml:space="preserve"> &gt; L</w:t>
      </w:r>
      <w:r>
        <w:rPr>
          <w:sz w:val="20"/>
          <w:vertAlign w:val="subscript"/>
        </w:rPr>
        <w:t xml:space="preserve">2-3</w:t>
      </w:r>
    </w:p>
    <w:p>
      <w:pPr>
        <w:pStyle w:val="0"/>
        <w:jc w:val="center"/>
      </w:pP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b</w:t>
      </w:r>
      <w:r>
        <w:rPr>
          <w:sz w:val="20"/>
          <w:vertAlign w:val="subscript"/>
        </w:rPr>
        <w:t xml:space="preserve">3</w:t>
      </w:r>
      <w:r>
        <w:rPr>
          <w:sz w:val="20"/>
        </w:rPr>
        <w:t xml:space="preserve"> для b</w:t>
      </w:r>
      <w:r>
        <w:rPr>
          <w:sz w:val="20"/>
          <w:vertAlign w:val="subscript"/>
        </w:rPr>
        <w:t xml:space="preserve">3</w:t>
      </w:r>
      <w:r>
        <w:rPr>
          <w:sz w:val="20"/>
        </w:rPr>
        <w:t xml:space="preserve"> &gt; b</w:t>
      </w:r>
      <w:r>
        <w:rPr>
          <w:sz w:val="20"/>
          <w:vertAlign w:val="subscript"/>
        </w:rPr>
        <w:t xml:space="preserve">2</w:t>
      </w:r>
      <w:r>
        <w:rPr>
          <w:sz w:val="20"/>
        </w:rPr>
        <w:t xml:space="preserve">, или L</w:t>
      </w:r>
      <w:r>
        <w:rPr>
          <w:sz w:val="20"/>
          <w:vertAlign w:val="subscript"/>
        </w:rPr>
        <w:t xml:space="preserve">2-3</w:t>
      </w:r>
      <w:r>
        <w:rPr>
          <w:sz w:val="20"/>
        </w:rPr>
        <w:t xml:space="preserve"> &lt; 3a</w:t>
      </w:r>
      <w:r>
        <w:rPr>
          <w:sz w:val="20"/>
          <w:vertAlign w:val="subscript"/>
        </w:rPr>
        <w:t xml:space="preserve">2</w:t>
      </w:r>
      <w:r>
        <w:rPr>
          <w:sz w:val="20"/>
        </w:rPr>
        <w:t xml:space="preserve"> для a</w:t>
      </w:r>
      <w:r>
        <w:rPr>
          <w:sz w:val="20"/>
          <w:vertAlign w:val="subscript"/>
        </w:rPr>
        <w:t xml:space="preserve">2</w:t>
      </w:r>
      <w:r>
        <w:rPr>
          <w:sz w:val="20"/>
        </w:rPr>
        <w:t xml:space="preserve"> &lt; a</w:t>
      </w:r>
      <w:r>
        <w:rPr>
          <w:sz w:val="20"/>
          <w:vertAlign w:val="subscript"/>
        </w:rPr>
        <w:t xml:space="preserve">3</w:t>
      </w:r>
      <w:r>
        <w:rPr>
          <w:sz w:val="20"/>
        </w:rPr>
        <w:t xml:space="preserve">,</w:t>
      </w:r>
    </w:p>
    <w:p>
      <w:pPr>
        <w:pStyle w:val="0"/>
        <w:jc w:val="center"/>
      </w:pPr>
      <w:r>
        <w:rPr>
          <w:sz w:val="20"/>
        </w:rPr>
        <w:t xml:space="preserve">или L</w:t>
      </w:r>
      <w:r>
        <w:rPr>
          <w:sz w:val="20"/>
          <w:vertAlign w:val="subscript"/>
        </w:rPr>
        <w:t xml:space="preserve">2-3</w:t>
      </w:r>
      <w:r>
        <w:rPr>
          <w:sz w:val="20"/>
        </w:rPr>
        <w:t xml:space="preserve"> &lt; 3a</w:t>
      </w:r>
      <w:r>
        <w:rPr>
          <w:sz w:val="20"/>
          <w:vertAlign w:val="subscript"/>
        </w:rPr>
        <w:t xml:space="preserve">3</w:t>
      </w:r>
      <w:r>
        <w:rPr>
          <w:sz w:val="20"/>
        </w:rPr>
        <w:t xml:space="preserve"> для a</w:t>
      </w:r>
      <w:r>
        <w:rPr>
          <w:sz w:val="20"/>
          <w:vertAlign w:val="subscript"/>
        </w:rPr>
        <w:t xml:space="preserve">3</w:t>
      </w:r>
      <w:r>
        <w:rPr>
          <w:sz w:val="20"/>
        </w:rPr>
        <w:t xml:space="preserve"> &lt; a</w:t>
      </w:r>
      <w:r>
        <w:rPr>
          <w:sz w:val="20"/>
          <w:vertAlign w:val="subscript"/>
        </w:rPr>
        <w:t xml:space="preserve">2</w:t>
      </w:r>
    </w:p>
    <w:p>
      <w:pPr>
        <w:pStyle w:val="0"/>
        <w:jc w:val="both"/>
      </w:pPr>
      <w:r>
        <w:rPr>
          <w:sz w:val="20"/>
        </w:rPr>
      </w:r>
    </w:p>
    <w:p>
      <w:pPr>
        <w:pStyle w:val="0"/>
        <w:ind w:firstLine="540"/>
        <w:jc w:val="both"/>
      </w:pPr>
      <w:r>
        <w:rPr>
          <w:sz w:val="20"/>
        </w:rPr>
        <w:t xml:space="preserve">24.1. Внешний контур скопления - контур, ограниченный внешними краями включений, входящих в скопление, и касательными линиями, соединяющими указанные края </w:t>
      </w:r>
      <w:hyperlink w:history="0" w:anchor="P861" w:tooltip="Рисунок 1.4. Скопление">
        <w:r>
          <w:rPr>
            <w:sz w:val="20"/>
            <w:color w:val="0000ff"/>
          </w:rPr>
          <w:t xml:space="preserve">(рисунок 1.4 б)</w:t>
        </w:r>
      </w:hyperlink>
      <w:r>
        <w:rPr>
          <w:sz w:val="20"/>
        </w:rPr>
        <w:t xml:space="preserve">.</w:t>
      </w:r>
    </w:p>
    <w:p>
      <w:pPr>
        <w:pStyle w:val="0"/>
        <w:spacing w:before="200" w:line-rule="auto"/>
        <w:ind w:firstLine="540"/>
        <w:jc w:val="both"/>
      </w:pPr>
      <w:r>
        <w:rPr>
          <w:sz w:val="20"/>
        </w:rPr>
        <w:t xml:space="preserve">24.2. Максимальный размер скопления A - наибольшее расстояние между двумя соседними точками внешнего контура скопления </w:t>
      </w:r>
      <w:hyperlink w:history="0" w:anchor="P861" w:tooltip="Рисунок 1.4. Скопление">
        <w:r>
          <w:rPr>
            <w:sz w:val="20"/>
            <w:color w:val="0000ff"/>
          </w:rPr>
          <w:t xml:space="preserve">(рисунок 1.4 б)</w:t>
        </w:r>
      </w:hyperlink>
      <w:r>
        <w:rPr>
          <w:sz w:val="20"/>
        </w:rPr>
        <w:t xml:space="preserve">.</w:t>
      </w:r>
    </w:p>
    <w:p>
      <w:pPr>
        <w:pStyle w:val="0"/>
        <w:spacing w:before="200" w:line-rule="auto"/>
        <w:ind w:firstLine="540"/>
        <w:jc w:val="both"/>
      </w:pPr>
      <w:r>
        <w:rPr>
          <w:sz w:val="20"/>
        </w:rPr>
        <w:t xml:space="preserve">24.3. Максимальная ширина скопления B - наибольшее расстояние между двумя точками внешнего контура скопления, измеренное в направлении, перпендикулярном максимальному размеру скопления </w:t>
      </w:r>
      <w:hyperlink w:history="0" w:anchor="P861" w:tooltip="Рисунок 1.4. Скопление">
        <w:r>
          <w:rPr>
            <w:sz w:val="20"/>
            <w:color w:val="0000ff"/>
          </w:rPr>
          <w:t xml:space="preserve">(рисунок 1.4 б)</w:t>
        </w:r>
      </w:hyperlink>
      <w:r>
        <w:rPr>
          <w:sz w:val="20"/>
        </w:rPr>
        <w:t xml:space="preserve">.</w:t>
      </w:r>
    </w:p>
    <w:p>
      <w:pPr>
        <w:pStyle w:val="0"/>
        <w:spacing w:before="200" w:line-rule="auto"/>
        <w:ind w:firstLine="540"/>
        <w:jc w:val="both"/>
      </w:pPr>
      <w:r>
        <w:rPr>
          <w:sz w:val="20"/>
        </w:rPr>
        <w:t xml:space="preserve">25. Скопление одиночное - скопление, минимальное расстояние L от внешнего контура которого до внешнего контура любого другого соседнего скопления или включения не менее трехкратной максимальной ширины каждого из двух рассматриваемых скоплений (или скопления и включения), но не менее трехкратного максимального размера скопления (включения) с меньшим значением этого показателя (из двух рассматриваемых) (рисунок 1.5).</w:t>
      </w:r>
    </w:p>
    <w:p>
      <w:pPr>
        <w:pStyle w:val="0"/>
        <w:jc w:val="both"/>
      </w:pPr>
      <w:r>
        <w:rPr>
          <w:sz w:val="20"/>
        </w:rPr>
      </w:r>
    </w:p>
    <w:p>
      <w:pPr>
        <w:pStyle w:val="0"/>
        <w:jc w:val="center"/>
      </w:pPr>
      <w:r>
        <w:rPr>
          <w:position w:val="-288"/>
        </w:rPr>
        <w:drawing>
          <wp:inline distT="0" distB="0" distL="0" distR="0">
            <wp:extent cx="4373880" cy="37915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4373880" cy="3791585"/>
                    </a:xfrm>
                    <a:prstGeom prst="rect">
                      <a:avLst/>
                    </a:prstGeom>
                    <a:noFill/>
                    <a:ln>
                      <a:noFill/>
                    </a:ln>
                  </pic:spPr>
                </pic:pic>
              </a:graphicData>
            </a:graphic>
          </wp:inline>
        </w:drawing>
      </w:r>
    </w:p>
    <w:p>
      <w:pPr>
        <w:pStyle w:val="0"/>
        <w:jc w:val="both"/>
      </w:pPr>
      <w:r>
        <w:rPr>
          <w:sz w:val="20"/>
        </w:rPr>
      </w:r>
    </w:p>
    <w:p>
      <w:pPr>
        <w:pStyle w:val="0"/>
        <w:jc w:val="center"/>
      </w:pPr>
      <w:r>
        <w:rPr>
          <w:sz w:val="20"/>
        </w:rPr>
        <w:t xml:space="preserve">Рисунок 1.5. Одиночные скопления</w:t>
      </w:r>
    </w:p>
    <w:p>
      <w:pPr>
        <w:pStyle w:val="0"/>
        <w:jc w:val="both"/>
      </w:pPr>
      <w:r>
        <w:rPr>
          <w:sz w:val="20"/>
        </w:rPr>
      </w:r>
    </w:p>
    <w:p>
      <w:pPr>
        <w:pStyle w:val="0"/>
        <w:ind w:firstLine="540"/>
        <w:jc w:val="both"/>
      </w:pPr>
      <w:r>
        <w:rPr>
          <w:sz w:val="20"/>
        </w:rPr>
        <w:t xml:space="preserve">26. Группа включений - два или несколько включений, минимальное расстояние между краями которых менее максимальной ширины хотя бы одного из двух рассматриваемых соседних включений; внешний контур рассматриваемой группы включений ограничивается внешними краями включений, входящих в рассматриваемую группу, и касательными линиями, соединяющими указанные края </w:t>
      </w:r>
      <w:hyperlink w:history="0" w:anchor="P886" w:tooltip="Рисунок 1.6. Группа включений">
        <w:r>
          <w:rPr>
            <w:sz w:val="20"/>
            <w:color w:val="0000ff"/>
          </w:rPr>
          <w:t xml:space="preserve">(рисунок 1.6)</w:t>
        </w:r>
      </w:hyperlink>
      <w:r>
        <w:rPr>
          <w:sz w:val="20"/>
        </w:rPr>
        <w:t xml:space="preserve">.</w:t>
      </w:r>
    </w:p>
    <w:p>
      <w:pPr>
        <w:pStyle w:val="0"/>
        <w:spacing w:before="200" w:line-rule="auto"/>
        <w:ind w:firstLine="540"/>
        <w:jc w:val="both"/>
      </w:pPr>
      <w:r>
        <w:rPr>
          <w:sz w:val="20"/>
        </w:rPr>
        <w:t xml:space="preserve">Недопустимые включения и скопления - одиночные включения (скопления), превышающие установленные нормы по размерам, количеству или суммарной приведенной площади.</w:t>
      </w:r>
    </w:p>
    <w:p>
      <w:pPr>
        <w:pStyle w:val="0"/>
        <w:jc w:val="both"/>
      </w:pPr>
      <w:r>
        <w:rPr>
          <w:sz w:val="20"/>
        </w:rPr>
      </w:r>
    </w:p>
    <w:p>
      <w:pPr>
        <w:pStyle w:val="0"/>
        <w:jc w:val="center"/>
      </w:pPr>
      <w:r>
        <w:rPr>
          <w:position w:val="-346"/>
        </w:rPr>
        <w:drawing>
          <wp:inline distT="0" distB="0" distL="0" distR="0">
            <wp:extent cx="3813175" cy="45262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3813175" cy="4526280"/>
                    </a:xfrm>
                    <a:prstGeom prst="rect">
                      <a:avLst/>
                    </a:prstGeom>
                    <a:noFill/>
                    <a:ln>
                      <a:noFill/>
                    </a:ln>
                  </pic:spPr>
                </pic:pic>
              </a:graphicData>
            </a:graphic>
          </wp:inline>
        </w:drawing>
      </w:r>
    </w:p>
    <w:p>
      <w:pPr>
        <w:pStyle w:val="0"/>
        <w:jc w:val="both"/>
      </w:pPr>
      <w:r>
        <w:rPr>
          <w:sz w:val="20"/>
        </w:rPr>
      </w:r>
    </w:p>
    <w:bookmarkStart w:id="886" w:name="P886"/>
    <w:bookmarkEnd w:id="886"/>
    <w:p>
      <w:pPr>
        <w:pStyle w:val="0"/>
        <w:jc w:val="center"/>
      </w:pPr>
      <w:r>
        <w:rPr>
          <w:sz w:val="20"/>
        </w:rPr>
        <w:t xml:space="preserve">Рисунок 1.6. Группа включений</w:t>
      </w:r>
    </w:p>
    <w:p>
      <w:pPr>
        <w:pStyle w:val="0"/>
        <w:jc w:val="center"/>
      </w:pPr>
      <w:r>
        <w:rPr>
          <w:sz w:val="20"/>
        </w:rPr>
        <w:t xml:space="preserve">(a - максимальный размер группы включений;</w:t>
      </w:r>
    </w:p>
    <w:p>
      <w:pPr>
        <w:pStyle w:val="0"/>
        <w:jc w:val="center"/>
      </w:pPr>
      <w:r>
        <w:rPr>
          <w:sz w:val="20"/>
        </w:rPr>
        <w:t xml:space="preserve">b - максимальная ширина группы включений):</w:t>
      </w:r>
    </w:p>
    <w:p>
      <w:pPr>
        <w:pStyle w:val="0"/>
        <w:jc w:val="center"/>
      </w:pPr>
      <w:r>
        <w:rPr>
          <w:sz w:val="20"/>
        </w:rPr>
        <w:t xml:space="preserve">L</w:t>
      </w:r>
      <w:r>
        <w:rPr>
          <w:sz w:val="20"/>
          <w:vertAlign w:val="subscript"/>
        </w:rPr>
        <w:t xml:space="preserve">1-2</w:t>
      </w:r>
      <w:r>
        <w:rPr>
          <w:sz w:val="20"/>
        </w:rPr>
        <w:t xml:space="preserve"> &lt; b</w:t>
      </w:r>
      <w:r>
        <w:rPr>
          <w:sz w:val="20"/>
          <w:vertAlign w:val="subscript"/>
        </w:rPr>
        <w:t xml:space="preserve">1</w:t>
      </w:r>
      <w:r>
        <w:rPr>
          <w:sz w:val="20"/>
        </w:rPr>
        <w:t xml:space="preserve"> для b</w:t>
      </w:r>
      <w:r>
        <w:rPr>
          <w:sz w:val="20"/>
          <w:vertAlign w:val="subscript"/>
        </w:rPr>
        <w:t xml:space="preserve">1</w:t>
      </w:r>
      <w:r>
        <w:rPr>
          <w:sz w:val="20"/>
        </w:rPr>
        <w:t xml:space="preserve"> &gt; b</w:t>
      </w:r>
      <w:r>
        <w:rPr>
          <w:sz w:val="20"/>
          <w:vertAlign w:val="subscript"/>
        </w:rPr>
        <w:t xml:space="preserve">2</w:t>
      </w:r>
      <w:r>
        <w:rPr>
          <w:sz w:val="20"/>
        </w:rPr>
        <w:t xml:space="preserve">, или L</w:t>
      </w:r>
      <w:r>
        <w:rPr>
          <w:sz w:val="20"/>
          <w:vertAlign w:val="subscript"/>
        </w:rPr>
        <w:t xml:space="preserve">1-2</w:t>
      </w:r>
      <w:r>
        <w:rPr>
          <w:sz w:val="20"/>
        </w:rPr>
        <w:t xml:space="preserve"> &lt; b</w:t>
      </w:r>
      <w:r>
        <w:rPr>
          <w:sz w:val="20"/>
          <w:vertAlign w:val="subscript"/>
        </w:rPr>
        <w:t xml:space="preserve">2</w:t>
      </w:r>
      <w:r>
        <w:rPr>
          <w:sz w:val="20"/>
        </w:rPr>
        <w:t xml:space="preserve"> для b</w:t>
      </w:r>
      <w:r>
        <w:rPr>
          <w:sz w:val="20"/>
          <w:vertAlign w:val="subscript"/>
        </w:rPr>
        <w:t xml:space="preserve">2</w:t>
      </w:r>
      <w:r>
        <w:rPr>
          <w:sz w:val="20"/>
        </w:rPr>
        <w:t xml:space="preserve"> &gt; b</w:t>
      </w:r>
      <w:r>
        <w:rPr>
          <w:sz w:val="20"/>
          <w:vertAlign w:val="subscript"/>
        </w:rPr>
        <w:t xml:space="preserve">1</w:t>
      </w:r>
      <w:r>
        <w:rPr>
          <w:sz w:val="20"/>
        </w:rPr>
        <w:t xml:space="preserve">;</w:t>
      </w:r>
    </w:p>
    <w:p>
      <w:pPr>
        <w:pStyle w:val="0"/>
        <w:jc w:val="center"/>
      </w:pPr>
      <w:r>
        <w:rPr>
          <w:sz w:val="20"/>
        </w:rPr>
        <w:t xml:space="preserve">L</w:t>
      </w:r>
      <w:r>
        <w:rPr>
          <w:sz w:val="20"/>
          <w:vertAlign w:val="subscript"/>
        </w:rPr>
        <w:t xml:space="preserve">1-3</w:t>
      </w:r>
      <w:r>
        <w:rPr>
          <w:sz w:val="20"/>
        </w:rPr>
        <w:t xml:space="preserve"> &lt; b</w:t>
      </w:r>
      <w:r>
        <w:rPr>
          <w:sz w:val="20"/>
          <w:vertAlign w:val="subscript"/>
        </w:rPr>
        <w:t xml:space="preserve">1</w:t>
      </w:r>
      <w:r>
        <w:rPr>
          <w:sz w:val="20"/>
        </w:rPr>
        <w:t xml:space="preserve"> для b</w:t>
      </w:r>
      <w:r>
        <w:rPr>
          <w:sz w:val="20"/>
          <w:vertAlign w:val="subscript"/>
        </w:rPr>
        <w:t xml:space="preserve">1</w:t>
      </w:r>
      <w:r>
        <w:rPr>
          <w:sz w:val="20"/>
        </w:rPr>
        <w:t xml:space="preserve"> &gt; b</w:t>
      </w:r>
      <w:r>
        <w:rPr>
          <w:sz w:val="20"/>
          <w:vertAlign w:val="subscript"/>
        </w:rPr>
        <w:t xml:space="preserve">3</w:t>
      </w:r>
      <w:r>
        <w:rPr>
          <w:sz w:val="20"/>
        </w:rPr>
        <w:t xml:space="preserve">, или L</w:t>
      </w:r>
      <w:r>
        <w:rPr>
          <w:sz w:val="20"/>
          <w:vertAlign w:val="subscript"/>
        </w:rPr>
        <w:t xml:space="preserve">1-3</w:t>
      </w:r>
      <w:r>
        <w:rPr>
          <w:sz w:val="20"/>
        </w:rPr>
        <w:t xml:space="preserve"> &lt; b</w:t>
      </w:r>
      <w:r>
        <w:rPr>
          <w:sz w:val="20"/>
          <w:vertAlign w:val="subscript"/>
        </w:rPr>
        <w:t xml:space="preserve">3</w:t>
      </w:r>
      <w:r>
        <w:rPr>
          <w:sz w:val="20"/>
        </w:rPr>
        <w:t xml:space="preserve"> для b</w:t>
      </w:r>
      <w:r>
        <w:rPr>
          <w:sz w:val="20"/>
          <w:vertAlign w:val="subscript"/>
        </w:rPr>
        <w:t xml:space="preserve">3</w:t>
      </w:r>
      <w:r>
        <w:rPr>
          <w:sz w:val="20"/>
        </w:rPr>
        <w:t xml:space="preserve"> &gt; b</w:t>
      </w:r>
      <w:r>
        <w:rPr>
          <w:sz w:val="20"/>
          <w:vertAlign w:val="subscript"/>
        </w:rPr>
        <w:t xml:space="preserve">1</w:t>
      </w:r>
      <w:r>
        <w:rPr>
          <w:sz w:val="20"/>
        </w:rPr>
        <w:t xml:space="preserve">;</w:t>
      </w:r>
    </w:p>
    <w:p>
      <w:pPr>
        <w:pStyle w:val="0"/>
        <w:jc w:val="center"/>
      </w:pPr>
      <w:r>
        <w:rPr>
          <w:sz w:val="20"/>
        </w:rPr>
        <w:t xml:space="preserve">L</w:t>
      </w:r>
      <w:r>
        <w:rPr>
          <w:sz w:val="20"/>
          <w:vertAlign w:val="subscript"/>
        </w:rPr>
        <w:t xml:space="preserve">2-3</w:t>
      </w:r>
      <w:r>
        <w:rPr>
          <w:sz w:val="20"/>
        </w:rPr>
        <w:t xml:space="preserve"> &lt; b</w:t>
      </w:r>
      <w:r>
        <w:rPr>
          <w:sz w:val="20"/>
          <w:vertAlign w:val="subscript"/>
        </w:rPr>
        <w:t xml:space="preserve">2</w:t>
      </w:r>
      <w:r>
        <w:rPr>
          <w:sz w:val="20"/>
        </w:rPr>
        <w:t xml:space="preserve"> для b</w:t>
      </w:r>
      <w:r>
        <w:rPr>
          <w:sz w:val="20"/>
          <w:vertAlign w:val="subscript"/>
        </w:rPr>
        <w:t xml:space="preserve">2</w:t>
      </w:r>
      <w:r>
        <w:rPr>
          <w:sz w:val="20"/>
        </w:rPr>
        <w:t xml:space="preserve"> &gt; b</w:t>
      </w:r>
      <w:r>
        <w:rPr>
          <w:sz w:val="20"/>
          <w:vertAlign w:val="subscript"/>
        </w:rPr>
        <w:t xml:space="preserve">3</w:t>
      </w:r>
      <w:r>
        <w:rPr>
          <w:sz w:val="20"/>
        </w:rPr>
        <w:t xml:space="preserve">, или L</w:t>
      </w:r>
      <w:r>
        <w:rPr>
          <w:sz w:val="20"/>
          <w:vertAlign w:val="subscript"/>
        </w:rPr>
        <w:t xml:space="preserve">2-3</w:t>
      </w:r>
      <w:r>
        <w:rPr>
          <w:sz w:val="20"/>
        </w:rPr>
        <w:t xml:space="preserve"> &lt; b</w:t>
      </w:r>
      <w:r>
        <w:rPr>
          <w:sz w:val="20"/>
          <w:vertAlign w:val="subscript"/>
        </w:rPr>
        <w:t xml:space="preserve">3</w:t>
      </w:r>
      <w:r>
        <w:rPr>
          <w:sz w:val="20"/>
        </w:rPr>
        <w:t xml:space="preserve"> для b</w:t>
      </w:r>
      <w:r>
        <w:rPr>
          <w:sz w:val="20"/>
          <w:vertAlign w:val="subscript"/>
        </w:rPr>
        <w:t xml:space="preserve">3</w:t>
      </w:r>
      <w:r>
        <w:rPr>
          <w:sz w:val="20"/>
        </w:rPr>
        <w:t xml:space="preserve"> &gt; b</w:t>
      </w:r>
      <w:r>
        <w:rPr>
          <w:sz w:val="20"/>
          <w:vertAlign w:val="subscript"/>
        </w:rPr>
        <w:t xml:space="preserve">2</w:t>
      </w:r>
    </w:p>
    <w:p>
      <w:pPr>
        <w:pStyle w:val="0"/>
        <w:jc w:val="both"/>
      </w:pPr>
      <w:r>
        <w:rPr>
          <w:sz w:val="20"/>
        </w:rPr>
      </w:r>
    </w:p>
    <w:p>
      <w:pPr>
        <w:pStyle w:val="0"/>
        <w:ind w:firstLine="540"/>
        <w:jc w:val="both"/>
      </w:pPr>
      <w:r>
        <w:rPr>
          <w:sz w:val="20"/>
        </w:rPr>
        <w:t xml:space="preserve">27. Суммарная приведенная площадь включений и скоплений (при радиографическом контроле) - сумма приведенных площадей отдельных одиночных мелких включений и одиночных скоплений.</w:t>
      </w:r>
    </w:p>
    <w:p>
      <w:pPr>
        <w:pStyle w:val="0"/>
        <w:spacing w:before="200" w:line-rule="auto"/>
        <w:ind w:firstLine="540"/>
        <w:jc w:val="both"/>
      </w:pPr>
      <w:r>
        <w:rPr>
          <w:sz w:val="20"/>
        </w:rPr>
        <w:t xml:space="preserve">28. Трещина - дефект в виде разрыва металла сварного соединения или наплавленной детали (изделия).</w:t>
      </w:r>
    </w:p>
    <w:p>
      <w:pPr>
        <w:pStyle w:val="0"/>
        <w:spacing w:before="200" w:line-rule="auto"/>
        <w:ind w:firstLine="540"/>
        <w:jc w:val="both"/>
      </w:pPr>
      <w:r>
        <w:rPr>
          <w:sz w:val="20"/>
        </w:rPr>
        <w:t xml:space="preserve">29. Углубление между валиками - продольная впадина между двумя соседними валиками (оценивается по максимальной глубине).</w:t>
      </w:r>
    </w:p>
    <w:p>
      <w:pPr>
        <w:pStyle w:val="0"/>
        <w:spacing w:before="200" w:line-rule="auto"/>
        <w:ind w:firstLine="540"/>
        <w:jc w:val="both"/>
      </w:pPr>
      <w:r>
        <w:rPr>
          <w:sz w:val="20"/>
        </w:rPr>
        <w:t xml:space="preserve">30. Усадочная раковина - дефект в виде полости или впадины, которые образуются при усадке расплавленного металла в процессе затвердевания (располагается, как правило, в местах, где прерывается или оканчивается сварка).</w:t>
      </w:r>
    </w:p>
    <w:p>
      <w:pPr>
        <w:pStyle w:val="0"/>
        <w:spacing w:before="200" w:line-rule="auto"/>
        <w:ind w:firstLine="540"/>
        <w:jc w:val="both"/>
      </w:pPr>
      <w:r>
        <w:rPr>
          <w:sz w:val="20"/>
        </w:rPr>
        <w:t xml:space="preserve">31. Чешуйчатость - поперечные или округлые (при автоматической сварке под флюсом - удлиненно-округлые) углубления на поверхности валика, образовавшиеся вследствие неравномерности затвердевания металла сварочной ванны (оценивается по максимальной глубине).</w:t>
      </w:r>
    </w:p>
    <w:p>
      <w:pPr>
        <w:pStyle w:val="0"/>
        <w:spacing w:before="200" w:line-rule="auto"/>
        <w:ind w:firstLine="540"/>
        <w:jc w:val="both"/>
      </w:pPr>
      <w:r>
        <w:rPr>
          <w:sz w:val="20"/>
        </w:rPr>
        <w:t xml:space="preserve">32. Ширина шва - расстояние между краями поверхности сварного шва в одном поперечном сечении.</w:t>
      </w:r>
    </w:p>
    <w:p>
      <w:pPr>
        <w:pStyle w:val="0"/>
        <w:spacing w:before="200" w:line-rule="auto"/>
        <w:ind w:firstLine="540"/>
        <w:jc w:val="both"/>
      </w:pPr>
      <w:r>
        <w:rPr>
          <w:sz w:val="20"/>
        </w:rPr>
        <w:t xml:space="preserve">33. Эквивалентная площадь несплошности (при ультразвуковом контроле) - площадь плоскодонного отражателя, расположенного на том же расстоянии от поверхности ввода, что и реальная несплошность, и создающего такой же по амплитуде сигнал.</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w:t>
      </w:r>
    </w:p>
    <w:p>
      <w:pPr>
        <w:pStyle w:val="0"/>
        <w:jc w:val="right"/>
      </w:pPr>
      <w:r>
        <w:rPr>
          <w:sz w:val="20"/>
        </w:rPr>
        <w:t xml:space="preserve">энергии "Правила контроля металла</w:t>
      </w:r>
    </w:p>
    <w:p>
      <w:pPr>
        <w:pStyle w:val="0"/>
        <w:jc w:val="right"/>
      </w:pPr>
      <w:r>
        <w:rPr>
          <w:sz w:val="20"/>
        </w:rPr>
        <w:t xml:space="preserve">оборудования и трубопроводов</w:t>
      </w:r>
    </w:p>
    <w:p>
      <w:pPr>
        <w:pStyle w:val="0"/>
        <w:jc w:val="right"/>
      </w:pPr>
      <w:r>
        <w:rPr>
          <w:sz w:val="20"/>
        </w:rPr>
        <w:t xml:space="preserve">атомных энергетических установок</w:t>
      </w:r>
    </w:p>
    <w:p>
      <w:pPr>
        <w:pStyle w:val="0"/>
        <w:jc w:val="right"/>
      </w:pPr>
      <w:r>
        <w:rPr>
          <w:sz w:val="20"/>
        </w:rPr>
        <w:t xml:space="preserve">при изготовлении и монтаже",</w:t>
      </w:r>
    </w:p>
    <w:p>
      <w:pPr>
        <w:pStyle w:val="0"/>
        <w:jc w:val="right"/>
      </w:pPr>
      <w:r>
        <w:rPr>
          <w:sz w:val="20"/>
        </w:rPr>
        <w:t xml:space="preserve">утвержденным приказом Федеральной</w:t>
      </w:r>
    </w:p>
    <w:p>
      <w:pPr>
        <w:pStyle w:val="0"/>
        <w:jc w:val="right"/>
      </w:pPr>
      <w:r>
        <w:rPr>
          <w:sz w:val="20"/>
        </w:rPr>
        <w:t xml:space="preserve">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553</w:t>
      </w:r>
    </w:p>
    <w:p>
      <w:pPr>
        <w:pStyle w:val="0"/>
        <w:jc w:val="both"/>
      </w:pPr>
      <w:r>
        <w:rPr>
          <w:sz w:val="20"/>
        </w:rPr>
      </w:r>
    </w:p>
    <w:bookmarkStart w:id="917" w:name="P917"/>
    <w:bookmarkEnd w:id="917"/>
    <w:p>
      <w:pPr>
        <w:pStyle w:val="2"/>
        <w:jc w:val="center"/>
      </w:pPr>
      <w:r>
        <w:rPr>
          <w:sz w:val="20"/>
        </w:rPr>
        <w:t xml:space="preserve">КОНТРОЛЬ</w:t>
      </w:r>
    </w:p>
    <w:p>
      <w:pPr>
        <w:pStyle w:val="2"/>
        <w:jc w:val="center"/>
      </w:pPr>
      <w:r>
        <w:rPr>
          <w:sz w:val="20"/>
        </w:rPr>
        <w:t xml:space="preserve">СВАРНЫХ СОЕДИНЕНИЙ ВВАРКИ ТРУБ В ТРУБНЫЕ ДОСКИ</w:t>
      </w:r>
    </w:p>
    <w:p>
      <w:pPr>
        <w:pStyle w:val="2"/>
        <w:jc w:val="center"/>
      </w:pPr>
      <w:r>
        <w:rPr>
          <w:sz w:val="20"/>
        </w:rPr>
        <w:t xml:space="preserve">И В КОЛЛЕКТОРЫ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72"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color w:val="392c69"/>
              </w:rPr>
              <w:t xml:space="preserve"> Ростехнадзора от 08.07.2024 N 211)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Методы и объем неразрушающего контроля сварных соединений вварки стальных труб в трубные доски и в коллекторы оборудования приведены в таблице N 2.1 настоящего приложения. Сварные соединения выполнены дуговой сваркой.</w:t>
      </w:r>
    </w:p>
    <w:p>
      <w:pPr>
        <w:pStyle w:val="0"/>
        <w:jc w:val="both"/>
      </w:pPr>
      <w:r>
        <w:rPr>
          <w:sz w:val="20"/>
        </w:rPr>
      </w:r>
    </w:p>
    <w:bookmarkStart w:id="925" w:name="P925"/>
    <w:bookmarkEnd w:id="925"/>
    <w:p>
      <w:pPr>
        <w:pStyle w:val="0"/>
        <w:outlineLvl w:val="2"/>
        <w:jc w:val="right"/>
      </w:pPr>
      <w:r>
        <w:rPr>
          <w:sz w:val="20"/>
        </w:rPr>
        <w:t xml:space="preserve">Таблица N 2.1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92"/>
        <w:gridCol w:w="989"/>
        <w:gridCol w:w="1267"/>
        <w:gridCol w:w="1277"/>
        <w:gridCol w:w="1416"/>
        <w:gridCol w:w="1281"/>
        <w:gridCol w:w="1440"/>
      </w:tblGrid>
      <w:tr>
        <w:tc>
          <w:tcPr>
            <w:tcW w:w="1392" w:type="dxa"/>
            <w:vMerge w:val="restart"/>
          </w:tcPr>
          <w:p>
            <w:pPr>
              <w:pStyle w:val="0"/>
              <w:jc w:val="center"/>
            </w:pPr>
            <w:r>
              <w:rPr>
                <w:sz w:val="20"/>
              </w:rPr>
              <w:t xml:space="preserve">Категория сварного соединения</w:t>
            </w:r>
          </w:p>
        </w:tc>
        <w:tc>
          <w:tcPr>
            <w:gridSpan w:val="6"/>
            <w:tcW w:w="7670" w:type="dxa"/>
          </w:tcPr>
          <w:p>
            <w:pPr>
              <w:pStyle w:val="0"/>
              <w:jc w:val="center"/>
            </w:pPr>
            <w:r>
              <w:rPr>
                <w:sz w:val="20"/>
              </w:rPr>
              <w:t xml:space="preserve">Объем контроля, %</w:t>
            </w:r>
          </w:p>
        </w:tc>
      </w:tr>
      <w:tr>
        <w:tc>
          <w:tcPr>
            <w:vMerge w:val="continue"/>
          </w:tcPr>
          <w:p/>
        </w:tc>
        <w:tc>
          <w:tcPr>
            <w:tcW w:w="989" w:type="dxa"/>
            <w:vMerge w:val="restart"/>
          </w:tcPr>
          <w:p>
            <w:pPr>
              <w:pStyle w:val="0"/>
              <w:jc w:val="center"/>
            </w:pPr>
            <w:r>
              <w:rPr>
                <w:sz w:val="20"/>
              </w:rPr>
              <w:t xml:space="preserve">визуального и измерительного</w:t>
            </w:r>
          </w:p>
        </w:tc>
        <w:tc>
          <w:tcPr>
            <w:gridSpan w:val="2"/>
            <w:tcW w:w="2544" w:type="dxa"/>
          </w:tcPr>
          <w:p>
            <w:pPr>
              <w:pStyle w:val="0"/>
              <w:jc w:val="center"/>
            </w:pPr>
            <w:r>
              <w:rPr>
                <w:sz w:val="20"/>
              </w:rPr>
              <w:t xml:space="preserve">капиллярного </w:t>
            </w:r>
            <w:hyperlink w:history="0" w:anchor="P985" w:tooltip="&lt;**&gt; Конкретный метод устанавливается требованиями конструкторской документации.">
              <w:r>
                <w:rPr>
                  <w:sz w:val="20"/>
                  <w:color w:val="0000ff"/>
                </w:rPr>
                <w:t xml:space="preserve">&lt;**&gt;</w:t>
              </w:r>
            </w:hyperlink>
            <w:r>
              <w:rPr>
                <w:sz w:val="20"/>
              </w:rPr>
              <w:t xml:space="preserve"> или магнитопорошкового </w:t>
            </w:r>
            <w:hyperlink w:history="0" w:anchor="P985" w:tooltip="&lt;**&gt; Конкретный метод устанавливается требованиями конструкторской документации.">
              <w:r>
                <w:rPr>
                  <w:sz w:val="20"/>
                  <w:color w:val="0000ff"/>
                </w:rPr>
                <w:t xml:space="preserve">&lt;**&gt;</w:t>
              </w:r>
            </w:hyperlink>
            <w:r>
              <w:rPr>
                <w:sz w:val="20"/>
              </w:rPr>
              <w:t xml:space="preserve">, или вихретокового </w:t>
            </w:r>
            <w:hyperlink w:history="0" w:anchor="P985" w:tooltip="&lt;**&gt; Конкретный метод устанавливается требованиями конструкторской документации.">
              <w:r>
                <w:rPr>
                  <w:sz w:val="20"/>
                  <w:color w:val="0000ff"/>
                </w:rPr>
                <w:t xml:space="preserve">&lt;**&gt;</w:t>
              </w:r>
            </w:hyperlink>
          </w:p>
        </w:tc>
        <w:tc>
          <w:tcPr>
            <w:tcW w:w="1416" w:type="dxa"/>
            <w:vMerge w:val="restart"/>
          </w:tcPr>
          <w:p>
            <w:pPr>
              <w:pStyle w:val="0"/>
              <w:jc w:val="center"/>
            </w:pPr>
            <w:r>
              <w:rPr>
                <w:sz w:val="20"/>
              </w:rPr>
              <w:t xml:space="preserve">радиографического</w:t>
            </w:r>
          </w:p>
        </w:tc>
        <w:tc>
          <w:tcPr>
            <w:gridSpan w:val="2"/>
            <w:tcW w:w="2721" w:type="dxa"/>
          </w:tcPr>
          <w:p>
            <w:pPr>
              <w:pStyle w:val="0"/>
              <w:jc w:val="center"/>
            </w:pPr>
            <w:r>
              <w:rPr>
                <w:sz w:val="20"/>
              </w:rPr>
              <w:t xml:space="preserve">герметичности</w:t>
            </w:r>
          </w:p>
        </w:tc>
      </w:tr>
      <w:tr>
        <w:tc>
          <w:tcPr>
            <w:vMerge w:val="continue"/>
          </w:tcPr>
          <w:p/>
        </w:tc>
        <w:tc>
          <w:tcPr>
            <w:vMerge w:val="continue"/>
          </w:tcPr>
          <w:p/>
        </w:tc>
        <w:tc>
          <w:tcPr>
            <w:tcW w:w="1267" w:type="dxa"/>
          </w:tcPr>
          <w:p>
            <w:pPr>
              <w:pStyle w:val="0"/>
              <w:jc w:val="center"/>
            </w:pPr>
            <w:r>
              <w:rPr>
                <w:sz w:val="20"/>
              </w:rPr>
              <w:t xml:space="preserve">D</w:t>
            </w:r>
            <w:r>
              <w:rPr>
                <w:sz w:val="20"/>
                <w:vertAlign w:val="subscript"/>
              </w:rPr>
              <w:t xml:space="preserve">н</w:t>
            </w:r>
            <w:r>
              <w:rPr>
                <w:sz w:val="20"/>
              </w:rPr>
              <w:t xml:space="preserve">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16,0 мм</w:t>
            </w:r>
          </w:p>
        </w:tc>
        <w:tc>
          <w:tcPr>
            <w:tcW w:w="1277" w:type="dxa"/>
          </w:tcPr>
          <w:p>
            <w:pPr>
              <w:pStyle w:val="0"/>
              <w:jc w:val="center"/>
            </w:pPr>
            <w:r>
              <w:rPr>
                <w:sz w:val="20"/>
              </w:rPr>
              <w:t xml:space="preserve">D</w:t>
            </w:r>
            <w:r>
              <w:rPr>
                <w:sz w:val="20"/>
                <w:vertAlign w:val="subscript"/>
              </w:rPr>
              <w:t xml:space="preserve">н</w:t>
            </w:r>
            <w:r>
              <w:rPr>
                <w:sz w:val="20"/>
              </w:rPr>
              <w:t xml:space="preserve"> &gt; 16,0 мм</w:t>
            </w:r>
          </w:p>
        </w:tc>
        <w:tc>
          <w:tcPr>
            <w:vMerge w:val="continue"/>
          </w:tcPr>
          <w:p/>
        </w:tc>
        <w:tc>
          <w:tcPr>
            <w:tcW w:w="1281" w:type="dxa"/>
          </w:tcPr>
          <w:p>
            <w:pPr>
              <w:pStyle w:val="0"/>
              <w:jc w:val="center"/>
            </w:pPr>
            <w:r>
              <w:rPr>
                <w:sz w:val="20"/>
              </w:rPr>
              <w:t xml:space="preserve">D</w:t>
            </w:r>
            <w:r>
              <w:rPr>
                <w:sz w:val="20"/>
                <w:vertAlign w:val="subscript"/>
              </w:rPr>
              <w:t xml:space="preserve">н</w:t>
            </w:r>
            <w:r>
              <w:rPr>
                <w:sz w:val="20"/>
              </w:rPr>
              <w:t xml:space="preserve">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16,0 мм</w:t>
            </w:r>
          </w:p>
        </w:tc>
        <w:tc>
          <w:tcPr>
            <w:tcW w:w="1440" w:type="dxa"/>
          </w:tcPr>
          <w:p>
            <w:pPr>
              <w:pStyle w:val="0"/>
              <w:jc w:val="center"/>
            </w:pPr>
            <w:r>
              <w:rPr>
                <w:sz w:val="20"/>
              </w:rPr>
              <w:t xml:space="preserve">D</w:t>
            </w:r>
            <w:r>
              <w:rPr>
                <w:sz w:val="20"/>
                <w:vertAlign w:val="subscript"/>
              </w:rPr>
              <w:t xml:space="preserve">н</w:t>
            </w:r>
            <w:r>
              <w:rPr>
                <w:sz w:val="20"/>
              </w:rPr>
              <w:t xml:space="preserve"> &gt; 16,0 мм</w:t>
            </w:r>
          </w:p>
        </w:tc>
      </w:tr>
      <w:tr>
        <w:tc>
          <w:tcPr>
            <w:tcW w:w="1392" w:type="dxa"/>
            <w:vAlign w:val="center"/>
          </w:tcPr>
          <w:p>
            <w:pPr>
              <w:pStyle w:val="0"/>
              <w:jc w:val="center"/>
            </w:pPr>
            <w:r>
              <w:rPr>
                <w:sz w:val="20"/>
              </w:rPr>
              <w:t xml:space="preserve">I</w:t>
            </w:r>
          </w:p>
        </w:tc>
        <w:tc>
          <w:tcPr>
            <w:tcW w:w="989" w:type="dxa"/>
            <w:vAlign w:val="center"/>
          </w:tcPr>
          <w:p>
            <w:pPr>
              <w:pStyle w:val="0"/>
              <w:jc w:val="center"/>
            </w:pPr>
            <w:r>
              <w:rPr>
                <w:sz w:val="20"/>
              </w:rPr>
              <w:t xml:space="preserve">100</w:t>
            </w:r>
          </w:p>
        </w:tc>
        <w:tc>
          <w:tcPr>
            <w:tcW w:w="1267" w:type="dxa"/>
            <w:vAlign w:val="center"/>
          </w:tcPr>
          <w:p>
            <w:pPr>
              <w:pStyle w:val="0"/>
              <w:jc w:val="center"/>
            </w:pPr>
            <w:r>
              <w:rPr>
                <w:sz w:val="20"/>
              </w:rPr>
              <w:t xml:space="preserve">100</w:t>
            </w:r>
          </w:p>
        </w:tc>
        <w:tc>
          <w:tcPr>
            <w:tcW w:w="1277" w:type="dxa"/>
            <w:vAlign w:val="center"/>
          </w:tcPr>
          <w:p>
            <w:pPr>
              <w:pStyle w:val="0"/>
              <w:jc w:val="center"/>
            </w:pPr>
            <w:r>
              <w:rPr>
                <w:sz w:val="20"/>
              </w:rPr>
              <w:t xml:space="preserve">100</w:t>
            </w:r>
          </w:p>
        </w:tc>
        <w:tc>
          <w:tcPr>
            <w:tcW w:w="1416" w:type="dxa"/>
            <w:vAlign w:val="center"/>
          </w:tcPr>
          <w:p>
            <w:pPr>
              <w:pStyle w:val="0"/>
              <w:jc w:val="center"/>
            </w:pPr>
            <w:hyperlink w:history="0" w:anchor="P984" w:tooltip="&lt;*&gt; Необходимость и объем радиографического контроля устанавливаются требованиями конструкторской документации.">
              <w:r>
                <w:rPr>
                  <w:sz w:val="20"/>
                  <w:color w:val="0000ff"/>
                </w:rPr>
                <w:t xml:space="preserve">&lt;*&gt;</w:t>
              </w:r>
            </w:hyperlink>
          </w:p>
        </w:tc>
        <w:tc>
          <w:tcPr>
            <w:tcW w:w="1281" w:type="dxa"/>
            <w:vAlign w:val="center"/>
          </w:tcPr>
          <w:p>
            <w:pPr>
              <w:pStyle w:val="0"/>
              <w:jc w:val="center"/>
            </w:pPr>
            <w:r>
              <w:rPr>
                <w:sz w:val="20"/>
              </w:rPr>
              <w:t xml:space="preserve">100</w:t>
            </w:r>
          </w:p>
        </w:tc>
        <w:tc>
          <w:tcPr>
            <w:tcW w:w="1440" w:type="dxa"/>
            <w:vAlign w:val="center"/>
          </w:tcPr>
          <w:p>
            <w:pPr>
              <w:pStyle w:val="0"/>
              <w:jc w:val="center"/>
            </w:pPr>
            <w:r>
              <w:rPr>
                <w:sz w:val="20"/>
              </w:rPr>
              <w:t xml:space="preserve">100</w:t>
            </w:r>
          </w:p>
        </w:tc>
      </w:tr>
      <w:tr>
        <w:tc>
          <w:tcPr>
            <w:tcW w:w="1392" w:type="dxa"/>
            <w:vAlign w:val="center"/>
          </w:tcPr>
          <w:p>
            <w:pPr>
              <w:pStyle w:val="0"/>
              <w:jc w:val="center"/>
            </w:pPr>
            <w:r>
              <w:rPr>
                <w:sz w:val="20"/>
              </w:rPr>
              <w:t xml:space="preserve">Iн, IIна</w:t>
            </w:r>
          </w:p>
        </w:tc>
        <w:tc>
          <w:tcPr>
            <w:tcW w:w="989" w:type="dxa"/>
            <w:vAlign w:val="center"/>
          </w:tcPr>
          <w:p>
            <w:pPr>
              <w:pStyle w:val="0"/>
              <w:jc w:val="center"/>
            </w:pPr>
            <w:r>
              <w:rPr>
                <w:sz w:val="20"/>
              </w:rPr>
              <w:t xml:space="preserve">100</w:t>
            </w:r>
          </w:p>
        </w:tc>
        <w:tc>
          <w:tcPr>
            <w:tcW w:w="1267" w:type="dxa"/>
            <w:vAlign w:val="center"/>
          </w:tcPr>
          <w:p>
            <w:pPr>
              <w:pStyle w:val="0"/>
              <w:jc w:val="center"/>
            </w:pPr>
            <w:r>
              <w:rPr>
                <w:sz w:val="20"/>
              </w:rPr>
              <w:t xml:space="preserve">100</w:t>
            </w:r>
          </w:p>
        </w:tc>
        <w:tc>
          <w:tcPr>
            <w:tcW w:w="1277" w:type="dxa"/>
            <w:vAlign w:val="center"/>
          </w:tcPr>
          <w:p>
            <w:pPr>
              <w:pStyle w:val="0"/>
              <w:jc w:val="center"/>
            </w:pPr>
            <w:r>
              <w:rPr>
                <w:sz w:val="20"/>
              </w:rPr>
              <w:t xml:space="preserve">100</w:t>
            </w:r>
          </w:p>
        </w:tc>
        <w:tc>
          <w:tcPr>
            <w:tcW w:w="1416" w:type="dxa"/>
            <w:vAlign w:val="center"/>
          </w:tcPr>
          <w:p>
            <w:pPr>
              <w:pStyle w:val="0"/>
              <w:jc w:val="center"/>
            </w:pPr>
            <w:r>
              <w:rPr>
                <w:sz w:val="20"/>
              </w:rPr>
              <w:t xml:space="preserve">100</w:t>
            </w:r>
          </w:p>
        </w:tc>
        <w:tc>
          <w:tcPr>
            <w:tcW w:w="1281" w:type="dxa"/>
            <w:vAlign w:val="center"/>
          </w:tcPr>
          <w:p>
            <w:pPr>
              <w:pStyle w:val="0"/>
              <w:jc w:val="center"/>
            </w:pPr>
            <w:r>
              <w:rPr>
                <w:sz w:val="20"/>
              </w:rPr>
              <w:t xml:space="preserve">100</w:t>
            </w:r>
          </w:p>
        </w:tc>
        <w:tc>
          <w:tcPr>
            <w:tcW w:w="1440" w:type="dxa"/>
            <w:vAlign w:val="center"/>
            <w:vMerge w:val="restart"/>
          </w:tcPr>
          <w:p>
            <w:pPr>
              <w:pStyle w:val="0"/>
              <w:jc w:val="center"/>
            </w:pPr>
            <w:r>
              <w:rPr>
                <w:sz w:val="20"/>
              </w:rPr>
              <w:t xml:space="preserve">при наличии требований в конструкторской документации</w:t>
            </w:r>
          </w:p>
        </w:tc>
      </w:tr>
      <w:tr>
        <w:tc>
          <w:tcPr>
            <w:tcW w:w="1392" w:type="dxa"/>
            <w:vAlign w:val="center"/>
          </w:tcPr>
          <w:p>
            <w:pPr>
              <w:pStyle w:val="0"/>
              <w:jc w:val="center"/>
            </w:pPr>
            <w:r>
              <w:rPr>
                <w:sz w:val="20"/>
              </w:rPr>
              <w:t xml:space="preserve">II, IIа</w:t>
            </w:r>
          </w:p>
        </w:tc>
        <w:tc>
          <w:tcPr>
            <w:tcW w:w="989" w:type="dxa"/>
            <w:vAlign w:val="center"/>
          </w:tcPr>
          <w:p>
            <w:pPr>
              <w:pStyle w:val="0"/>
              <w:jc w:val="center"/>
            </w:pPr>
            <w:r>
              <w:rPr>
                <w:sz w:val="20"/>
              </w:rPr>
              <w:t xml:space="preserve">100</w:t>
            </w:r>
          </w:p>
        </w:tc>
        <w:tc>
          <w:tcPr>
            <w:tcW w:w="1267" w:type="dxa"/>
            <w:vAlign w:val="center"/>
          </w:tcPr>
          <w:p>
            <w:pPr>
              <w:pStyle w:val="0"/>
              <w:jc w:val="center"/>
            </w:pPr>
            <w:r>
              <w:rPr>
                <w:sz w:val="20"/>
              </w:rPr>
              <w:t xml:space="preserve">50</w:t>
            </w:r>
          </w:p>
        </w:tc>
        <w:tc>
          <w:tcPr>
            <w:tcW w:w="1277" w:type="dxa"/>
            <w:vAlign w:val="center"/>
          </w:tcPr>
          <w:p>
            <w:pPr>
              <w:pStyle w:val="0"/>
              <w:jc w:val="center"/>
            </w:pPr>
            <w:r>
              <w:rPr>
                <w:sz w:val="20"/>
              </w:rPr>
              <w:t xml:space="preserve">50</w:t>
            </w:r>
          </w:p>
        </w:tc>
        <w:tc>
          <w:tcPr>
            <w:tcW w:w="1416" w:type="dxa"/>
            <w:vAlign w:val="center"/>
          </w:tcPr>
          <w:p>
            <w:pPr>
              <w:pStyle w:val="0"/>
              <w:jc w:val="center"/>
            </w:pPr>
            <w:hyperlink w:history="0" w:anchor="P984" w:tooltip="&lt;*&gt; Необходимость и объем радиографического контроля устанавливаются требованиями конструкторской документации.">
              <w:r>
                <w:rPr>
                  <w:sz w:val="20"/>
                  <w:color w:val="0000ff"/>
                </w:rPr>
                <w:t xml:space="preserve">&lt;*&gt;</w:t>
              </w:r>
            </w:hyperlink>
          </w:p>
        </w:tc>
        <w:tc>
          <w:tcPr>
            <w:tcW w:w="1281" w:type="dxa"/>
            <w:vAlign w:val="center"/>
          </w:tcPr>
          <w:p>
            <w:pPr>
              <w:pStyle w:val="0"/>
              <w:jc w:val="center"/>
            </w:pPr>
            <w:r>
              <w:rPr>
                <w:sz w:val="20"/>
              </w:rPr>
              <w:t xml:space="preserve">100</w:t>
            </w:r>
          </w:p>
        </w:tc>
        <w:tc>
          <w:tcPr>
            <w:vMerge w:val="continue"/>
          </w:tcPr>
          <w:p/>
        </w:tc>
      </w:tr>
      <w:tr>
        <w:tc>
          <w:tcPr>
            <w:tcW w:w="1392" w:type="dxa"/>
            <w:vAlign w:val="center"/>
          </w:tcPr>
          <w:p>
            <w:pPr>
              <w:pStyle w:val="0"/>
              <w:jc w:val="center"/>
            </w:pPr>
            <w:r>
              <w:rPr>
                <w:sz w:val="20"/>
              </w:rPr>
              <w:t xml:space="preserve">IIнв, IIнс</w:t>
            </w:r>
          </w:p>
        </w:tc>
        <w:tc>
          <w:tcPr>
            <w:tcW w:w="989" w:type="dxa"/>
            <w:vAlign w:val="center"/>
          </w:tcPr>
          <w:p>
            <w:pPr>
              <w:pStyle w:val="0"/>
              <w:jc w:val="center"/>
            </w:pPr>
            <w:r>
              <w:rPr>
                <w:sz w:val="20"/>
              </w:rPr>
              <w:t xml:space="preserve">100</w:t>
            </w:r>
          </w:p>
        </w:tc>
        <w:tc>
          <w:tcPr>
            <w:tcW w:w="1267" w:type="dxa"/>
            <w:vAlign w:val="center"/>
          </w:tcPr>
          <w:p>
            <w:pPr>
              <w:pStyle w:val="0"/>
              <w:jc w:val="center"/>
            </w:pPr>
            <w:r>
              <w:rPr>
                <w:sz w:val="20"/>
              </w:rPr>
              <w:t xml:space="preserve">50</w:t>
            </w:r>
          </w:p>
        </w:tc>
        <w:tc>
          <w:tcPr>
            <w:tcW w:w="1277" w:type="dxa"/>
            <w:vAlign w:val="center"/>
          </w:tcPr>
          <w:p>
            <w:pPr>
              <w:pStyle w:val="0"/>
              <w:jc w:val="center"/>
            </w:pPr>
            <w:r>
              <w:rPr>
                <w:sz w:val="20"/>
              </w:rPr>
              <w:t xml:space="preserve">50</w:t>
            </w:r>
          </w:p>
        </w:tc>
        <w:tc>
          <w:tcPr>
            <w:tcW w:w="1416" w:type="dxa"/>
            <w:vAlign w:val="center"/>
          </w:tcPr>
          <w:p>
            <w:pPr>
              <w:pStyle w:val="0"/>
              <w:jc w:val="center"/>
            </w:pPr>
            <w:hyperlink w:history="0" w:anchor="P984" w:tooltip="&lt;*&gt; Необходимость и объем радиографического контроля устанавливаются требованиями конструкторской документации.">
              <w:r>
                <w:rPr>
                  <w:sz w:val="20"/>
                  <w:color w:val="0000ff"/>
                </w:rPr>
                <w:t xml:space="preserve">&lt;*&gt;</w:t>
              </w:r>
            </w:hyperlink>
          </w:p>
        </w:tc>
        <w:tc>
          <w:tcPr>
            <w:tcW w:w="1281" w:type="dxa"/>
            <w:vAlign w:val="center"/>
          </w:tcPr>
          <w:p>
            <w:pPr>
              <w:pStyle w:val="0"/>
              <w:jc w:val="center"/>
            </w:pPr>
            <w:r>
              <w:rPr>
                <w:sz w:val="20"/>
              </w:rPr>
              <w:t xml:space="preserve">100</w:t>
            </w:r>
          </w:p>
        </w:tc>
        <w:tc>
          <w:tcPr>
            <w:vMerge w:val="continue"/>
          </w:tcPr>
          <w:p/>
        </w:tc>
      </w:tr>
      <w:tr>
        <w:tc>
          <w:tcPr>
            <w:tcW w:w="1392" w:type="dxa"/>
            <w:vAlign w:val="center"/>
          </w:tcPr>
          <w:p>
            <w:pPr>
              <w:pStyle w:val="0"/>
              <w:jc w:val="center"/>
            </w:pPr>
            <w:r>
              <w:rPr>
                <w:sz w:val="20"/>
              </w:rPr>
              <w:t xml:space="preserve">IIв, IIIа</w:t>
            </w:r>
          </w:p>
        </w:tc>
        <w:tc>
          <w:tcPr>
            <w:tcW w:w="989" w:type="dxa"/>
            <w:vAlign w:val="center"/>
          </w:tcPr>
          <w:p>
            <w:pPr>
              <w:pStyle w:val="0"/>
              <w:jc w:val="center"/>
            </w:pPr>
            <w:r>
              <w:rPr>
                <w:sz w:val="20"/>
              </w:rPr>
              <w:t xml:space="preserve">100</w:t>
            </w:r>
          </w:p>
        </w:tc>
        <w:tc>
          <w:tcPr>
            <w:tcW w:w="1267" w:type="dxa"/>
            <w:vAlign w:val="center"/>
          </w:tcPr>
          <w:p>
            <w:pPr>
              <w:pStyle w:val="0"/>
              <w:jc w:val="center"/>
            </w:pPr>
            <w:r>
              <w:rPr>
                <w:sz w:val="20"/>
              </w:rPr>
              <w:t xml:space="preserve">25</w:t>
            </w:r>
          </w:p>
        </w:tc>
        <w:tc>
          <w:tcPr>
            <w:tcW w:w="1277" w:type="dxa"/>
            <w:vAlign w:val="center"/>
          </w:tcPr>
          <w:p>
            <w:pPr>
              <w:pStyle w:val="0"/>
              <w:jc w:val="center"/>
            </w:pPr>
            <w:r>
              <w:rPr>
                <w:sz w:val="20"/>
              </w:rPr>
              <w:t xml:space="preserve">-</w:t>
            </w:r>
          </w:p>
        </w:tc>
        <w:tc>
          <w:tcPr>
            <w:tcW w:w="1416" w:type="dxa"/>
            <w:vAlign w:val="center"/>
          </w:tcPr>
          <w:p>
            <w:pPr>
              <w:pStyle w:val="0"/>
              <w:jc w:val="center"/>
            </w:pPr>
            <w:r>
              <w:rPr>
                <w:sz w:val="20"/>
              </w:rPr>
              <w:t xml:space="preserve">-</w:t>
            </w:r>
          </w:p>
        </w:tc>
        <w:tc>
          <w:tcPr>
            <w:tcW w:w="1281" w:type="dxa"/>
            <w:vAlign w:val="center"/>
          </w:tcPr>
          <w:p>
            <w:pPr>
              <w:pStyle w:val="0"/>
              <w:jc w:val="center"/>
            </w:pPr>
            <w:r>
              <w:rPr>
                <w:sz w:val="20"/>
              </w:rPr>
              <w:t xml:space="preserve">100</w:t>
            </w:r>
          </w:p>
        </w:tc>
        <w:tc>
          <w:tcPr>
            <w:vMerge w:val="continue"/>
          </w:tcPr>
          <w:p/>
        </w:tc>
      </w:tr>
      <w:tr>
        <w:tc>
          <w:tcPr>
            <w:tcW w:w="1392" w:type="dxa"/>
            <w:vAlign w:val="center"/>
          </w:tcPr>
          <w:p>
            <w:pPr>
              <w:pStyle w:val="0"/>
              <w:jc w:val="center"/>
            </w:pPr>
            <w:r>
              <w:rPr>
                <w:sz w:val="20"/>
              </w:rPr>
              <w:t xml:space="preserve">IIIв</w:t>
            </w:r>
          </w:p>
        </w:tc>
        <w:tc>
          <w:tcPr>
            <w:tcW w:w="989" w:type="dxa"/>
            <w:vAlign w:val="center"/>
          </w:tcPr>
          <w:p>
            <w:pPr>
              <w:pStyle w:val="0"/>
              <w:jc w:val="center"/>
            </w:pPr>
            <w:r>
              <w:rPr>
                <w:sz w:val="20"/>
              </w:rPr>
              <w:t xml:space="preserve">100</w:t>
            </w:r>
          </w:p>
        </w:tc>
        <w:tc>
          <w:tcPr>
            <w:tcW w:w="1267" w:type="dxa"/>
            <w:vAlign w:val="center"/>
          </w:tcPr>
          <w:p>
            <w:pPr>
              <w:pStyle w:val="0"/>
              <w:jc w:val="center"/>
            </w:pPr>
            <w:r>
              <w:rPr>
                <w:sz w:val="20"/>
              </w:rPr>
              <w:t xml:space="preserve">10</w:t>
            </w:r>
          </w:p>
        </w:tc>
        <w:tc>
          <w:tcPr>
            <w:tcW w:w="1277" w:type="dxa"/>
            <w:vAlign w:val="center"/>
          </w:tcPr>
          <w:p>
            <w:pPr>
              <w:pStyle w:val="0"/>
              <w:jc w:val="center"/>
            </w:pPr>
            <w:r>
              <w:rPr>
                <w:sz w:val="20"/>
              </w:rPr>
              <w:t xml:space="preserve">-</w:t>
            </w:r>
          </w:p>
        </w:tc>
        <w:tc>
          <w:tcPr>
            <w:tcW w:w="1416" w:type="dxa"/>
            <w:vAlign w:val="center"/>
          </w:tcPr>
          <w:p>
            <w:pPr>
              <w:pStyle w:val="0"/>
              <w:jc w:val="center"/>
            </w:pPr>
            <w:r>
              <w:rPr>
                <w:sz w:val="20"/>
              </w:rPr>
              <w:t xml:space="preserve">-</w:t>
            </w:r>
          </w:p>
        </w:tc>
        <w:tc>
          <w:tcPr>
            <w:tcW w:w="1281" w:type="dxa"/>
            <w:vAlign w:val="center"/>
          </w:tcPr>
          <w:p>
            <w:pPr>
              <w:pStyle w:val="0"/>
              <w:jc w:val="center"/>
            </w:pPr>
            <w:r>
              <w:rPr>
                <w:sz w:val="20"/>
              </w:rPr>
              <w:t xml:space="preserve">100</w:t>
            </w:r>
          </w:p>
        </w:tc>
        <w:tc>
          <w:tcPr>
            <w:vMerge w:val="continue"/>
          </w:tcPr>
          <w:p/>
        </w:tc>
      </w:tr>
      <w:tr>
        <w:tc>
          <w:tcPr>
            <w:tcW w:w="1392" w:type="dxa"/>
            <w:vAlign w:val="center"/>
          </w:tcPr>
          <w:p>
            <w:pPr>
              <w:pStyle w:val="0"/>
              <w:jc w:val="center"/>
            </w:pPr>
            <w:r>
              <w:rPr>
                <w:sz w:val="20"/>
              </w:rPr>
              <w:t xml:space="preserve">IIIс</w:t>
            </w:r>
          </w:p>
        </w:tc>
        <w:tc>
          <w:tcPr>
            <w:tcW w:w="989" w:type="dxa"/>
            <w:vAlign w:val="center"/>
          </w:tcPr>
          <w:p>
            <w:pPr>
              <w:pStyle w:val="0"/>
              <w:jc w:val="center"/>
            </w:pPr>
            <w:r>
              <w:rPr>
                <w:sz w:val="20"/>
              </w:rPr>
              <w:t xml:space="preserve">100</w:t>
            </w:r>
          </w:p>
        </w:tc>
        <w:tc>
          <w:tcPr>
            <w:tcW w:w="1267" w:type="dxa"/>
            <w:vAlign w:val="center"/>
          </w:tcPr>
          <w:p>
            <w:pPr>
              <w:pStyle w:val="0"/>
              <w:jc w:val="center"/>
            </w:pPr>
            <w:r>
              <w:rPr>
                <w:sz w:val="20"/>
              </w:rPr>
              <w:t xml:space="preserve">-</w:t>
            </w:r>
          </w:p>
        </w:tc>
        <w:tc>
          <w:tcPr>
            <w:tcW w:w="1277" w:type="dxa"/>
            <w:vAlign w:val="center"/>
          </w:tcPr>
          <w:p>
            <w:pPr>
              <w:pStyle w:val="0"/>
              <w:jc w:val="center"/>
            </w:pPr>
            <w:r>
              <w:rPr>
                <w:sz w:val="20"/>
              </w:rPr>
              <w:t xml:space="preserve">-</w:t>
            </w:r>
          </w:p>
        </w:tc>
        <w:tc>
          <w:tcPr>
            <w:tcW w:w="1416" w:type="dxa"/>
            <w:vAlign w:val="center"/>
          </w:tcPr>
          <w:p>
            <w:pPr>
              <w:pStyle w:val="0"/>
              <w:jc w:val="center"/>
            </w:pPr>
            <w:r>
              <w:rPr>
                <w:sz w:val="20"/>
              </w:rPr>
              <w:t xml:space="preserve">-</w:t>
            </w:r>
          </w:p>
        </w:tc>
        <w:tc>
          <w:tcPr>
            <w:tcW w:w="1281" w:type="dxa"/>
            <w:vAlign w:val="center"/>
          </w:tcPr>
          <w:p>
            <w:pPr>
              <w:pStyle w:val="0"/>
              <w:jc w:val="center"/>
            </w:pPr>
            <w:r>
              <w:rPr>
                <w:sz w:val="20"/>
              </w:rPr>
              <w:t xml:space="preserve">100</w:t>
            </w:r>
          </w:p>
        </w:tc>
        <w:tc>
          <w:tcPr>
            <w:vMerge w:val="continue"/>
          </w:tcPr>
          <w:p/>
        </w:tc>
      </w:tr>
      <w:tr>
        <w:tc>
          <w:tcPr>
            <w:gridSpan w:val="7"/>
            <w:tcW w:w="9062" w:type="dxa"/>
          </w:tcPr>
          <w:p>
            <w:pPr>
              <w:pStyle w:val="0"/>
            </w:pPr>
            <w:r>
              <w:rPr>
                <w:sz w:val="20"/>
              </w:rPr>
              <w:t xml:space="preserve">Примечания.</w:t>
            </w:r>
          </w:p>
          <w:p>
            <w:pPr>
              <w:pStyle w:val="0"/>
            </w:pPr>
            <w:r>
              <w:rPr>
                <w:sz w:val="20"/>
              </w:rPr>
              <w:t xml:space="preserve">1. D</w:t>
            </w:r>
            <w:r>
              <w:rPr>
                <w:sz w:val="20"/>
                <w:vertAlign w:val="subscript"/>
              </w:rPr>
              <w:t xml:space="preserve">н</w:t>
            </w:r>
            <w:r>
              <w:rPr>
                <w:sz w:val="20"/>
              </w:rPr>
              <w:t xml:space="preserve"> - номинальный диаметр трубы.</w:t>
            </w:r>
          </w:p>
          <w:p>
            <w:pPr>
              <w:pStyle w:val="0"/>
            </w:pPr>
            <w:r>
              <w:rPr>
                <w:sz w:val="20"/>
              </w:rPr>
              <w:t xml:space="preserve">2. Необходимость и объем ультразвукового контроля устанавливаются требованиями конструкторской документации.</w:t>
            </w:r>
          </w:p>
          <w:bookmarkStart w:id="984" w:name="P984"/>
          <w:bookmarkEnd w:id="984"/>
          <w:p>
            <w:pPr>
              <w:pStyle w:val="0"/>
            </w:pPr>
            <w:r>
              <w:rPr>
                <w:sz w:val="20"/>
              </w:rPr>
              <w:t xml:space="preserve">&lt;*&gt; Необходимость и объем радиографического контроля устанавливаются требованиями конструкторской документации.</w:t>
            </w:r>
          </w:p>
          <w:bookmarkStart w:id="985" w:name="P985"/>
          <w:bookmarkEnd w:id="985"/>
          <w:p>
            <w:pPr>
              <w:pStyle w:val="0"/>
            </w:pPr>
            <w:r>
              <w:rPr>
                <w:sz w:val="20"/>
              </w:rPr>
              <w:t xml:space="preserve">&lt;**&gt; Конкретный метод устанавливается требованиями конструкторской документации.</w:t>
            </w:r>
          </w:p>
        </w:tc>
      </w:tr>
    </w:tbl>
    <w:p>
      <w:pPr>
        <w:pStyle w:val="0"/>
        <w:jc w:val="both"/>
      </w:pPr>
      <w:r>
        <w:rPr>
          <w:sz w:val="20"/>
        </w:rPr>
      </w:r>
    </w:p>
    <w:p>
      <w:pPr>
        <w:pStyle w:val="0"/>
        <w:ind w:firstLine="540"/>
        <w:jc w:val="both"/>
      </w:pPr>
      <w:r>
        <w:rPr>
          <w:sz w:val="20"/>
        </w:rPr>
        <w:t xml:space="preserve">2. Радиографический контроль в соответствии с </w:t>
      </w:r>
      <w:hyperlink w:history="0" w:anchor="P925" w:tooltip="Таблица N 2.1">
        <w:r>
          <w:rPr>
            <w:sz w:val="20"/>
            <w:color w:val="0000ff"/>
          </w:rPr>
          <w:t xml:space="preserve">таблицей N 2.1</w:t>
        </w:r>
      </w:hyperlink>
      <w:r>
        <w:rPr>
          <w:sz w:val="20"/>
        </w:rPr>
        <w:t xml:space="preserve"> настоящего приложения выполняется на сварных соединениях с минимальной глубиной проплавления (от зеркала трубной доски или коллектора) не менее 2,5 мм.</w:t>
      </w:r>
    </w:p>
    <w:p>
      <w:pPr>
        <w:pStyle w:val="0"/>
        <w:spacing w:before="200" w:line-rule="auto"/>
        <w:ind w:firstLine="540"/>
        <w:jc w:val="both"/>
      </w:pPr>
      <w:r>
        <w:rPr>
          <w:sz w:val="20"/>
        </w:rPr>
        <w:t xml:space="preserve">2(1). Измерительному контролю в соответствии с </w:t>
      </w:r>
      <w:hyperlink w:history="0" w:anchor="P925" w:tooltip="Таблица N 2.1">
        <w:r>
          <w:rPr>
            <w:sz w:val="20"/>
            <w:color w:val="0000ff"/>
          </w:rPr>
          <w:t xml:space="preserve">таблицей N 2.1</w:t>
        </w:r>
      </w:hyperlink>
      <w:r>
        <w:rPr>
          <w:sz w:val="20"/>
        </w:rPr>
        <w:t xml:space="preserve"> настоящего приложения в объеме 100% подлежат сварные швы, выполненные ручной дуговой или аргонодуговой сваркой. Необходимость и объем измерительного контроля при использовании автоматизированной сварки устанавливаются конструкторской документацией.</w:t>
      </w:r>
    </w:p>
    <w:p>
      <w:pPr>
        <w:pStyle w:val="0"/>
        <w:jc w:val="both"/>
      </w:pPr>
      <w:r>
        <w:rPr>
          <w:sz w:val="20"/>
        </w:rPr>
        <w:t xml:space="preserve">(п. 2(1) введен </w:t>
      </w:r>
      <w:hyperlink w:history="0" r:id="rId74"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Приказом</w:t>
        </w:r>
      </w:hyperlink>
      <w:r>
        <w:rPr>
          <w:sz w:val="20"/>
        </w:rPr>
        <w:t xml:space="preserve"> Ростехнадзора от 08.07.2024 N 211)</w:t>
      </w:r>
    </w:p>
    <w:p>
      <w:pPr>
        <w:pStyle w:val="0"/>
        <w:spacing w:before="200" w:line-rule="auto"/>
        <w:ind w:firstLine="540"/>
        <w:jc w:val="both"/>
      </w:pPr>
      <w:r>
        <w:rPr>
          <w:sz w:val="20"/>
        </w:rPr>
        <w:t xml:space="preserve">3. Контроль герметичности проводится гелиевыми течеискателями.</w:t>
      </w:r>
    </w:p>
    <w:bookmarkStart w:id="991" w:name="P991"/>
    <w:bookmarkEnd w:id="991"/>
    <w:p>
      <w:pPr>
        <w:pStyle w:val="0"/>
        <w:spacing w:before="200" w:line-rule="auto"/>
        <w:ind w:firstLine="540"/>
        <w:jc w:val="both"/>
      </w:pPr>
      <w:r>
        <w:rPr>
          <w:sz w:val="20"/>
        </w:rPr>
        <w:t xml:space="preserve">4. При вварке стальных труб ручной дуговой сваркой металлографические исследования контрольных сварных соединений выполняются в начале каждой смены. Отбор проб производится не менее чем из четырех сечений каждого контрольного сварного соединения. При использовании автоматизированной сварки объем металлографических исследований устанавливается конструкторской и технологической документацией.</w:t>
      </w:r>
    </w:p>
    <w:p>
      <w:pPr>
        <w:pStyle w:val="0"/>
        <w:spacing w:before="200" w:line-rule="auto"/>
        <w:ind w:firstLine="540"/>
        <w:jc w:val="both"/>
      </w:pPr>
      <w:r>
        <w:rPr>
          <w:sz w:val="20"/>
        </w:rPr>
        <w:t xml:space="preserve">5. Методы и объем неразрушающего контроля сварных соединений вварки труб из титановых сплавов в трубные доски и в коллекторы оборудования приведены в таблице N 2.2 настоящего приложения.</w:t>
      </w:r>
    </w:p>
    <w:p>
      <w:pPr>
        <w:pStyle w:val="0"/>
        <w:jc w:val="both"/>
      </w:pPr>
      <w:r>
        <w:rPr>
          <w:sz w:val="20"/>
        </w:rPr>
      </w:r>
    </w:p>
    <w:bookmarkStart w:id="994" w:name="P994"/>
    <w:bookmarkEnd w:id="994"/>
    <w:p>
      <w:pPr>
        <w:pStyle w:val="0"/>
        <w:outlineLvl w:val="2"/>
        <w:jc w:val="right"/>
      </w:pPr>
      <w:r>
        <w:rPr>
          <w:sz w:val="20"/>
        </w:rPr>
        <w:t xml:space="preserve">Таблица N 2.2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99"/>
        <w:gridCol w:w="2778"/>
        <w:gridCol w:w="2438"/>
        <w:gridCol w:w="2154"/>
      </w:tblGrid>
      <w:tr>
        <w:tc>
          <w:tcPr>
            <w:tcW w:w="1699" w:type="dxa"/>
            <w:vMerge w:val="restart"/>
          </w:tcPr>
          <w:p>
            <w:pPr>
              <w:pStyle w:val="0"/>
              <w:jc w:val="center"/>
            </w:pPr>
            <w:r>
              <w:rPr>
                <w:sz w:val="20"/>
              </w:rPr>
              <w:t xml:space="preserve">Категория сварных соединений</w:t>
            </w:r>
          </w:p>
        </w:tc>
        <w:tc>
          <w:tcPr>
            <w:gridSpan w:val="2"/>
            <w:tcW w:w="5216" w:type="dxa"/>
          </w:tcPr>
          <w:p>
            <w:pPr>
              <w:pStyle w:val="0"/>
              <w:jc w:val="center"/>
            </w:pPr>
            <w:r>
              <w:rPr>
                <w:sz w:val="20"/>
              </w:rPr>
              <w:t xml:space="preserve">Объем контроля, %</w:t>
            </w:r>
          </w:p>
        </w:tc>
        <w:tc>
          <w:tcPr>
            <w:tcW w:w="2154" w:type="dxa"/>
          </w:tcPr>
          <w:p>
            <w:pPr>
              <w:pStyle w:val="0"/>
              <w:jc w:val="center"/>
            </w:pPr>
            <w:r>
              <w:rPr>
                <w:sz w:val="20"/>
              </w:rPr>
            </w:r>
          </w:p>
        </w:tc>
      </w:tr>
      <w:tr>
        <w:tc>
          <w:tcPr>
            <w:vMerge w:val="continue"/>
          </w:tcPr>
          <w:p/>
        </w:tc>
        <w:tc>
          <w:tcPr>
            <w:tcW w:w="2778" w:type="dxa"/>
          </w:tcPr>
          <w:p>
            <w:pPr>
              <w:pStyle w:val="0"/>
              <w:jc w:val="center"/>
            </w:pPr>
            <w:r>
              <w:rPr>
                <w:sz w:val="20"/>
              </w:rPr>
              <w:t xml:space="preserve">визуального и измерительного</w:t>
            </w:r>
          </w:p>
        </w:tc>
        <w:tc>
          <w:tcPr>
            <w:tcW w:w="2438" w:type="dxa"/>
          </w:tcPr>
          <w:p>
            <w:pPr>
              <w:pStyle w:val="0"/>
              <w:jc w:val="center"/>
            </w:pPr>
            <w:r>
              <w:rPr>
                <w:sz w:val="20"/>
              </w:rPr>
              <w:t xml:space="preserve">радиографического</w:t>
            </w:r>
          </w:p>
        </w:tc>
        <w:tc>
          <w:tcPr>
            <w:tcW w:w="2154" w:type="dxa"/>
          </w:tcPr>
          <w:p>
            <w:pPr>
              <w:pStyle w:val="0"/>
              <w:jc w:val="center"/>
            </w:pPr>
            <w:r>
              <w:rPr>
                <w:sz w:val="20"/>
              </w:rPr>
              <w:t xml:space="preserve">капиллярного</w:t>
            </w:r>
          </w:p>
        </w:tc>
      </w:tr>
      <w:tr>
        <w:tc>
          <w:tcPr>
            <w:tcW w:w="1699" w:type="dxa"/>
            <w:vAlign w:val="center"/>
          </w:tcPr>
          <w:p>
            <w:pPr>
              <w:pStyle w:val="0"/>
              <w:jc w:val="center"/>
            </w:pPr>
            <w:r>
              <w:rPr>
                <w:sz w:val="20"/>
              </w:rPr>
              <w:t xml:space="preserve">I, IIа</w:t>
            </w:r>
          </w:p>
        </w:tc>
        <w:tc>
          <w:tcPr>
            <w:tcW w:w="2778" w:type="dxa"/>
            <w:vAlign w:val="center"/>
            <w:vMerge w:val="restart"/>
          </w:tcPr>
          <w:p>
            <w:pPr>
              <w:pStyle w:val="0"/>
              <w:jc w:val="center"/>
            </w:pPr>
            <w:r>
              <w:rPr>
                <w:sz w:val="20"/>
              </w:rPr>
              <w:t xml:space="preserve">100</w:t>
            </w:r>
          </w:p>
        </w:tc>
        <w:tc>
          <w:tcPr>
            <w:tcW w:w="2438" w:type="dxa"/>
            <w:vAlign w:val="center"/>
          </w:tcPr>
          <w:p>
            <w:pPr>
              <w:pStyle w:val="0"/>
              <w:jc w:val="center"/>
            </w:pPr>
            <w:r>
              <w:rPr>
                <w:sz w:val="20"/>
              </w:rPr>
              <w:t xml:space="preserve">100</w:t>
            </w:r>
          </w:p>
        </w:tc>
        <w:tc>
          <w:tcPr>
            <w:tcW w:w="2154" w:type="dxa"/>
            <w:vAlign w:val="center"/>
          </w:tcPr>
          <w:p>
            <w:pPr>
              <w:pStyle w:val="0"/>
              <w:jc w:val="center"/>
            </w:pPr>
            <w:r>
              <w:rPr>
                <w:sz w:val="20"/>
              </w:rPr>
              <w:t xml:space="preserve">100</w:t>
            </w:r>
          </w:p>
        </w:tc>
      </w:tr>
      <w:tr>
        <w:tc>
          <w:tcPr>
            <w:tcW w:w="1699" w:type="dxa"/>
            <w:vAlign w:val="center"/>
          </w:tcPr>
          <w:p>
            <w:pPr>
              <w:pStyle w:val="0"/>
              <w:jc w:val="center"/>
            </w:pPr>
            <w:r>
              <w:rPr>
                <w:sz w:val="20"/>
              </w:rPr>
              <w:t xml:space="preserve">IIв</w:t>
            </w:r>
          </w:p>
        </w:tc>
        <w:tc>
          <w:tcPr>
            <w:vMerge w:val="continue"/>
          </w:tcPr>
          <w:p/>
        </w:tc>
        <w:tc>
          <w:tcPr>
            <w:tcW w:w="2438" w:type="dxa"/>
            <w:vAlign w:val="center"/>
          </w:tcPr>
          <w:p>
            <w:pPr>
              <w:pStyle w:val="0"/>
              <w:jc w:val="center"/>
            </w:pPr>
            <w:r>
              <w:rPr>
                <w:sz w:val="20"/>
              </w:rPr>
              <w:t xml:space="preserve">50</w:t>
            </w:r>
          </w:p>
        </w:tc>
        <w:tc>
          <w:tcPr>
            <w:tcW w:w="2154" w:type="dxa"/>
            <w:vAlign w:val="center"/>
          </w:tcPr>
          <w:p>
            <w:pPr>
              <w:pStyle w:val="0"/>
              <w:jc w:val="center"/>
            </w:pPr>
            <w:r>
              <w:rPr>
                <w:sz w:val="20"/>
              </w:rPr>
              <w:t xml:space="preserve">50</w:t>
            </w:r>
          </w:p>
        </w:tc>
      </w:tr>
      <w:tr>
        <w:tc>
          <w:tcPr>
            <w:tcW w:w="1699" w:type="dxa"/>
            <w:vAlign w:val="center"/>
          </w:tcPr>
          <w:p>
            <w:pPr>
              <w:pStyle w:val="0"/>
              <w:jc w:val="center"/>
            </w:pPr>
            <w:r>
              <w:rPr>
                <w:sz w:val="20"/>
              </w:rPr>
              <w:t xml:space="preserve">IIIа</w:t>
            </w:r>
          </w:p>
        </w:tc>
        <w:tc>
          <w:tcPr>
            <w:vMerge w:val="continue"/>
          </w:tcPr>
          <w:p/>
        </w:tc>
        <w:tc>
          <w:tcPr>
            <w:tcW w:w="2438" w:type="dxa"/>
            <w:vAlign w:val="center"/>
          </w:tcPr>
          <w:p>
            <w:pPr>
              <w:pStyle w:val="0"/>
              <w:jc w:val="center"/>
            </w:pPr>
            <w:r>
              <w:rPr>
                <w:sz w:val="20"/>
              </w:rPr>
              <w:t xml:space="preserve">25</w:t>
            </w:r>
          </w:p>
        </w:tc>
        <w:tc>
          <w:tcPr>
            <w:tcW w:w="2154" w:type="dxa"/>
            <w:vAlign w:val="center"/>
          </w:tcPr>
          <w:p>
            <w:pPr>
              <w:pStyle w:val="0"/>
              <w:jc w:val="center"/>
            </w:pPr>
            <w:r>
              <w:rPr>
                <w:sz w:val="20"/>
              </w:rPr>
              <w:t xml:space="preserve">-</w:t>
            </w:r>
          </w:p>
        </w:tc>
      </w:tr>
      <w:tr>
        <w:tc>
          <w:tcPr>
            <w:tcW w:w="1699" w:type="dxa"/>
            <w:vAlign w:val="center"/>
          </w:tcPr>
          <w:p>
            <w:pPr>
              <w:pStyle w:val="0"/>
              <w:jc w:val="center"/>
            </w:pPr>
            <w:r>
              <w:rPr>
                <w:sz w:val="20"/>
              </w:rPr>
              <w:t xml:space="preserve">IIIв</w:t>
            </w:r>
          </w:p>
        </w:tc>
        <w:tc>
          <w:tcPr>
            <w:vMerge w:val="continue"/>
          </w:tcPr>
          <w:p/>
        </w:tc>
        <w:tc>
          <w:tcPr>
            <w:tcW w:w="2438" w:type="dxa"/>
            <w:vAlign w:val="center"/>
          </w:tcPr>
          <w:p>
            <w:pPr>
              <w:pStyle w:val="0"/>
              <w:jc w:val="center"/>
            </w:pPr>
            <w:r>
              <w:rPr>
                <w:sz w:val="20"/>
              </w:rPr>
              <w:t xml:space="preserve">10</w:t>
            </w:r>
          </w:p>
        </w:tc>
        <w:tc>
          <w:tcPr>
            <w:tcW w:w="2154" w:type="dxa"/>
            <w:vAlign w:val="center"/>
          </w:tcPr>
          <w:p>
            <w:pPr>
              <w:pStyle w:val="0"/>
              <w:jc w:val="center"/>
            </w:pPr>
            <w:r>
              <w:rPr>
                <w:sz w:val="20"/>
              </w:rPr>
              <w:t xml:space="preserve">-</w:t>
            </w:r>
          </w:p>
        </w:tc>
      </w:tr>
      <w:tr>
        <w:tc>
          <w:tcPr>
            <w:tcW w:w="1699" w:type="dxa"/>
            <w:vAlign w:val="center"/>
          </w:tcPr>
          <w:p>
            <w:pPr>
              <w:pStyle w:val="0"/>
              <w:jc w:val="center"/>
            </w:pPr>
            <w:r>
              <w:rPr>
                <w:sz w:val="20"/>
              </w:rPr>
              <w:t xml:space="preserve">IIIс</w:t>
            </w:r>
          </w:p>
        </w:tc>
        <w:tc>
          <w:tcPr>
            <w:vMerge w:val="continue"/>
          </w:tcPr>
          <w:p/>
        </w:tc>
        <w:tc>
          <w:tcPr>
            <w:tcW w:w="2438" w:type="dxa"/>
            <w:vAlign w:val="center"/>
          </w:tcPr>
          <w:p>
            <w:pPr>
              <w:pStyle w:val="0"/>
              <w:jc w:val="center"/>
            </w:pPr>
            <w:r>
              <w:rPr>
                <w:sz w:val="20"/>
              </w:rPr>
              <w:t xml:space="preserve">-</w:t>
            </w:r>
          </w:p>
        </w:tc>
        <w:tc>
          <w:tcPr>
            <w:tcW w:w="2154" w:type="dxa"/>
            <w:vAlign w:val="center"/>
          </w:tcPr>
          <w:p>
            <w:pPr>
              <w:pStyle w:val="0"/>
              <w:jc w:val="center"/>
            </w:pPr>
            <w:r>
              <w:rPr>
                <w:sz w:val="20"/>
              </w:rPr>
              <w:t xml:space="preserve">-</w:t>
            </w:r>
          </w:p>
        </w:tc>
      </w:tr>
      <w:tr>
        <w:tc>
          <w:tcPr>
            <w:gridSpan w:val="4"/>
            <w:tcW w:w="9069" w:type="dxa"/>
          </w:tcPr>
          <w:p>
            <w:pPr>
              <w:pStyle w:val="0"/>
              <w:jc w:val="both"/>
            </w:pPr>
            <w:r>
              <w:rPr>
                <w:sz w:val="20"/>
              </w:rPr>
              <w:t xml:space="preserve">Примечание. Ультразвуковой контроль и контроль герметичности выполняются при наличии требований в конструкторской документации.</w:t>
            </w:r>
          </w:p>
        </w:tc>
      </w:tr>
    </w:tbl>
    <w:p>
      <w:pPr>
        <w:pStyle w:val="0"/>
        <w:jc w:val="both"/>
      </w:pPr>
      <w:r>
        <w:rPr>
          <w:sz w:val="20"/>
        </w:rPr>
      </w:r>
    </w:p>
    <w:p>
      <w:pPr>
        <w:pStyle w:val="0"/>
        <w:ind w:firstLine="540"/>
        <w:jc w:val="both"/>
      </w:pPr>
      <w:r>
        <w:rPr>
          <w:sz w:val="20"/>
        </w:rPr>
        <w:t xml:space="preserve">6. Радиографический контроль в соответствии с </w:t>
      </w:r>
      <w:hyperlink w:history="0" w:anchor="P994" w:tooltip="Таблица N 2.2">
        <w:r>
          <w:rPr>
            <w:sz w:val="20"/>
            <w:color w:val="0000ff"/>
          </w:rPr>
          <w:t xml:space="preserve">таблицей N 2.2</w:t>
        </w:r>
      </w:hyperlink>
      <w:r>
        <w:rPr>
          <w:sz w:val="20"/>
        </w:rPr>
        <w:t xml:space="preserve"> настоящего приложения выполняется на сварных соединениях с минимальной глубиной проплавления (от зеркала трубной доски или коллектора) не менее 2,5 мм и внутренним диаметром трубы не менее 15,0 мм.</w:t>
      </w:r>
    </w:p>
    <w:bookmarkStart w:id="1021" w:name="P1021"/>
    <w:bookmarkEnd w:id="1021"/>
    <w:p>
      <w:pPr>
        <w:pStyle w:val="0"/>
        <w:spacing w:before="200" w:line-rule="auto"/>
        <w:ind w:firstLine="540"/>
        <w:jc w:val="both"/>
      </w:pPr>
      <w:r>
        <w:rPr>
          <w:sz w:val="20"/>
        </w:rPr>
        <w:t xml:space="preserve">7. Объем металлографических исследований сварных соединений вварки труб из титановых сплавов в трубные доски и в коллекторы устанавливается конструкторской и технологической документацией.</w:t>
      </w:r>
    </w:p>
    <w:p>
      <w:pPr>
        <w:pStyle w:val="0"/>
        <w:spacing w:before="200" w:line-rule="auto"/>
        <w:ind w:firstLine="540"/>
        <w:jc w:val="both"/>
      </w:pPr>
      <w:r>
        <w:rPr>
          <w:sz w:val="20"/>
        </w:rPr>
        <w:t xml:space="preserve">8. Значение глубины проплавления устанавливается в конструкторской документации.</w:t>
      </w:r>
    </w:p>
    <w:p>
      <w:pPr>
        <w:pStyle w:val="0"/>
        <w:spacing w:before="200" w:line-rule="auto"/>
        <w:ind w:firstLine="540"/>
        <w:jc w:val="both"/>
      </w:pPr>
      <w:r>
        <w:rPr>
          <w:sz w:val="20"/>
        </w:rPr>
        <w:t xml:space="preserve">9. Контрольные сварные соединения, указанные в </w:t>
      </w:r>
      <w:hyperlink w:history="0" w:anchor="P991" w:tooltip="4. При вварке стальных труб ручной дуговой сваркой металлографические исследования контрольных сварных соединений выполняются в начале каждой смены. Отбор проб производится не менее чем из четырех сечений каждого контрольного сварного соединения. При использовании автоматизированной сварки объем металлографических исследований устанавливается конструкторской и технологической документацией.">
        <w:r>
          <w:rPr>
            <w:sz w:val="20"/>
            <w:color w:val="0000ff"/>
          </w:rPr>
          <w:t xml:space="preserve">пунктах 4</w:t>
        </w:r>
      </w:hyperlink>
      <w:r>
        <w:rPr>
          <w:sz w:val="20"/>
        </w:rPr>
        <w:t xml:space="preserve"> и </w:t>
      </w:r>
      <w:hyperlink w:history="0" w:anchor="P1021" w:tooltip="7. Объем металлографических исследований сварных соединений вварки труб из титановых сплавов в трубные доски и в коллекторы устанавливается конструкторской и технологической документацией.">
        <w:r>
          <w:rPr>
            <w:sz w:val="20"/>
            <w:color w:val="0000ff"/>
          </w:rPr>
          <w:t xml:space="preserve">7</w:t>
        </w:r>
      </w:hyperlink>
      <w:r>
        <w:rPr>
          <w:sz w:val="20"/>
        </w:rPr>
        <w:t xml:space="preserve"> настоящего приложения, должны производиться тем же сварщиком, на том же оборудовании и на тех же режимах, что и производственные сварные соединения вварки труб в трубные доски и коллекторы.</w:t>
      </w:r>
    </w:p>
    <w:p>
      <w:pPr>
        <w:pStyle w:val="0"/>
        <w:spacing w:before="200" w:line-rule="auto"/>
        <w:ind w:firstLine="540"/>
        <w:jc w:val="both"/>
      </w:pPr>
      <w:r>
        <w:rPr>
          <w:sz w:val="20"/>
        </w:rPr>
        <w:t xml:space="preserve">10. Количество контрольных сварных соединений должно составлять:</w:t>
      </w:r>
    </w:p>
    <w:p>
      <w:pPr>
        <w:pStyle w:val="0"/>
        <w:spacing w:before="200" w:line-rule="auto"/>
        <w:ind w:firstLine="540"/>
        <w:jc w:val="both"/>
      </w:pPr>
      <w:r>
        <w:rPr>
          <w:sz w:val="20"/>
        </w:rPr>
        <w:t xml:space="preserve">а) одно на каждые 100 сварных соединений при количестве соединений в трубной доске более 500;</w:t>
      </w:r>
    </w:p>
    <w:p>
      <w:pPr>
        <w:pStyle w:val="0"/>
        <w:spacing w:before="200" w:line-rule="auto"/>
        <w:ind w:firstLine="540"/>
        <w:jc w:val="both"/>
      </w:pPr>
      <w:r>
        <w:rPr>
          <w:sz w:val="20"/>
        </w:rPr>
        <w:t xml:space="preserve">б) одно на каждые 50 сварных соединений при количестве соединений в трубной доске менее 500.</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w:t>
      </w:r>
    </w:p>
    <w:p>
      <w:pPr>
        <w:pStyle w:val="0"/>
        <w:jc w:val="right"/>
      </w:pPr>
      <w:r>
        <w:rPr>
          <w:sz w:val="20"/>
        </w:rPr>
        <w:t xml:space="preserve">энергии "Правила контроля металла</w:t>
      </w:r>
    </w:p>
    <w:p>
      <w:pPr>
        <w:pStyle w:val="0"/>
        <w:jc w:val="right"/>
      </w:pPr>
      <w:r>
        <w:rPr>
          <w:sz w:val="20"/>
        </w:rPr>
        <w:t xml:space="preserve">оборудования и трубопроводов</w:t>
      </w:r>
    </w:p>
    <w:p>
      <w:pPr>
        <w:pStyle w:val="0"/>
        <w:jc w:val="right"/>
      </w:pPr>
      <w:r>
        <w:rPr>
          <w:sz w:val="20"/>
        </w:rPr>
        <w:t xml:space="preserve">атомных энергетических установок</w:t>
      </w:r>
    </w:p>
    <w:p>
      <w:pPr>
        <w:pStyle w:val="0"/>
        <w:jc w:val="right"/>
      </w:pPr>
      <w:r>
        <w:rPr>
          <w:sz w:val="20"/>
        </w:rPr>
        <w:t xml:space="preserve">при изготовлении и монтаже",</w:t>
      </w:r>
    </w:p>
    <w:p>
      <w:pPr>
        <w:pStyle w:val="0"/>
        <w:jc w:val="right"/>
      </w:pPr>
      <w:r>
        <w:rPr>
          <w:sz w:val="20"/>
        </w:rPr>
        <w:t xml:space="preserve">утвержденным приказом Федеральной</w:t>
      </w:r>
    </w:p>
    <w:p>
      <w:pPr>
        <w:pStyle w:val="0"/>
        <w:jc w:val="right"/>
      </w:pPr>
      <w:r>
        <w:rPr>
          <w:sz w:val="20"/>
        </w:rPr>
        <w:t xml:space="preserve">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553</w:t>
      </w:r>
    </w:p>
    <w:p>
      <w:pPr>
        <w:pStyle w:val="0"/>
        <w:jc w:val="both"/>
      </w:pPr>
      <w:r>
        <w:rPr>
          <w:sz w:val="20"/>
        </w:rPr>
      </w:r>
    </w:p>
    <w:bookmarkStart w:id="1044" w:name="P1044"/>
    <w:bookmarkEnd w:id="1044"/>
    <w:p>
      <w:pPr>
        <w:pStyle w:val="2"/>
        <w:jc w:val="center"/>
      </w:pPr>
      <w:r>
        <w:rPr>
          <w:sz w:val="20"/>
        </w:rPr>
        <w:t xml:space="preserve">НЕРАЗРУШАЮЩИЙ КОНТРОЛЬ</w:t>
      </w:r>
    </w:p>
    <w:p>
      <w:pPr>
        <w:pStyle w:val="2"/>
        <w:jc w:val="center"/>
      </w:pPr>
      <w:r>
        <w:rPr>
          <w:sz w:val="20"/>
        </w:rPr>
        <w:t xml:space="preserve">НАПЛАВЛЕННЫХ УПЛОТНИТЕЛЬНЫХ И НАПРАВЛЯЮЩИХ ПОВЕРХНОСТЕЙ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75"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color w:val="392c69"/>
              </w:rPr>
              <w:t xml:space="preserve"> Ростехнадзора от 08.07.2024 N 211)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Контроль наплавки уплотнительных и направляющих поверхностей должен проводиться до и после механической обработки.</w:t>
      </w:r>
    </w:p>
    <w:p>
      <w:pPr>
        <w:pStyle w:val="0"/>
        <w:spacing w:before="200" w:line-rule="auto"/>
        <w:ind w:firstLine="540"/>
        <w:jc w:val="both"/>
      </w:pPr>
      <w:r>
        <w:rPr>
          <w:sz w:val="20"/>
        </w:rPr>
        <w:t xml:space="preserve">До механической обработки должен быть проведен визуальный и измерительный контроль.</w:t>
      </w:r>
    </w:p>
    <w:p>
      <w:pPr>
        <w:pStyle w:val="0"/>
        <w:spacing w:before="200" w:line-rule="auto"/>
        <w:ind w:firstLine="540"/>
        <w:jc w:val="both"/>
      </w:pPr>
      <w:r>
        <w:rPr>
          <w:sz w:val="20"/>
        </w:rPr>
        <w:t xml:space="preserve">После механической обработки наплавленные поверхности должны подвергаться:</w:t>
      </w:r>
    </w:p>
    <w:p>
      <w:pPr>
        <w:pStyle w:val="0"/>
        <w:spacing w:before="200" w:line-rule="auto"/>
        <w:ind w:firstLine="540"/>
        <w:jc w:val="both"/>
      </w:pPr>
      <w:r>
        <w:rPr>
          <w:sz w:val="20"/>
        </w:rPr>
        <w:t xml:space="preserve">а) визуальному контролю - на всех наплавленных поверхностях по всей площади, включая боковые поверхности зоны сплавления с основным металлом;</w:t>
      </w:r>
    </w:p>
    <w:p>
      <w:pPr>
        <w:pStyle w:val="0"/>
        <w:spacing w:before="200" w:line-rule="auto"/>
        <w:ind w:firstLine="540"/>
        <w:jc w:val="both"/>
      </w:pPr>
      <w:r>
        <w:rPr>
          <w:sz w:val="20"/>
        </w:rPr>
        <w:t xml:space="preserve">б) капиллярному контролю - на всех наплавленных уплотнительных рабочих поверхностях по всей площади, включая боковые поверхности зоны сплавления с основным металлом;</w:t>
      </w:r>
    </w:p>
    <w:p>
      <w:pPr>
        <w:pStyle w:val="0"/>
        <w:spacing w:before="200" w:line-rule="auto"/>
        <w:ind w:firstLine="540"/>
        <w:jc w:val="both"/>
      </w:pPr>
      <w:r>
        <w:rPr>
          <w:sz w:val="20"/>
        </w:rPr>
        <w:t xml:space="preserve">в) измерительному контролю и измерению твердости - в соответствии с технологической документацией.</w:t>
      </w:r>
    </w:p>
    <w:p>
      <w:pPr>
        <w:pStyle w:val="0"/>
        <w:jc w:val="both"/>
      </w:pPr>
      <w:r>
        <w:rPr>
          <w:sz w:val="20"/>
        </w:rPr>
      </w:r>
    </w:p>
    <w:p>
      <w:pPr>
        <w:pStyle w:val="2"/>
        <w:outlineLvl w:val="2"/>
        <w:jc w:val="center"/>
      </w:pPr>
      <w:r>
        <w:rPr>
          <w:sz w:val="20"/>
        </w:rPr>
        <w:t xml:space="preserve">Визуальный и измерительный контроль</w:t>
      </w:r>
    </w:p>
    <w:p>
      <w:pPr>
        <w:pStyle w:val="0"/>
        <w:jc w:val="both"/>
      </w:pPr>
      <w:r>
        <w:rPr>
          <w:sz w:val="20"/>
        </w:rPr>
      </w:r>
    </w:p>
    <w:p>
      <w:pPr>
        <w:pStyle w:val="0"/>
        <w:ind w:firstLine="540"/>
        <w:jc w:val="both"/>
      </w:pPr>
      <w:r>
        <w:rPr>
          <w:sz w:val="20"/>
        </w:rPr>
        <w:t xml:space="preserve">2. На уплотнительных поверхностях не допускаются округлые одиночные включения, размеры или количество которых превышают приведенные в </w:t>
      </w:r>
      <w:hyperlink w:history="0" w:anchor="P1065" w:tooltip="Таблица N 3.1">
        <w:r>
          <w:rPr>
            <w:sz w:val="20"/>
            <w:color w:val="0000ff"/>
          </w:rPr>
          <w:t xml:space="preserve">таблице N 3.1</w:t>
        </w:r>
      </w:hyperlink>
      <w:r>
        <w:rPr>
          <w:sz w:val="20"/>
        </w:rPr>
        <w:t xml:space="preserve"> настоящего приложения. Фиксации подлежат округлые одиночные включения с максимальным размером свыше 0,2 мм. Включения с наибольшим размером до 0,2 мм включительно не учитываются.</w:t>
      </w:r>
    </w:p>
    <w:p>
      <w:pPr>
        <w:pStyle w:val="0"/>
        <w:spacing w:before="200" w:line-rule="auto"/>
        <w:ind w:firstLine="540"/>
        <w:jc w:val="both"/>
      </w:pPr>
      <w:r>
        <w:rPr>
          <w:sz w:val="20"/>
        </w:rPr>
        <w:t xml:space="preserve">Подлежащие фиксации включения не допускаются (вне зависимости от размеров и их количества), если:</w:t>
      </w:r>
    </w:p>
    <w:p>
      <w:pPr>
        <w:pStyle w:val="0"/>
        <w:spacing w:before="200" w:line-rule="auto"/>
        <w:ind w:firstLine="540"/>
        <w:jc w:val="both"/>
      </w:pPr>
      <w:r>
        <w:rPr>
          <w:sz w:val="20"/>
        </w:rPr>
        <w:t xml:space="preserve">а) они расположены на расстоянии менее 2,5 мм от границ рабочей поверхности;</w:t>
      </w:r>
    </w:p>
    <w:p>
      <w:pPr>
        <w:pStyle w:val="0"/>
        <w:spacing w:before="200" w:line-rule="auto"/>
        <w:ind w:firstLine="540"/>
        <w:jc w:val="both"/>
      </w:pPr>
      <w:r>
        <w:rPr>
          <w:sz w:val="20"/>
        </w:rPr>
        <w:t xml:space="preserve">б) хотя бы два включения расположены на одной радиальной линии (при кольцевом уплотнении) или на одной образующей (при конусном уплотнении).</w:t>
      </w:r>
    </w:p>
    <w:p>
      <w:pPr>
        <w:pStyle w:val="0"/>
        <w:spacing w:before="200" w:line-rule="auto"/>
        <w:ind w:firstLine="540"/>
        <w:jc w:val="both"/>
      </w:pPr>
      <w:r>
        <w:rPr>
          <w:sz w:val="20"/>
        </w:rPr>
        <w:t xml:space="preserve">2(1). При оценке качества наплавленных уплотнительных и направляющих поверхностей по результатам визуального и измерительного контроля не допускаются трещины, неодиночные и протяженные несплошности, механические повреждения с острыми краями.</w:t>
      </w:r>
    </w:p>
    <w:p>
      <w:pPr>
        <w:pStyle w:val="0"/>
        <w:jc w:val="both"/>
      </w:pPr>
      <w:r>
        <w:rPr>
          <w:sz w:val="20"/>
        </w:rPr>
        <w:t xml:space="preserve">(п. 2(1) введен </w:t>
      </w:r>
      <w:hyperlink w:history="0" r:id="rId76"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Приказом</w:t>
        </w:r>
      </w:hyperlink>
      <w:r>
        <w:rPr>
          <w:sz w:val="20"/>
        </w:rPr>
        <w:t xml:space="preserve"> Ростехнадзора от 08.07.2024 N 211)</w:t>
      </w:r>
    </w:p>
    <w:p>
      <w:pPr>
        <w:pStyle w:val="0"/>
        <w:jc w:val="both"/>
      </w:pPr>
      <w:r>
        <w:rPr>
          <w:sz w:val="20"/>
        </w:rPr>
      </w:r>
    </w:p>
    <w:bookmarkStart w:id="1065" w:name="P1065"/>
    <w:bookmarkEnd w:id="1065"/>
    <w:p>
      <w:pPr>
        <w:pStyle w:val="0"/>
        <w:outlineLvl w:val="3"/>
        <w:jc w:val="right"/>
      </w:pPr>
      <w:r>
        <w:rPr>
          <w:sz w:val="20"/>
        </w:rPr>
        <w:t xml:space="preserve">Таблица N 3.1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1077"/>
        <w:gridCol w:w="964"/>
        <w:gridCol w:w="706"/>
        <w:gridCol w:w="794"/>
        <w:gridCol w:w="794"/>
        <w:gridCol w:w="794"/>
        <w:gridCol w:w="794"/>
        <w:gridCol w:w="794"/>
        <w:gridCol w:w="850"/>
      </w:tblGrid>
      <w:tr>
        <w:tc>
          <w:tcPr>
            <w:tcW w:w="1474" w:type="dxa"/>
            <w:vMerge w:val="restart"/>
          </w:tcPr>
          <w:p>
            <w:pPr>
              <w:pStyle w:val="0"/>
              <w:jc w:val="center"/>
            </w:pPr>
            <w:r>
              <w:rPr>
                <w:sz w:val="20"/>
              </w:rPr>
              <w:t xml:space="preserve">Номинальная ширина поверхности, мм</w:t>
            </w:r>
          </w:p>
        </w:tc>
        <w:tc>
          <w:tcPr>
            <w:tcW w:w="1077" w:type="dxa"/>
            <w:vMerge w:val="restart"/>
          </w:tcPr>
          <w:p>
            <w:pPr>
              <w:pStyle w:val="0"/>
              <w:jc w:val="center"/>
            </w:pPr>
            <w:r>
              <w:rPr>
                <w:sz w:val="20"/>
              </w:rPr>
              <w:t xml:space="preserve">Максимально допустимый размер включения, мм</w:t>
            </w:r>
          </w:p>
        </w:tc>
        <w:tc>
          <w:tcPr>
            <w:gridSpan w:val="8"/>
            <w:tcW w:w="6490" w:type="dxa"/>
          </w:tcPr>
          <w:p>
            <w:pPr>
              <w:pStyle w:val="0"/>
              <w:jc w:val="center"/>
            </w:pPr>
            <w:r>
              <w:rPr>
                <w:sz w:val="20"/>
              </w:rPr>
              <w:t xml:space="preserve">Максимально допустимое количество включений</w:t>
            </w:r>
          </w:p>
        </w:tc>
      </w:tr>
      <w:tr>
        <w:tc>
          <w:tcPr>
            <w:vMerge w:val="continue"/>
          </w:tcPr>
          <w:p/>
        </w:tc>
        <w:tc>
          <w:tcPr>
            <w:vMerge w:val="continue"/>
          </w:tcPr>
          <w:p/>
        </w:tc>
        <w:tc>
          <w:tcPr>
            <w:tcW w:w="964" w:type="dxa"/>
            <w:vMerge w:val="restart"/>
          </w:tcPr>
          <w:p>
            <w:pPr>
              <w:pStyle w:val="0"/>
              <w:jc w:val="center"/>
            </w:pPr>
            <w:r>
              <w:rPr>
                <w:sz w:val="20"/>
              </w:rPr>
              <w:t xml:space="preserve">На любых 100,0 мм протяженности поверхности</w:t>
            </w:r>
          </w:p>
        </w:tc>
        <w:tc>
          <w:tcPr>
            <w:gridSpan w:val="7"/>
            <w:tcW w:w="5526" w:type="dxa"/>
          </w:tcPr>
          <w:p>
            <w:pPr>
              <w:pStyle w:val="0"/>
              <w:jc w:val="center"/>
            </w:pPr>
            <w:r>
              <w:rPr>
                <w:sz w:val="20"/>
              </w:rPr>
              <w:t xml:space="preserve">На всей протяженности поверхности при Ду, мм</w:t>
            </w:r>
          </w:p>
        </w:tc>
      </w:tr>
      <w:tr>
        <w:tc>
          <w:tcPr>
            <w:vMerge w:val="continue"/>
          </w:tcPr>
          <w:p/>
        </w:tc>
        <w:tc>
          <w:tcPr>
            <w:vMerge w:val="continue"/>
          </w:tcPr>
          <w:p/>
        </w:tc>
        <w:tc>
          <w:tcPr>
            <w:vMerge w:val="continue"/>
          </w:tcPr>
          <w:p/>
        </w:tc>
        <w:tc>
          <w:tcPr>
            <w:tcW w:w="706" w:type="dxa"/>
          </w:tcPr>
          <w:p>
            <w:pPr>
              <w:pStyle w:val="0"/>
              <w:jc w:val="center"/>
            </w:pPr>
            <w:r>
              <w:rPr>
                <w:sz w:val="20"/>
              </w:rPr>
              <w:t xml:space="preserve">до 65,0</w:t>
            </w:r>
          </w:p>
        </w:tc>
        <w:tc>
          <w:tcPr>
            <w:tcW w:w="794" w:type="dxa"/>
          </w:tcPr>
          <w:p>
            <w:pPr>
              <w:pStyle w:val="0"/>
              <w:jc w:val="center"/>
            </w:pPr>
            <w:r>
              <w:rPr>
                <w:sz w:val="20"/>
              </w:rPr>
              <w:t xml:space="preserve">до 100,0</w:t>
            </w:r>
          </w:p>
        </w:tc>
        <w:tc>
          <w:tcPr>
            <w:tcW w:w="794" w:type="dxa"/>
          </w:tcPr>
          <w:p>
            <w:pPr>
              <w:pStyle w:val="0"/>
              <w:jc w:val="center"/>
            </w:pPr>
            <w:r>
              <w:rPr>
                <w:sz w:val="20"/>
              </w:rPr>
              <w:t xml:space="preserve">до 150,0</w:t>
            </w:r>
          </w:p>
        </w:tc>
        <w:tc>
          <w:tcPr>
            <w:tcW w:w="794" w:type="dxa"/>
          </w:tcPr>
          <w:p>
            <w:pPr>
              <w:pStyle w:val="0"/>
              <w:jc w:val="center"/>
            </w:pPr>
            <w:r>
              <w:rPr>
                <w:sz w:val="20"/>
              </w:rPr>
              <w:t xml:space="preserve">до 250,0</w:t>
            </w:r>
          </w:p>
        </w:tc>
        <w:tc>
          <w:tcPr>
            <w:tcW w:w="794" w:type="dxa"/>
          </w:tcPr>
          <w:p>
            <w:pPr>
              <w:pStyle w:val="0"/>
              <w:jc w:val="center"/>
            </w:pPr>
            <w:r>
              <w:rPr>
                <w:sz w:val="20"/>
              </w:rPr>
              <w:t xml:space="preserve">до 400,0</w:t>
            </w:r>
          </w:p>
        </w:tc>
        <w:tc>
          <w:tcPr>
            <w:tcW w:w="794" w:type="dxa"/>
          </w:tcPr>
          <w:p>
            <w:pPr>
              <w:pStyle w:val="0"/>
              <w:jc w:val="center"/>
            </w:pPr>
            <w:r>
              <w:rPr>
                <w:sz w:val="20"/>
              </w:rPr>
              <w:t xml:space="preserve">до 600,0</w:t>
            </w:r>
          </w:p>
        </w:tc>
        <w:tc>
          <w:tcPr>
            <w:tcW w:w="850" w:type="dxa"/>
          </w:tcPr>
          <w:p>
            <w:pPr>
              <w:pStyle w:val="0"/>
              <w:jc w:val="center"/>
            </w:pPr>
            <w:r>
              <w:rPr>
                <w:sz w:val="20"/>
              </w:rPr>
              <w:t xml:space="preserve">более 600,0</w:t>
            </w:r>
          </w:p>
        </w:tc>
      </w:tr>
      <w:tr>
        <w:tc>
          <w:tcPr>
            <w:tcW w:w="1474" w:type="dxa"/>
            <w:vAlign w:val="center"/>
          </w:tcPr>
          <w:p>
            <w:pPr>
              <w:pStyle w:val="0"/>
              <w:jc w:val="center"/>
            </w:pPr>
            <w:r>
              <w:rPr>
                <w:sz w:val="20"/>
              </w:rPr>
              <w:t xml:space="preserve">До 5,0</w:t>
            </w:r>
          </w:p>
        </w:tc>
        <w:tc>
          <w:tcPr>
            <w:gridSpan w:val="8"/>
            <w:tcW w:w="6717" w:type="dxa"/>
            <w:vAlign w:val="center"/>
          </w:tcPr>
          <w:p>
            <w:pPr>
              <w:pStyle w:val="0"/>
              <w:jc w:val="center"/>
            </w:pPr>
            <w:r>
              <w:rPr>
                <w:sz w:val="20"/>
              </w:rPr>
              <w:t xml:space="preserve">не допускаются (с учетом требований по фиксации несплошностей)</w:t>
            </w:r>
          </w:p>
        </w:tc>
        <w:tc>
          <w:tcPr>
            <w:tcW w:w="850" w:type="dxa"/>
            <w:vAlign w:val="center"/>
          </w:tcPr>
          <w:p>
            <w:pPr>
              <w:pStyle w:val="0"/>
              <w:jc w:val="center"/>
            </w:pPr>
            <w:r>
              <w:rPr>
                <w:sz w:val="20"/>
              </w:rPr>
            </w:r>
          </w:p>
        </w:tc>
      </w:tr>
      <w:tr>
        <w:tc>
          <w:tcPr>
            <w:tcW w:w="1474" w:type="dxa"/>
            <w:vAlign w:val="center"/>
          </w:tcPr>
          <w:p>
            <w:pPr>
              <w:pStyle w:val="0"/>
              <w:jc w:val="center"/>
            </w:pPr>
            <w:r>
              <w:rPr>
                <w:sz w:val="20"/>
              </w:rPr>
              <w:t xml:space="preserve">До 10,0</w:t>
            </w:r>
          </w:p>
        </w:tc>
        <w:tc>
          <w:tcPr>
            <w:tcW w:w="1077" w:type="dxa"/>
            <w:vAlign w:val="center"/>
          </w:tcPr>
          <w:p>
            <w:pPr>
              <w:pStyle w:val="0"/>
              <w:jc w:val="center"/>
            </w:pPr>
            <w:r>
              <w:rPr>
                <w:sz w:val="20"/>
              </w:rPr>
              <w:t xml:space="preserve">0,5</w:t>
            </w:r>
          </w:p>
        </w:tc>
        <w:tc>
          <w:tcPr>
            <w:tcW w:w="964" w:type="dxa"/>
            <w:vAlign w:val="center"/>
          </w:tcPr>
          <w:p>
            <w:pPr>
              <w:pStyle w:val="0"/>
              <w:jc w:val="center"/>
            </w:pPr>
            <w:r>
              <w:rPr>
                <w:sz w:val="20"/>
              </w:rPr>
              <w:t xml:space="preserve">1</w:t>
            </w:r>
          </w:p>
        </w:tc>
        <w:tc>
          <w:tcPr>
            <w:tcW w:w="706" w:type="dxa"/>
            <w:vAlign w:val="center"/>
          </w:tcPr>
          <w:p>
            <w:pPr>
              <w:pStyle w:val="0"/>
              <w:jc w:val="center"/>
            </w:pPr>
            <w:r>
              <w:rPr>
                <w:sz w:val="20"/>
              </w:rPr>
              <w:t xml:space="preserve">1</w:t>
            </w:r>
          </w:p>
        </w:tc>
        <w:tc>
          <w:tcPr>
            <w:tcW w:w="794" w:type="dxa"/>
            <w:vAlign w:val="center"/>
          </w:tcPr>
          <w:p>
            <w:pPr>
              <w:pStyle w:val="0"/>
              <w:jc w:val="center"/>
            </w:pPr>
            <w:r>
              <w:rPr>
                <w:sz w:val="20"/>
              </w:rPr>
              <w:t xml:space="preserve">2</w:t>
            </w:r>
          </w:p>
        </w:tc>
        <w:tc>
          <w:tcPr>
            <w:tcW w:w="794" w:type="dxa"/>
            <w:vAlign w:val="center"/>
          </w:tcPr>
          <w:p>
            <w:pPr>
              <w:pStyle w:val="0"/>
              <w:jc w:val="center"/>
            </w:pPr>
            <w:r>
              <w:rPr>
                <w:sz w:val="20"/>
              </w:rPr>
              <w:t xml:space="preserve">3</w:t>
            </w:r>
          </w:p>
        </w:tc>
        <w:tc>
          <w:tcPr>
            <w:tcW w:w="794" w:type="dxa"/>
            <w:vAlign w:val="center"/>
          </w:tcPr>
          <w:p>
            <w:pPr>
              <w:pStyle w:val="0"/>
              <w:jc w:val="center"/>
            </w:pPr>
            <w:r>
              <w:rPr>
                <w:sz w:val="20"/>
              </w:rPr>
              <w:t xml:space="preserve">4</w:t>
            </w:r>
          </w:p>
        </w:tc>
        <w:tc>
          <w:tcPr>
            <w:tcW w:w="794" w:type="dxa"/>
            <w:vAlign w:val="center"/>
          </w:tcPr>
          <w:p>
            <w:pPr>
              <w:pStyle w:val="0"/>
              <w:jc w:val="center"/>
            </w:pPr>
            <w:r>
              <w:rPr>
                <w:sz w:val="20"/>
              </w:rPr>
              <w:t xml:space="preserve">5</w:t>
            </w:r>
          </w:p>
        </w:tc>
        <w:tc>
          <w:tcPr>
            <w:tcW w:w="794" w:type="dxa"/>
            <w:vAlign w:val="center"/>
          </w:tcPr>
          <w:p>
            <w:pPr>
              <w:pStyle w:val="0"/>
              <w:jc w:val="center"/>
            </w:pPr>
            <w:r>
              <w:rPr>
                <w:sz w:val="20"/>
              </w:rPr>
              <w:t xml:space="preserve">6</w:t>
            </w:r>
          </w:p>
        </w:tc>
        <w:tc>
          <w:tcPr>
            <w:tcW w:w="850" w:type="dxa"/>
            <w:vAlign w:val="center"/>
          </w:tcPr>
          <w:p>
            <w:pPr>
              <w:pStyle w:val="0"/>
              <w:jc w:val="center"/>
            </w:pPr>
            <w:r>
              <w:rPr>
                <w:sz w:val="20"/>
              </w:rPr>
              <w:t xml:space="preserve">7</w:t>
            </w:r>
          </w:p>
        </w:tc>
      </w:tr>
      <w:tr>
        <w:tc>
          <w:tcPr>
            <w:tcW w:w="1474" w:type="dxa"/>
            <w:vAlign w:val="center"/>
          </w:tcPr>
          <w:p>
            <w:pPr>
              <w:pStyle w:val="0"/>
              <w:jc w:val="center"/>
            </w:pPr>
            <w:r>
              <w:rPr>
                <w:sz w:val="20"/>
              </w:rPr>
              <w:t xml:space="preserve">До 15,0</w:t>
            </w:r>
          </w:p>
        </w:tc>
        <w:tc>
          <w:tcPr>
            <w:tcW w:w="1077" w:type="dxa"/>
            <w:vAlign w:val="center"/>
          </w:tcPr>
          <w:p>
            <w:pPr>
              <w:pStyle w:val="0"/>
              <w:jc w:val="center"/>
            </w:pPr>
            <w:r>
              <w:rPr>
                <w:sz w:val="20"/>
              </w:rPr>
              <w:t xml:space="preserve">0,6</w:t>
            </w:r>
          </w:p>
        </w:tc>
        <w:tc>
          <w:tcPr>
            <w:tcW w:w="964" w:type="dxa"/>
            <w:vAlign w:val="center"/>
          </w:tcPr>
          <w:p>
            <w:pPr>
              <w:pStyle w:val="0"/>
              <w:jc w:val="center"/>
            </w:pPr>
            <w:r>
              <w:rPr>
                <w:sz w:val="20"/>
              </w:rPr>
              <w:t xml:space="preserve">2</w:t>
            </w:r>
          </w:p>
        </w:tc>
        <w:tc>
          <w:tcPr>
            <w:tcW w:w="706" w:type="dxa"/>
            <w:vAlign w:val="center"/>
          </w:tcPr>
          <w:p>
            <w:pPr>
              <w:pStyle w:val="0"/>
              <w:jc w:val="center"/>
            </w:pPr>
            <w:r>
              <w:rPr>
                <w:sz w:val="20"/>
              </w:rPr>
              <w:t xml:space="preserve">2</w:t>
            </w:r>
          </w:p>
        </w:tc>
        <w:tc>
          <w:tcPr>
            <w:tcW w:w="794" w:type="dxa"/>
            <w:vAlign w:val="center"/>
          </w:tcPr>
          <w:p>
            <w:pPr>
              <w:pStyle w:val="0"/>
              <w:jc w:val="center"/>
            </w:pPr>
            <w:r>
              <w:rPr>
                <w:sz w:val="20"/>
              </w:rPr>
              <w:t xml:space="preserve">3</w:t>
            </w:r>
          </w:p>
        </w:tc>
        <w:tc>
          <w:tcPr>
            <w:tcW w:w="794" w:type="dxa"/>
            <w:vAlign w:val="center"/>
          </w:tcPr>
          <w:p>
            <w:pPr>
              <w:pStyle w:val="0"/>
              <w:jc w:val="center"/>
            </w:pPr>
            <w:r>
              <w:rPr>
                <w:sz w:val="20"/>
              </w:rPr>
              <w:t xml:space="preserve">4</w:t>
            </w:r>
          </w:p>
        </w:tc>
        <w:tc>
          <w:tcPr>
            <w:tcW w:w="794" w:type="dxa"/>
            <w:vAlign w:val="center"/>
          </w:tcPr>
          <w:p>
            <w:pPr>
              <w:pStyle w:val="0"/>
              <w:jc w:val="center"/>
            </w:pPr>
            <w:r>
              <w:rPr>
                <w:sz w:val="20"/>
              </w:rPr>
              <w:t xml:space="preserve">5</w:t>
            </w:r>
          </w:p>
        </w:tc>
        <w:tc>
          <w:tcPr>
            <w:tcW w:w="794" w:type="dxa"/>
            <w:vAlign w:val="center"/>
          </w:tcPr>
          <w:p>
            <w:pPr>
              <w:pStyle w:val="0"/>
              <w:jc w:val="center"/>
            </w:pPr>
            <w:r>
              <w:rPr>
                <w:sz w:val="20"/>
              </w:rPr>
              <w:t xml:space="preserve">6</w:t>
            </w:r>
          </w:p>
        </w:tc>
        <w:tc>
          <w:tcPr>
            <w:tcW w:w="794" w:type="dxa"/>
            <w:vAlign w:val="center"/>
          </w:tcPr>
          <w:p>
            <w:pPr>
              <w:pStyle w:val="0"/>
              <w:jc w:val="center"/>
            </w:pPr>
            <w:r>
              <w:rPr>
                <w:sz w:val="20"/>
              </w:rPr>
              <w:t xml:space="preserve">7</w:t>
            </w:r>
          </w:p>
        </w:tc>
        <w:tc>
          <w:tcPr>
            <w:tcW w:w="850" w:type="dxa"/>
            <w:vAlign w:val="center"/>
          </w:tcPr>
          <w:p>
            <w:pPr>
              <w:pStyle w:val="0"/>
              <w:jc w:val="center"/>
            </w:pPr>
            <w:r>
              <w:rPr>
                <w:sz w:val="20"/>
              </w:rPr>
              <w:t xml:space="preserve">8</w:t>
            </w:r>
          </w:p>
        </w:tc>
      </w:tr>
      <w:tr>
        <w:tc>
          <w:tcPr>
            <w:tcW w:w="1474" w:type="dxa"/>
            <w:vAlign w:val="center"/>
          </w:tcPr>
          <w:p>
            <w:pPr>
              <w:pStyle w:val="0"/>
              <w:jc w:val="center"/>
            </w:pPr>
            <w:r>
              <w:rPr>
                <w:sz w:val="20"/>
              </w:rPr>
              <w:t xml:space="preserve">До 25,0</w:t>
            </w:r>
          </w:p>
        </w:tc>
        <w:tc>
          <w:tcPr>
            <w:tcW w:w="1077" w:type="dxa"/>
            <w:vAlign w:val="center"/>
          </w:tcPr>
          <w:p>
            <w:pPr>
              <w:pStyle w:val="0"/>
              <w:jc w:val="center"/>
            </w:pPr>
            <w:r>
              <w:rPr>
                <w:sz w:val="20"/>
              </w:rPr>
              <w:t xml:space="preserve">0,8</w:t>
            </w:r>
          </w:p>
        </w:tc>
        <w:tc>
          <w:tcPr>
            <w:tcW w:w="964" w:type="dxa"/>
            <w:vAlign w:val="center"/>
          </w:tcPr>
          <w:p>
            <w:pPr>
              <w:pStyle w:val="0"/>
              <w:jc w:val="center"/>
            </w:pPr>
            <w:r>
              <w:rPr>
                <w:sz w:val="20"/>
              </w:rPr>
              <w:t xml:space="preserve">2</w:t>
            </w:r>
          </w:p>
        </w:tc>
        <w:tc>
          <w:tcPr>
            <w:tcW w:w="706" w:type="dxa"/>
            <w:vAlign w:val="center"/>
          </w:tcPr>
          <w:p>
            <w:pPr>
              <w:pStyle w:val="0"/>
              <w:jc w:val="center"/>
            </w:pPr>
            <w:r>
              <w:rPr>
                <w:sz w:val="20"/>
              </w:rPr>
              <w:t xml:space="preserve">3</w:t>
            </w:r>
          </w:p>
        </w:tc>
        <w:tc>
          <w:tcPr>
            <w:tcW w:w="794" w:type="dxa"/>
            <w:vAlign w:val="center"/>
          </w:tcPr>
          <w:p>
            <w:pPr>
              <w:pStyle w:val="0"/>
              <w:jc w:val="center"/>
            </w:pPr>
            <w:r>
              <w:rPr>
                <w:sz w:val="20"/>
              </w:rPr>
              <w:t xml:space="preserve">4</w:t>
            </w:r>
          </w:p>
        </w:tc>
        <w:tc>
          <w:tcPr>
            <w:tcW w:w="794" w:type="dxa"/>
            <w:vAlign w:val="center"/>
          </w:tcPr>
          <w:p>
            <w:pPr>
              <w:pStyle w:val="0"/>
              <w:jc w:val="center"/>
            </w:pPr>
            <w:r>
              <w:rPr>
                <w:sz w:val="20"/>
              </w:rPr>
              <w:t xml:space="preserve">5</w:t>
            </w:r>
          </w:p>
        </w:tc>
        <w:tc>
          <w:tcPr>
            <w:tcW w:w="794" w:type="dxa"/>
            <w:vAlign w:val="center"/>
          </w:tcPr>
          <w:p>
            <w:pPr>
              <w:pStyle w:val="0"/>
              <w:jc w:val="center"/>
            </w:pPr>
            <w:r>
              <w:rPr>
                <w:sz w:val="20"/>
              </w:rPr>
              <w:t xml:space="preserve">6</w:t>
            </w:r>
          </w:p>
        </w:tc>
        <w:tc>
          <w:tcPr>
            <w:tcW w:w="794" w:type="dxa"/>
            <w:vAlign w:val="center"/>
          </w:tcPr>
          <w:p>
            <w:pPr>
              <w:pStyle w:val="0"/>
              <w:jc w:val="center"/>
            </w:pPr>
            <w:r>
              <w:rPr>
                <w:sz w:val="20"/>
              </w:rPr>
              <w:t xml:space="preserve">7</w:t>
            </w:r>
          </w:p>
        </w:tc>
        <w:tc>
          <w:tcPr>
            <w:tcW w:w="794" w:type="dxa"/>
            <w:vAlign w:val="center"/>
          </w:tcPr>
          <w:p>
            <w:pPr>
              <w:pStyle w:val="0"/>
              <w:jc w:val="center"/>
            </w:pPr>
            <w:r>
              <w:rPr>
                <w:sz w:val="20"/>
              </w:rPr>
              <w:t xml:space="preserve">8</w:t>
            </w:r>
          </w:p>
        </w:tc>
        <w:tc>
          <w:tcPr>
            <w:tcW w:w="850" w:type="dxa"/>
            <w:vAlign w:val="center"/>
          </w:tcPr>
          <w:p>
            <w:pPr>
              <w:pStyle w:val="0"/>
              <w:jc w:val="center"/>
            </w:pPr>
            <w:r>
              <w:rPr>
                <w:sz w:val="20"/>
              </w:rPr>
              <w:t xml:space="preserve">9</w:t>
            </w:r>
          </w:p>
        </w:tc>
      </w:tr>
      <w:tr>
        <w:tc>
          <w:tcPr>
            <w:tcW w:w="1474" w:type="dxa"/>
            <w:vAlign w:val="center"/>
          </w:tcPr>
          <w:p>
            <w:pPr>
              <w:pStyle w:val="0"/>
              <w:jc w:val="center"/>
            </w:pPr>
            <w:r>
              <w:rPr>
                <w:sz w:val="20"/>
              </w:rPr>
              <w:t xml:space="preserve">До 35,0</w:t>
            </w:r>
          </w:p>
        </w:tc>
        <w:tc>
          <w:tcPr>
            <w:tcW w:w="1077" w:type="dxa"/>
            <w:vAlign w:val="center"/>
          </w:tcPr>
          <w:p>
            <w:pPr>
              <w:pStyle w:val="0"/>
              <w:jc w:val="center"/>
            </w:pPr>
            <w:r>
              <w:rPr>
                <w:sz w:val="20"/>
              </w:rPr>
              <w:t xml:space="preserve">1,0</w:t>
            </w:r>
          </w:p>
        </w:tc>
        <w:tc>
          <w:tcPr>
            <w:tcW w:w="964" w:type="dxa"/>
            <w:vAlign w:val="center"/>
          </w:tcPr>
          <w:p>
            <w:pPr>
              <w:pStyle w:val="0"/>
              <w:jc w:val="center"/>
            </w:pPr>
            <w:r>
              <w:rPr>
                <w:sz w:val="20"/>
              </w:rPr>
              <w:t xml:space="preserve">3</w:t>
            </w:r>
          </w:p>
        </w:tc>
        <w:tc>
          <w:tcPr>
            <w:tcW w:w="706" w:type="dxa"/>
            <w:vAlign w:val="center"/>
          </w:tcPr>
          <w:p>
            <w:pPr>
              <w:pStyle w:val="0"/>
              <w:jc w:val="center"/>
            </w:pPr>
            <w:r>
              <w:rPr>
                <w:sz w:val="20"/>
              </w:rPr>
              <w:t xml:space="preserve">4</w:t>
            </w:r>
          </w:p>
        </w:tc>
        <w:tc>
          <w:tcPr>
            <w:tcW w:w="794" w:type="dxa"/>
            <w:vAlign w:val="center"/>
          </w:tcPr>
          <w:p>
            <w:pPr>
              <w:pStyle w:val="0"/>
              <w:jc w:val="center"/>
            </w:pPr>
            <w:r>
              <w:rPr>
                <w:sz w:val="20"/>
              </w:rPr>
              <w:t xml:space="preserve">5</w:t>
            </w:r>
          </w:p>
        </w:tc>
        <w:tc>
          <w:tcPr>
            <w:tcW w:w="794" w:type="dxa"/>
            <w:vAlign w:val="center"/>
          </w:tcPr>
          <w:p>
            <w:pPr>
              <w:pStyle w:val="0"/>
              <w:jc w:val="center"/>
            </w:pPr>
            <w:r>
              <w:rPr>
                <w:sz w:val="20"/>
              </w:rPr>
              <w:t xml:space="preserve">6</w:t>
            </w:r>
          </w:p>
        </w:tc>
        <w:tc>
          <w:tcPr>
            <w:tcW w:w="794" w:type="dxa"/>
            <w:vAlign w:val="center"/>
          </w:tcPr>
          <w:p>
            <w:pPr>
              <w:pStyle w:val="0"/>
              <w:jc w:val="center"/>
            </w:pPr>
            <w:r>
              <w:rPr>
                <w:sz w:val="20"/>
              </w:rPr>
              <w:t xml:space="preserve">7</w:t>
            </w:r>
          </w:p>
        </w:tc>
        <w:tc>
          <w:tcPr>
            <w:tcW w:w="794" w:type="dxa"/>
            <w:vAlign w:val="center"/>
          </w:tcPr>
          <w:p>
            <w:pPr>
              <w:pStyle w:val="0"/>
              <w:jc w:val="center"/>
            </w:pPr>
            <w:r>
              <w:rPr>
                <w:sz w:val="20"/>
              </w:rPr>
              <w:t xml:space="preserve">8</w:t>
            </w:r>
          </w:p>
        </w:tc>
        <w:tc>
          <w:tcPr>
            <w:tcW w:w="794" w:type="dxa"/>
            <w:vAlign w:val="center"/>
          </w:tcPr>
          <w:p>
            <w:pPr>
              <w:pStyle w:val="0"/>
              <w:jc w:val="center"/>
            </w:pPr>
            <w:r>
              <w:rPr>
                <w:sz w:val="20"/>
              </w:rPr>
              <w:t xml:space="preserve">9</w:t>
            </w:r>
          </w:p>
        </w:tc>
        <w:tc>
          <w:tcPr>
            <w:tcW w:w="850" w:type="dxa"/>
            <w:vAlign w:val="center"/>
          </w:tcPr>
          <w:p>
            <w:pPr>
              <w:pStyle w:val="0"/>
              <w:jc w:val="center"/>
            </w:pPr>
            <w:r>
              <w:rPr>
                <w:sz w:val="20"/>
              </w:rPr>
              <w:t xml:space="preserve">10</w:t>
            </w:r>
          </w:p>
        </w:tc>
      </w:tr>
      <w:tr>
        <w:tc>
          <w:tcPr>
            <w:tcW w:w="1474" w:type="dxa"/>
            <w:vAlign w:val="center"/>
          </w:tcPr>
          <w:p>
            <w:pPr>
              <w:pStyle w:val="0"/>
              <w:jc w:val="center"/>
            </w:pPr>
            <w:r>
              <w:rPr>
                <w:sz w:val="20"/>
              </w:rPr>
              <w:t xml:space="preserve">До 50,0</w:t>
            </w:r>
          </w:p>
        </w:tc>
        <w:tc>
          <w:tcPr>
            <w:tcW w:w="1077" w:type="dxa"/>
            <w:vAlign w:val="center"/>
          </w:tcPr>
          <w:p>
            <w:pPr>
              <w:pStyle w:val="0"/>
              <w:jc w:val="center"/>
            </w:pPr>
            <w:r>
              <w:rPr>
                <w:sz w:val="20"/>
              </w:rPr>
              <w:t xml:space="preserve">1,2</w:t>
            </w:r>
          </w:p>
        </w:tc>
        <w:tc>
          <w:tcPr>
            <w:tcW w:w="964" w:type="dxa"/>
            <w:vAlign w:val="center"/>
          </w:tcPr>
          <w:p>
            <w:pPr>
              <w:pStyle w:val="0"/>
              <w:jc w:val="center"/>
            </w:pPr>
            <w:r>
              <w:rPr>
                <w:sz w:val="20"/>
              </w:rPr>
              <w:t xml:space="preserve">3</w:t>
            </w:r>
          </w:p>
        </w:tc>
        <w:tc>
          <w:tcPr>
            <w:tcW w:w="706" w:type="dxa"/>
            <w:vAlign w:val="center"/>
          </w:tcPr>
          <w:p>
            <w:pPr>
              <w:pStyle w:val="0"/>
              <w:jc w:val="center"/>
            </w:pPr>
            <w:r>
              <w:rPr>
                <w:sz w:val="20"/>
              </w:rPr>
              <w:t xml:space="preserve">5</w:t>
            </w:r>
          </w:p>
        </w:tc>
        <w:tc>
          <w:tcPr>
            <w:tcW w:w="794" w:type="dxa"/>
            <w:vAlign w:val="center"/>
          </w:tcPr>
          <w:p>
            <w:pPr>
              <w:pStyle w:val="0"/>
              <w:jc w:val="center"/>
            </w:pPr>
            <w:r>
              <w:rPr>
                <w:sz w:val="20"/>
              </w:rPr>
              <w:t xml:space="preserve">6</w:t>
            </w:r>
          </w:p>
        </w:tc>
        <w:tc>
          <w:tcPr>
            <w:tcW w:w="794" w:type="dxa"/>
            <w:vAlign w:val="center"/>
          </w:tcPr>
          <w:p>
            <w:pPr>
              <w:pStyle w:val="0"/>
              <w:jc w:val="center"/>
            </w:pPr>
            <w:r>
              <w:rPr>
                <w:sz w:val="20"/>
              </w:rPr>
              <w:t xml:space="preserve">7</w:t>
            </w:r>
          </w:p>
        </w:tc>
        <w:tc>
          <w:tcPr>
            <w:tcW w:w="794" w:type="dxa"/>
            <w:vAlign w:val="center"/>
          </w:tcPr>
          <w:p>
            <w:pPr>
              <w:pStyle w:val="0"/>
              <w:jc w:val="center"/>
            </w:pPr>
            <w:r>
              <w:rPr>
                <w:sz w:val="20"/>
              </w:rPr>
              <w:t xml:space="preserve">8</w:t>
            </w:r>
          </w:p>
        </w:tc>
        <w:tc>
          <w:tcPr>
            <w:tcW w:w="794" w:type="dxa"/>
            <w:vAlign w:val="center"/>
          </w:tcPr>
          <w:p>
            <w:pPr>
              <w:pStyle w:val="0"/>
              <w:jc w:val="center"/>
            </w:pPr>
            <w:r>
              <w:rPr>
                <w:sz w:val="20"/>
              </w:rPr>
              <w:t xml:space="preserve">9</w:t>
            </w:r>
          </w:p>
        </w:tc>
        <w:tc>
          <w:tcPr>
            <w:tcW w:w="794" w:type="dxa"/>
            <w:vAlign w:val="center"/>
          </w:tcPr>
          <w:p>
            <w:pPr>
              <w:pStyle w:val="0"/>
              <w:jc w:val="center"/>
            </w:pPr>
            <w:r>
              <w:rPr>
                <w:sz w:val="20"/>
              </w:rPr>
              <w:t xml:space="preserve">10</w:t>
            </w:r>
          </w:p>
        </w:tc>
        <w:tc>
          <w:tcPr>
            <w:tcW w:w="850" w:type="dxa"/>
            <w:vAlign w:val="center"/>
          </w:tcPr>
          <w:p>
            <w:pPr>
              <w:pStyle w:val="0"/>
              <w:jc w:val="center"/>
            </w:pPr>
            <w:r>
              <w:rPr>
                <w:sz w:val="20"/>
              </w:rPr>
              <w:t xml:space="preserve">12</w:t>
            </w:r>
          </w:p>
        </w:tc>
      </w:tr>
      <w:tr>
        <w:tc>
          <w:tcPr>
            <w:tcW w:w="1474" w:type="dxa"/>
            <w:vAlign w:val="center"/>
          </w:tcPr>
          <w:p>
            <w:pPr>
              <w:pStyle w:val="0"/>
              <w:jc w:val="center"/>
            </w:pPr>
            <w:r>
              <w:rPr>
                <w:sz w:val="20"/>
              </w:rPr>
              <w:t xml:space="preserve">Более 50,0</w:t>
            </w:r>
          </w:p>
        </w:tc>
        <w:tc>
          <w:tcPr>
            <w:tcW w:w="1077" w:type="dxa"/>
            <w:vAlign w:val="center"/>
          </w:tcPr>
          <w:p>
            <w:pPr>
              <w:pStyle w:val="0"/>
              <w:jc w:val="center"/>
            </w:pPr>
            <w:r>
              <w:rPr>
                <w:sz w:val="20"/>
              </w:rPr>
              <w:t xml:space="preserve">1,5</w:t>
            </w:r>
          </w:p>
        </w:tc>
        <w:tc>
          <w:tcPr>
            <w:tcW w:w="964" w:type="dxa"/>
            <w:vAlign w:val="center"/>
          </w:tcPr>
          <w:p>
            <w:pPr>
              <w:pStyle w:val="0"/>
              <w:jc w:val="center"/>
            </w:pPr>
            <w:r>
              <w:rPr>
                <w:sz w:val="20"/>
              </w:rPr>
              <w:t xml:space="preserve">4</w:t>
            </w:r>
          </w:p>
        </w:tc>
        <w:tc>
          <w:tcPr>
            <w:tcW w:w="706" w:type="dxa"/>
            <w:vAlign w:val="center"/>
          </w:tcPr>
          <w:p>
            <w:pPr>
              <w:pStyle w:val="0"/>
              <w:jc w:val="center"/>
            </w:pPr>
            <w:r>
              <w:rPr>
                <w:sz w:val="20"/>
              </w:rPr>
              <w:t xml:space="preserve">6</w:t>
            </w:r>
          </w:p>
        </w:tc>
        <w:tc>
          <w:tcPr>
            <w:tcW w:w="794" w:type="dxa"/>
            <w:vAlign w:val="center"/>
          </w:tcPr>
          <w:p>
            <w:pPr>
              <w:pStyle w:val="0"/>
              <w:jc w:val="center"/>
            </w:pPr>
            <w:r>
              <w:rPr>
                <w:sz w:val="20"/>
              </w:rPr>
              <w:t xml:space="preserve">7</w:t>
            </w:r>
          </w:p>
        </w:tc>
        <w:tc>
          <w:tcPr>
            <w:tcW w:w="794" w:type="dxa"/>
            <w:vAlign w:val="center"/>
          </w:tcPr>
          <w:p>
            <w:pPr>
              <w:pStyle w:val="0"/>
              <w:jc w:val="center"/>
            </w:pPr>
            <w:r>
              <w:rPr>
                <w:sz w:val="20"/>
              </w:rPr>
              <w:t xml:space="preserve">8</w:t>
            </w:r>
          </w:p>
        </w:tc>
        <w:tc>
          <w:tcPr>
            <w:tcW w:w="794" w:type="dxa"/>
            <w:vAlign w:val="center"/>
          </w:tcPr>
          <w:p>
            <w:pPr>
              <w:pStyle w:val="0"/>
              <w:jc w:val="center"/>
            </w:pPr>
            <w:r>
              <w:rPr>
                <w:sz w:val="20"/>
              </w:rPr>
              <w:t xml:space="preserve">9</w:t>
            </w:r>
          </w:p>
        </w:tc>
        <w:tc>
          <w:tcPr>
            <w:tcW w:w="794" w:type="dxa"/>
            <w:vAlign w:val="center"/>
          </w:tcPr>
          <w:p>
            <w:pPr>
              <w:pStyle w:val="0"/>
              <w:jc w:val="center"/>
            </w:pPr>
            <w:r>
              <w:rPr>
                <w:sz w:val="20"/>
              </w:rPr>
              <w:t xml:space="preserve">10</w:t>
            </w:r>
          </w:p>
        </w:tc>
        <w:tc>
          <w:tcPr>
            <w:tcW w:w="794" w:type="dxa"/>
            <w:vAlign w:val="center"/>
          </w:tcPr>
          <w:p>
            <w:pPr>
              <w:pStyle w:val="0"/>
              <w:jc w:val="center"/>
            </w:pPr>
            <w:r>
              <w:rPr>
                <w:sz w:val="20"/>
              </w:rPr>
              <w:t xml:space="preserve">12</w:t>
            </w:r>
          </w:p>
        </w:tc>
        <w:tc>
          <w:tcPr>
            <w:tcW w:w="850" w:type="dxa"/>
            <w:vAlign w:val="center"/>
          </w:tcPr>
          <w:p>
            <w:pPr>
              <w:pStyle w:val="0"/>
              <w:jc w:val="center"/>
            </w:pPr>
            <w:r>
              <w:rPr>
                <w:sz w:val="20"/>
              </w:rPr>
              <w:t xml:space="preserve">15</w:t>
            </w:r>
          </w:p>
        </w:tc>
      </w:tr>
      <w:tr>
        <w:tc>
          <w:tcPr>
            <w:gridSpan w:val="10"/>
            <w:tcW w:w="9041" w:type="dxa"/>
          </w:tcPr>
          <w:p>
            <w:pPr>
              <w:pStyle w:val="0"/>
            </w:pPr>
            <w:r>
              <w:rPr>
                <w:sz w:val="20"/>
              </w:rPr>
              <w:t xml:space="preserve">Примечание. Ду - диаметр условного прохода.</w:t>
            </w:r>
          </w:p>
        </w:tc>
      </w:tr>
    </w:tbl>
    <w:p>
      <w:pPr>
        <w:pStyle w:val="0"/>
        <w:jc w:val="both"/>
      </w:pPr>
      <w:r>
        <w:rPr>
          <w:sz w:val="20"/>
        </w:rPr>
      </w:r>
    </w:p>
    <w:bookmarkStart w:id="1144" w:name="P1144"/>
    <w:bookmarkEnd w:id="1144"/>
    <w:p>
      <w:pPr>
        <w:pStyle w:val="0"/>
        <w:ind w:firstLine="540"/>
        <w:jc w:val="both"/>
      </w:pPr>
      <w:r>
        <w:rPr>
          <w:sz w:val="20"/>
        </w:rPr>
        <w:t xml:space="preserve">3. На направляющих поверхностях не допускаются округлые одиночные включения с максимальным размером свыше 1,5 мм, а также округлые одиночные включения с максимальным размером свыше 0,2 до 1,5 мм включительно при их количестве более четырех на любых 20,0 см</w:t>
      </w:r>
      <w:r>
        <w:rPr>
          <w:sz w:val="20"/>
          <w:vertAlign w:val="superscript"/>
        </w:rPr>
        <w:t xml:space="preserve">2</w:t>
      </w:r>
      <w:r>
        <w:rPr>
          <w:sz w:val="20"/>
        </w:rPr>
        <w:t xml:space="preserve"> наплавленной поверхности.</w:t>
      </w:r>
    </w:p>
    <w:bookmarkStart w:id="1145" w:name="P1145"/>
    <w:bookmarkEnd w:id="1145"/>
    <w:p>
      <w:pPr>
        <w:pStyle w:val="0"/>
        <w:spacing w:before="200" w:line-rule="auto"/>
        <w:ind w:firstLine="540"/>
        <w:jc w:val="both"/>
      </w:pPr>
      <w:r>
        <w:rPr>
          <w:sz w:val="20"/>
        </w:rPr>
        <w:t xml:space="preserve">4. Для уплотнительных и прилегающих к ним боковых наплавленных поверхностей протяженностью, не кратной 100,0 мм, нормы по количеству допустимых включений должны быть пропорционально изменены. Дробное количество допускаемых включений округляется до ближайшего целого числа.</w:t>
      </w:r>
    </w:p>
    <w:p>
      <w:pPr>
        <w:pStyle w:val="0"/>
        <w:spacing w:before="200" w:line-rule="auto"/>
        <w:ind w:firstLine="540"/>
        <w:jc w:val="both"/>
      </w:pPr>
      <w:r>
        <w:rPr>
          <w:sz w:val="20"/>
        </w:rPr>
        <w:t xml:space="preserve">Для направляющих и прилегающих к ним боковых наплавленных поверхностей площадью, не кратной 20,0 см</w:t>
      </w:r>
      <w:r>
        <w:rPr>
          <w:sz w:val="20"/>
          <w:vertAlign w:val="superscript"/>
        </w:rPr>
        <w:t xml:space="preserve">2</w:t>
      </w:r>
      <w:r>
        <w:rPr>
          <w:sz w:val="20"/>
        </w:rPr>
        <w:t xml:space="preserve">, нормы по количеству допустимых включений должны быть пропорционально изменены. Дробное количество допускаемых включений округляется до ближайшего целого числа.</w:t>
      </w:r>
    </w:p>
    <w:p>
      <w:pPr>
        <w:pStyle w:val="0"/>
        <w:jc w:val="both"/>
      </w:pPr>
      <w:r>
        <w:rPr>
          <w:sz w:val="20"/>
        </w:rPr>
      </w:r>
    </w:p>
    <w:p>
      <w:pPr>
        <w:pStyle w:val="2"/>
        <w:outlineLvl w:val="2"/>
        <w:jc w:val="center"/>
      </w:pPr>
      <w:r>
        <w:rPr>
          <w:sz w:val="20"/>
        </w:rPr>
        <w:t xml:space="preserve">Капиллярный контроль</w:t>
      </w:r>
    </w:p>
    <w:p>
      <w:pPr>
        <w:pStyle w:val="0"/>
        <w:jc w:val="both"/>
      </w:pPr>
      <w:r>
        <w:rPr>
          <w:sz w:val="20"/>
        </w:rPr>
      </w:r>
    </w:p>
    <w:bookmarkStart w:id="1150" w:name="P1150"/>
    <w:bookmarkEnd w:id="1150"/>
    <w:p>
      <w:pPr>
        <w:pStyle w:val="0"/>
        <w:ind w:firstLine="540"/>
        <w:jc w:val="both"/>
      </w:pPr>
      <w:r>
        <w:rPr>
          <w:sz w:val="20"/>
        </w:rPr>
        <w:t xml:space="preserve">5. При капиллярном контроле оценка качества наплавленных поверхностей может проводиться как по индикаторным следам, так и по фактическим характеристикам выявленных несплошностей после удаления проявителя в зоне зафиксированных индикаторных следов.</w:t>
      </w:r>
    </w:p>
    <w:p>
      <w:pPr>
        <w:pStyle w:val="0"/>
        <w:spacing w:before="200" w:line-rule="auto"/>
        <w:ind w:firstLine="540"/>
        <w:jc w:val="both"/>
      </w:pPr>
      <w:r>
        <w:rPr>
          <w:sz w:val="20"/>
        </w:rPr>
        <w:t xml:space="preserve">6. Результаты контроля по индикаторным следам считаются удовлетворительными при одновременном соблюдении следующих условий:</w:t>
      </w:r>
    </w:p>
    <w:p>
      <w:pPr>
        <w:pStyle w:val="0"/>
        <w:spacing w:before="200" w:line-rule="auto"/>
        <w:ind w:firstLine="540"/>
        <w:jc w:val="both"/>
      </w:pPr>
      <w:r>
        <w:rPr>
          <w:sz w:val="20"/>
        </w:rPr>
        <w:t xml:space="preserve">а) все индикаторные следы являются округлыми, протяженные индикаторные следы отсутствуют;</w:t>
      </w:r>
    </w:p>
    <w:p>
      <w:pPr>
        <w:pStyle w:val="0"/>
        <w:jc w:val="both"/>
      </w:pPr>
      <w:r>
        <w:rPr>
          <w:sz w:val="20"/>
        </w:rPr>
        <w:t xml:space="preserve">(в ред. </w:t>
      </w:r>
      <w:hyperlink w:history="0" r:id="rId77"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б) наибольший размер каждого индикаторного следа не превышает трехкратной величины норм, приведенных в </w:t>
      </w:r>
      <w:hyperlink w:history="0" w:anchor="P1144" w:tooltip="3. На направляющих поверхностях не допускаются округлые одиночные включения с максимальным размером свыше 1,5 мм, а также округлые одиночные включения с максимальным размером свыше 0,2 до 1,5 мм включительно при их количестве более четырех на любых 20,0 см2 наплавленной поверхности.">
        <w:r>
          <w:rPr>
            <w:sz w:val="20"/>
            <w:color w:val="0000ff"/>
          </w:rPr>
          <w:t xml:space="preserve">пунктах 3</w:t>
        </w:r>
      </w:hyperlink>
      <w:r>
        <w:rPr>
          <w:sz w:val="20"/>
        </w:rPr>
        <w:t xml:space="preserve">, </w:t>
      </w:r>
      <w:hyperlink w:history="0" w:anchor="P1145" w:tooltip="4. Для уплотнительных и прилегающих к ним боковых наплавленных поверхностей протяженностью, не кратной 100,0 мм, нормы по количеству допустимых включений должны быть пропорционально изменены. Дробное количество допускаемых включений округляется до ближайшего целого числа.">
        <w:r>
          <w:rPr>
            <w:sz w:val="20"/>
            <w:color w:val="0000ff"/>
          </w:rPr>
          <w:t xml:space="preserve">4</w:t>
        </w:r>
      </w:hyperlink>
      <w:r>
        <w:rPr>
          <w:sz w:val="20"/>
        </w:rPr>
        <w:t xml:space="preserve">, </w:t>
      </w:r>
      <w:hyperlink w:history="0" w:anchor="P1150" w:tooltip="5. При капиллярном контроле оценка качества наплавленных поверхностей может проводиться как по индикаторным следам, так и по фактическим характеристикам выявленных несплошностей после удаления проявителя в зоне зафиксированных индикаторных следов.">
        <w:r>
          <w:rPr>
            <w:sz w:val="20"/>
            <w:color w:val="0000ff"/>
          </w:rPr>
          <w:t xml:space="preserve">5</w:t>
        </w:r>
      </w:hyperlink>
      <w:r>
        <w:rPr>
          <w:sz w:val="20"/>
        </w:rPr>
        <w:t xml:space="preserve"> настоящего приложения для одиночных включений;</w:t>
      </w:r>
    </w:p>
    <w:p>
      <w:pPr>
        <w:pStyle w:val="0"/>
        <w:spacing w:before="200" w:line-rule="auto"/>
        <w:ind w:firstLine="540"/>
        <w:jc w:val="both"/>
      </w:pPr>
      <w:r>
        <w:rPr>
          <w:sz w:val="20"/>
        </w:rPr>
        <w:t xml:space="preserve">в) количество индикаторных следов не превышает норм, приведенных в </w:t>
      </w:r>
      <w:hyperlink w:history="0" w:anchor="P1144" w:tooltip="3. На направляющих поверхностях не допускаются округлые одиночные включения с максимальным размером свыше 1,5 мм, а также округлые одиночные включения с максимальным размером свыше 0,2 до 1,5 мм включительно при их количестве более четырех на любых 20,0 см2 наплавленной поверхности.">
        <w:r>
          <w:rPr>
            <w:sz w:val="20"/>
            <w:color w:val="0000ff"/>
          </w:rPr>
          <w:t xml:space="preserve">пунктах 3</w:t>
        </w:r>
      </w:hyperlink>
      <w:r>
        <w:rPr>
          <w:sz w:val="20"/>
        </w:rPr>
        <w:t xml:space="preserve">, </w:t>
      </w:r>
      <w:hyperlink w:history="0" w:anchor="P1150" w:tooltip="5. При капиллярном контроле оценка качества наплавленных поверхностей может проводиться как по индикаторным следам, так и по фактическим характеристикам выявленных несплошностей после удаления проявителя в зоне зафиксированных индикаторных следов.">
        <w:r>
          <w:rPr>
            <w:sz w:val="20"/>
            <w:color w:val="0000ff"/>
          </w:rPr>
          <w:t xml:space="preserve">5</w:t>
        </w:r>
      </w:hyperlink>
      <w:r>
        <w:rPr>
          <w:sz w:val="20"/>
        </w:rPr>
        <w:t xml:space="preserve"> настоящего приложения для одиночных включений;</w:t>
      </w:r>
    </w:p>
    <w:p>
      <w:pPr>
        <w:pStyle w:val="0"/>
        <w:spacing w:before="200" w:line-rule="auto"/>
        <w:ind w:firstLine="540"/>
        <w:jc w:val="both"/>
      </w:pPr>
      <w:r>
        <w:rPr>
          <w:sz w:val="20"/>
        </w:rPr>
        <w:t xml:space="preserve">г) индикаторные следы являются одиночными (минимальное расстояние между краями двух любых округлых индикаторных следов меньше максимального размера большего из двух рассматриваемых следов).</w:t>
      </w:r>
    </w:p>
    <w:p>
      <w:pPr>
        <w:pStyle w:val="0"/>
        <w:spacing w:before="200" w:line-rule="auto"/>
        <w:ind w:firstLine="540"/>
        <w:jc w:val="both"/>
      </w:pPr>
      <w:r>
        <w:rPr>
          <w:sz w:val="20"/>
        </w:rPr>
        <w:t xml:space="preserve">Округлые индикаторные следы с наибольшим размером до 0,6 мм включительно не учитываются.</w:t>
      </w:r>
    </w:p>
    <w:p>
      <w:pPr>
        <w:pStyle w:val="0"/>
        <w:spacing w:before="200" w:line-rule="auto"/>
        <w:ind w:firstLine="540"/>
        <w:jc w:val="both"/>
      </w:pPr>
      <w:r>
        <w:rPr>
          <w:sz w:val="20"/>
        </w:rPr>
        <w:t xml:space="preserve">Несплошности, не удовлетворяющие нормам настоящего пункта, должны быть подвергнуты контролю по фактическим характеристикам, приведенным в </w:t>
      </w:r>
      <w:hyperlink w:history="0" w:anchor="P1144" w:tooltip="3. На направляющих поверхностях не допускаются округлые одиночные включения с максимальным размером свыше 1,5 мм, а также округлые одиночные включения с максимальным размером свыше 0,2 до 1,5 мм включительно при их количестве более четырех на любых 20,0 см2 наплавленной поверхности.">
        <w:r>
          <w:rPr>
            <w:sz w:val="20"/>
            <w:color w:val="0000ff"/>
          </w:rPr>
          <w:t xml:space="preserve">пунктах 3</w:t>
        </w:r>
      </w:hyperlink>
      <w:r>
        <w:rPr>
          <w:sz w:val="20"/>
        </w:rPr>
        <w:t xml:space="preserve">, </w:t>
      </w:r>
      <w:hyperlink w:history="0" w:anchor="P1145" w:tooltip="4. Для уплотнительных и прилегающих к ним боковых наплавленных поверхностей протяженностью, не кратной 100,0 мм, нормы по количеству допустимых включений должны быть пропорционально изменены. Дробное количество допускаемых включений округляется до ближайшего целого числа.">
        <w:r>
          <w:rPr>
            <w:sz w:val="20"/>
            <w:color w:val="0000ff"/>
          </w:rPr>
          <w:t xml:space="preserve">4</w:t>
        </w:r>
      </w:hyperlink>
      <w:r>
        <w:rPr>
          <w:sz w:val="20"/>
        </w:rPr>
        <w:t xml:space="preserve"> настоящего приложения. Результаты контроля являются окончательными.</w:t>
      </w:r>
    </w:p>
    <w:p>
      <w:pPr>
        <w:pStyle w:val="0"/>
        <w:jc w:val="both"/>
      </w:pPr>
      <w:r>
        <w:rPr>
          <w:sz w:val="20"/>
        </w:rPr>
      </w:r>
    </w:p>
    <w:p>
      <w:pPr>
        <w:pStyle w:val="2"/>
        <w:outlineLvl w:val="2"/>
        <w:jc w:val="center"/>
      </w:pPr>
      <w:r>
        <w:rPr>
          <w:sz w:val="20"/>
        </w:rPr>
        <w:t xml:space="preserve">Измерение твердости</w:t>
      </w:r>
    </w:p>
    <w:p>
      <w:pPr>
        <w:pStyle w:val="0"/>
        <w:jc w:val="both"/>
      </w:pPr>
      <w:r>
        <w:rPr>
          <w:sz w:val="20"/>
        </w:rPr>
      </w:r>
    </w:p>
    <w:p>
      <w:pPr>
        <w:pStyle w:val="0"/>
        <w:ind w:firstLine="540"/>
        <w:jc w:val="both"/>
      </w:pPr>
      <w:r>
        <w:rPr>
          <w:sz w:val="20"/>
        </w:rPr>
        <w:t xml:space="preserve">7. Твердость наплавленных поверхностей после термической обработки должна соответствовать значениям, приведенным в </w:t>
      </w:r>
      <w:hyperlink w:history="0" r:id="rId78" w:tooltip="&quot;ГОСТ Р 50.05.25-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Механические свойства металла сварных соединений и наплавленных поверхностей&quot; (утв. и введен в действие Приказом Росстандарта от 29.12.2020 N 1435-ст) {КонсультантПлюс}">
        <w:r>
          <w:rPr>
            <w:sz w:val="20"/>
            <w:color w:val="0000ff"/>
          </w:rPr>
          <w:t xml:space="preserve">таблице 12.1</w:t>
        </w:r>
      </w:hyperlink>
      <w:r>
        <w:rPr>
          <w:sz w:val="20"/>
        </w:rPr>
        <w:t xml:space="preserve"> раздела 12 ГОСТ Р 50.05.25-2020.</w:t>
      </w:r>
    </w:p>
    <w:p>
      <w:pPr>
        <w:pStyle w:val="0"/>
        <w:jc w:val="both"/>
      </w:pPr>
      <w:r>
        <w:rPr>
          <w:sz w:val="20"/>
        </w:rPr>
        <w:t xml:space="preserve">(в ред. </w:t>
      </w:r>
      <w:hyperlink w:history="0" r:id="rId79"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8. Верхний допустимый предел твердости устанавливается конструкторской и технологической документацией в зависимости от объема наплавленного металла и режимов термической обработки.</w:t>
      </w:r>
    </w:p>
    <w:p>
      <w:pPr>
        <w:pStyle w:val="0"/>
        <w:spacing w:before="200" w:line-rule="auto"/>
        <w:ind w:firstLine="540"/>
        <w:jc w:val="both"/>
      </w:pPr>
      <w:r>
        <w:rPr>
          <w:sz w:val="20"/>
        </w:rPr>
        <w:t xml:space="preserve">9. Допускается отклонение значений твердости двухслойных наплавок от значений, приведенных в </w:t>
      </w:r>
      <w:hyperlink w:history="0" r:id="rId80" w:tooltip="&quot;ГОСТ Р 50.05.25-2020. Национальный стандарт Российской Федерации. Система оценки соответствия в области использования атомной энергии. Оценка соответствия в форме контроля. Механические свойства металла сварных соединений и наплавленных поверхностей&quot; (утв. и введен в действие Приказом Росстандарта от 29.12.2020 N 1435-ст) {КонсультантПлюс}">
        <w:r>
          <w:rPr>
            <w:sz w:val="20"/>
            <w:color w:val="0000ff"/>
          </w:rPr>
          <w:t xml:space="preserve">таблице 12.1</w:t>
        </w:r>
      </w:hyperlink>
      <w:r>
        <w:rPr>
          <w:sz w:val="20"/>
        </w:rPr>
        <w:t xml:space="preserve"> раздела 12 ГОСТ Р 50.05.25-2020, не более чем на 8%.</w:t>
      </w:r>
    </w:p>
    <w:p>
      <w:pPr>
        <w:pStyle w:val="0"/>
        <w:jc w:val="both"/>
      </w:pPr>
      <w:r>
        <w:rPr>
          <w:sz w:val="20"/>
        </w:rPr>
        <w:t xml:space="preserve">(в ред. </w:t>
      </w:r>
      <w:hyperlink w:history="0" r:id="rId81"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Приказа</w:t>
        </w:r>
      </w:hyperlink>
      <w:r>
        <w:rPr>
          <w:sz w:val="20"/>
        </w:rPr>
        <w:t xml:space="preserve"> Ростехнадзора от 08.07.2024 N 211)</w:t>
      </w:r>
    </w:p>
    <w:p>
      <w:pPr>
        <w:pStyle w:val="0"/>
        <w:spacing w:before="200" w:line-rule="auto"/>
        <w:ind w:firstLine="540"/>
        <w:jc w:val="both"/>
      </w:pPr>
      <w:r>
        <w:rPr>
          <w:sz w:val="20"/>
        </w:rPr>
        <w:t xml:space="preserve">10. Минимальное количество замеров должно быть не менее:</w:t>
      </w:r>
    </w:p>
    <w:p>
      <w:pPr>
        <w:pStyle w:val="0"/>
        <w:spacing w:before="200" w:line-rule="auto"/>
        <w:ind w:firstLine="540"/>
        <w:jc w:val="both"/>
      </w:pPr>
      <w:r>
        <w:rPr>
          <w:sz w:val="20"/>
        </w:rPr>
        <w:t xml:space="preserve">а) двух - для арматуры с номинальным диаметром до 65,0 мм включительно;</w:t>
      </w:r>
    </w:p>
    <w:p>
      <w:pPr>
        <w:pStyle w:val="0"/>
        <w:spacing w:before="200" w:line-rule="auto"/>
        <w:ind w:firstLine="540"/>
        <w:jc w:val="both"/>
      </w:pPr>
      <w:r>
        <w:rPr>
          <w:sz w:val="20"/>
        </w:rPr>
        <w:t xml:space="preserve">б) трех - для арматуры с номинальным диаметром более 65,0 до 150,0 мм включительно;</w:t>
      </w:r>
    </w:p>
    <w:p>
      <w:pPr>
        <w:pStyle w:val="0"/>
        <w:spacing w:before="200" w:line-rule="auto"/>
        <w:ind w:firstLine="540"/>
        <w:jc w:val="both"/>
      </w:pPr>
      <w:r>
        <w:rPr>
          <w:sz w:val="20"/>
        </w:rPr>
        <w:t xml:space="preserve">в) пяти - для арматуры с номинальным диаметром более 150,0 до 400,0 мм включительно;</w:t>
      </w:r>
    </w:p>
    <w:p>
      <w:pPr>
        <w:pStyle w:val="0"/>
        <w:spacing w:before="200" w:line-rule="auto"/>
        <w:ind w:firstLine="540"/>
        <w:jc w:val="both"/>
      </w:pPr>
      <w:r>
        <w:rPr>
          <w:sz w:val="20"/>
        </w:rPr>
        <w:t xml:space="preserve">г) восьми - для арматуры с номинальным диаметром более 400,0 до 600,0 мм включительно;</w:t>
      </w:r>
    </w:p>
    <w:p>
      <w:pPr>
        <w:pStyle w:val="0"/>
        <w:spacing w:before="200" w:line-rule="auto"/>
        <w:ind w:firstLine="540"/>
        <w:jc w:val="both"/>
      </w:pPr>
      <w:r>
        <w:rPr>
          <w:sz w:val="20"/>
        </w:rPr>
        <w:t xml:space="preserve">д) десяти - для арматуры с номинальным диаметром более 600,0 мм.</w:t>
      </w:r>
    </w:p>
    <w:p>
      <w:pPr>
        <w:pStyle w:val="0"/>
        <w:spacing w:before="200" w:line-rule="auto"/>
        <w:ind w:firstLine="540"/>
        <w:jc w:val="both"/>
      </w:pPr>
      <w:r>
        <w:rPr>
          <w:sz w:val="20"/>
        </w:rPr>
        <w:t xml:space="preserve">11. При получении неудовлетворительных результатов измерения твердости наплавленных поверхностей допускается проведение повторных измерений с удвоенным количеством замеров. Результаты повторных измерений являются окончательными.</w:t>
      </w:r>
    </w:p>
    <w:p>
      <w:pPr>
        <w:pStyle w:val="0"/>
        <w:spacing w:before="200" w:line-rule="auto"/>
        <w:ind w:firstLine="540"/>
        <w:jc w:val="both"/>
      </w:pPr>
      <w:r>
        <w:rPr>
          <w:sz w:val="20"/>
        </w:rPr>
        <w:t xml:space="preserve">12. На деталях с наплавленными поверхностями, доступными для замеров твердости, контроль проводят непосредственно на рабочих поверхностях наплавленного металла после предварительной механической обработки с припуском на окончательную механическую обработку не более 0,5 мм.</w:t>
      </w:r>
    </w:p>
    <w:p>
      <w:pPr>
        <w:pStyle w:val="0"/>
        <w:spacing w:before="200" w:line-rule="auto"/>
        <w:ind w:firstLine="540"/>
        <w:jc w:val="both"/>
      </w:pPr>
      <w:r>
        <w:rPr>
          <w:sz w:val="20"/>
        </w:rPr>
        <w:t xml:space="preserve">13. На деталях с наплавленными поверхностями, недоступными для замеров твердости, контроль проводят на контрольных образцах, идентичных контролируемым производственным наплавленным деталям по марке основного металла, подготовке под наплавку, способу наплавки, партии наплавочных материалов, технологии выполнения наплавки, термической и механической обработке.</w:t>
      </w:r>
    </w:p>
    <w:p>
      <w:pPr>
        <w:pStyle w:val="0"/>
        <w:jc w:val="both"/>
      </w:pPr>
      <w:r>
        <w:rPr>
          <w:sz w:val="20"/>
        </w:rPr>
      </w:r>
    </w:p>
    <w:p>
      <w:pPr>
        <w:pStyle w:val="2"/>
        <w:outlineLvl w:val="2"/>
        <w:jc w:val="center"/>
      </w:pPr>
      <w:r>
        <w:rPr>
          <w:sz w:val="20"/>
        </w:rPr>
        <w:t xml:space="preserve">Контроль качества наплавки уплотнительных поверхностей</w:t>
      </w:r>
    </w:p>
    <w:p>
      <w:pPr>
        <w:pStyle w:val="2"/>
        <w:jc w:val="center"/>
      </w:pPr>
      <w:r>
        <w:rPr>
          <w:sz w:val="20"/>
        </w:rPr>
        <w:t xml:space="preserve">деталей арматуры из титановых сплавов</w:t>
      </w:r>
    </w:p>
    <w:p>
      <w:pPr>
        <w:pStyle w:val="0"/>
        <w:jc w:val="both"/>
      </w:pPr>
      <w:r>
        <w:rPr>
          <w:sz w:val="20"/>
        </w:rPr>
      </w:r>
    </w:p>
    <w:p>
      <w:pPr>
        <w:pStyle w:val="0"/>
        <w:ind w:firstLine="540"/>
        <w:jc w:val="both"/>
      </w:pPr>
      <w:r>
        <w:rPr>
          <w:sz w:val="20"/>
        </w:rPr>
        <w:t xml:space="preserve">14. Геометрические размеры наплавки подлежат контролю непосредственно после выполнения наплавки перед выполнением термической обработки.</w:t>
      </w:r>
    </w:p>
    <w:p>
      <w:pPr>
        <w:pStyle w:val="0"/>
        <w:spacing w:before="200" w:line-rule="auto"/>
        <w:ind w:firstLine="540"/>
        <w:jc w:val="both"/>
      </w:pPr>
      <w:r>
        <w:rPr>
          <w:sz w:val="20"/>
        </w:rPr>
        <w:t xml:space="preserve">15. Визуальный контроль должен проводиться после выполнения наплавки и механической обработки с целью выявления пор и вольфрамовых включений на поверхности наплавленного металла, а также трещин на поверхности наплавленного металла и в зоне термического влияния.</w:t>
      </w:r>
    </w:p>
    <w:p>
      <w:pPr>
        <w:pStyle w:val="0"/>
        <w:spacing w:before="200" w:line-rule="auto"/>
        <w:ind w:firstLine="540"/>
        <w:jc w:val="both"/>
      </w:pPr>
      <w:r>
        <w:rPr>
          <w:sz w:val="20"/>
        </w:rPr>
        <w:t xml:space="preserve">На наплавленном металле и в зоне термического влияния трещины не допускаются. На окончательно обработанной поверхности не допускаются вольфрамовые включения, а также поры, размеры и количество которых превышают значения, приведенные в таблице N 3.2 настоящего приложения.</w:t>
      </w:r>
    </w:p>
    <w:p>
      <w:pPr>
        <w:pStyle w:val="0"/>
        <w:jc w:val="both"/>
      </w:pPr>
      <w:r>
        <w:rPr>
          <w:sz w:val="20"/>
        </w:rPr>
      </w:r>
    </w:p>
    <w:p>
      <w:pPr>
        <w:pStyle w:val="0"/>
        <w:outlineLvl w:val="3"/>
        <w:jc w:val="right"/>
      </w:pPr>
      <w:r>
        <w:rPr>
          <w:sz w:val="20"/>
        </w:rPr>
        <w:t xml:space="preserve">Таблица N 3.2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53"/>
        <w:gridCol w:w="2835"/>
        <w:gridCol w:w="2554"/>
      </w:tblGrid>
      <w:tr>
        <w:tc>
          <w:tcPr>
            <w:tcW w:w="3653" w:type="dxa"/>
          </w:tcPr>
          <w:p>
            <w:pPr>
              <w:pStyle w:val="0"/>
              <w:jc w:val="center"/>
            </w:pPr>
            <w:r>
              <w:rPr>
                <w:sz w:val="20"/>
              </w:rPr>
              <w:t xml:space="preserve">Диаметр условного прохода, мм</w:t>
            </w:r>
          </w:p>
        </w:tc>
        <w:tc>
          <w:tcPr>
            <w:tcW w:w="2835" w:type="dxa"/>
          </w:tcPr>
          <w:p>
            <w:pPr>
              <w:pStyle w:val="0"/>
              <w:jc w:val="center"/>
            </w:pPr>
            <w:r>
              <w:rPr>
                <w:sz w:val="20"/>
              </w:rPr>
              <w:t xml:space="preserve">Допускаемый размер пор, мм, не более</w:t>
            </w:r>
          </w:p>
        </w:tc>
        <w:tc>
          <w:tcPr>
            <w:tcW w:w="2554" w:type="dxa"/>
          </w:tcPr>
          <w:p>
            <w:pPr>
              <w:pStyle w:val="0"/>
              <w:jc w:val="center"/>
            </w:pPr>
            <w:r>
              <w:rPr>
                <w:sz w:val="20"/>
              </w:rPr>
              <w:t xml:space="preserve">Допускаемое количество пор, шт., не более</w:t>
            </w:r>
          </w:p>
        </w:tc>
      </w:tr>
      <w:tr>
        <w:tc>
          <w:tcPr>
            <w:tcW w:w="3653" w:type="dxa"/>
            <w:vAlign w:val="center"/>
          </w:tcPr>
          <w:p>
            <w:pPr>
              <w:pStyle w:val="0"/>
              <w:jc w:val="center"/>
            </w:pPr>
            <w:r>
              <w:rPr>
                <w:sz w:val="20"/>
              </w:rPr>
              <w:t xml:space="preserve">До 50,0 включительно</w:t>
            </w:r>
          </w:p>
        </w:tc>
        <w:tc>
          <w:tcPr>
            <w:tcW w:w="2835" w:type="dxa"/>
            <w:vAlign w:val="center"/>
            <w:vMerge w:val="restart"/>
          </w:tcPr>
          <w:p>
            <w:pPr>
              <w:pStyle w:val="0"/>
              <w:jc w:val="center"/>
            </w:pPr>
            <w:r>
              <w:rPr>
                <w:sz w:val="20"/>
              </w:rPr>
              <w:t xml:space="preserve">Диаметр 0,3</w:t>
            </w:r>
          </w:p>
          <w:p>
            <w:pPr>
              <w:pStyle w:val="0"/>
              <w:jc w:val="center"/>
            </w:pPr>
            <w:r>
              <w:rPr>
                <w:sz w:val="20"/>
              </w:rPr>
              <w:t xml:space="preserve">Глубина 0,2</w:t>
            </w:r>
          </w:p>
        </w:tc>
        <w:tc>
          <w:tcPr>
            <w:tcW w:w="2554" w:type="dxa"/>
            <w:vAlign w:val="center"/>
          </w:tcPr>
          <w:p>
            <w:pPr>
              <w:pStyle w:val="0"/>
              <w:jc w:val="center"/>
            </w:pPr>
            <w:r>
              <w:rPr>
                <w:sz w:val="20"/>
              </w:rPr>
              <w:t xml:space="preserve">1</w:t>
            </w:r>
          </w:p>
        </w:tc>
      </w:tr>
      <w:tr>
        <w:tc>
          <w:tcPr>
            <w:tcW w:w="3653" w:type="dxa"/>
            <w:vAlign w:val="center"/>
          </w:tcPr>
          <w:p>
            <w:pPr>
              <w:pStyle w:val="0"/>
              <w:jc w:val="center"/>
            </w:pPr>
            <w:r>
              <w:rPr>
                <w:sz w:val="20"/>
              </w:rPr>
              <w:t xml:space="preserve">Более 50,0 до 100,0 включительно</w:t>
            </w:r>
          </w:p>
        </w:tc>
        <w:tc>
          <w:tcPr>
            <w:vMerge w:val="continue"/>
          </w:tcPr>
          <w:p/>
        </w:tc>
        <w:tc>
          <w:tcPr>
            <w:tcW w:w="2554" w:type="dxa"/>
            <w:vAlign w:val="center"/>
          </w:tcPr>
          <w:p>
            <w:pPr>
              <w:pStyle w:val="0"/>
              <w:jc w:val="center"/>
            </w:pPr>
            <w:r>
              <w:rPr>
                <w:sz w:val="20"/>
              </w:rPr>
              <w:t xml:space="preserve">2</w:t>
            </w:r>
          </w:p>
        </w:tc>
      </w:tr>
      <w:tr>
        <w:tc>
          <w:tcPr>
            <w:tcW w:w="3653" w:type="dxa"/>
            <w:vAlign w:val="center"/>
          </w:tcPr>
          <w:p>
            <w:pPr>
              <w:pStyle w:val="0"/>
              <w:jc w:val="center"/>
            </w:pPr>
            <w:r>
              <w:rPr>
                <w:sz w:val="20"/>
              </w:rPr>
              <w:t xml:space="preserve">Более 100,0</w:t>
            </w:r>
          </w:p>
        </w:tc>
        <w:tc>
          <w:tcPr>
            <w:vMerge w:val="continue"/>
          </w:tcPr>
          <w:p/>
        </w:tc>
        <w:tc>
          <w:tcPr>
            <w:tcW w:w="2554" w:type="dxa"/>
            <w:vAlign w:val="center"/>
          </w:tcPr>
          <w:p>
            <w:pPr>
              <w:pStyle w:val="0"/>
              <w:jc w:val="center"/>
            </w:pPr>
            <w:r>
              <w:rPr>
                <w:sz w:val="20"/>
              </w:rPr>
              <w:t xml:space="preserve">3</w:t>
            </w:r>
          </w:p>
        </w:tc>
      </w:tr>
    </w:tbl>
    <w:p>
      <w:pPr>
        <w:pStyle w:val="0"/>
        <w:jc w:val="both"/>
      </w:pPr>
      <w:r>
        <w:rPr>
          <w:sz w:val="20"/>
        </w:rPr>
      </w:r>
    </w:p>
    <w:p>
      <w:pPr>
        <w:pStyle w:val="0"/>
        <w:ind w:firstLine="540"/>
        <w:jc w:val="both"/>
      </w:pPr>
      <w:r>
        <w:rPr>
          <w:sz w:val="20"/>
        </w:rPr>
        <w:t xml:space="preserve">16. Капиллярный контроль должен проводиться после предварительной и после окончательной механической обработки с целью выявления трещин и пор, не обнаруженных при визуальном контроле.</w:t>
      </w:r>
    </w:p>
    <w:p>
      <w:pPr>
        <w:pStyle w:val="0"/>
        <w:spacing w:before="200" w:line-rule="auto"/>
        <w:ind w:firstLine="540"/>
        <w:jc w:val="both"/>
      </w:pPr>
      <w:r>
        <w:rPr>
          <w:sz w:val="20"/>
        </w:rPr>
        <w:t xml:space="preserve">17. Измерения твердости наплавленного металла проводят непосредственно на уплотнительной поверхности после предварительной механической обработки. Плоскость, на которой проводится измерение твердости, должна иметь припуск 1,5 - 2,0 мм. Допускается измерять твердость наплавленного металла на образцах, наплавленных вместе со штатными изделиями той же партией присадочного материала, на тех же режимах и на том же оборудовании. Измерения проводятся на механически обработанной поверхности при высоте наплавленного металла не менее 4,0 мм. Твердость наплавленного металла должна составлять 350 - 430 HV. Количество измерений твердости должно быть не менее десяти. Из десяти измерений допускается не более трех выбросов. При большем количестве выбросов количество измерений удваивается, но допускается не более шести выбросов. Результаты измерения твердости на удвоенном количестве образцов являются окончательными.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w:t>
      </w:r>
    </w:p>
    <w:p>
      <w:pPr>
        <w:pStyle w:val="0"/>
        <w:jc w:val="right"/>
      </w:pPr>
      <w:r>
        <w:rPr>
          <w:sz w:val="20"/>
        </w:rPr>
        <w:t xml:space="preserve">энергии "Правила контроля металла</w:t>
      </w:r>
    </w:p>
    <w:p>
      <w:pPr>
        <w:pStyle w:val="0"/>
        <w:jc w:val="right"/>
      </w:pPr>
      <w:r>
        <w:rPr>
          <w:sz w:val="20"/>
        </w:rPr>
        <w:t xml:space="preserve">оборудования и трубопроводов</w:t>
      </w:r>
    </w:p>
    <w:p>
      <w:pPr>
        <w:pStyle w:val="0"/>
        <w:jc w:val="right"/>
      </w:pPr>
      <w:r>
        <w:rPr>
          <w:sz w:val="20"/>
        </w:rPr>
        <w:t xml:space="preserve">атомных энергетических установок</w:t>
      </w:r>
    </w:p>
    <w:p>
      <w:pPr>
        <w:pStyle w:val="0"/>
        <w:jc w:val="right"/>
      </w:pPr>
      <w:r>
        <w:rPr>
          <w:sz w:val="20"/>
        </w:rPr>
        <w:t xml:space="preserve">при изготовлении и монтаже",</w:t>
      </w:r>
    </w:p>
    <w:p>
      <w:pPr>
        <w:pStyle w:val="0"/>
        <w:jc w:val="right"/>
      </w:pPr>
      <w:r>
        <w:rPr>
          <w:sz w:val="20"/>
        </w:rPr>
        <w:t xml:space="preserve">утвержденным приказом Федеральной</w:t>
      </w:r>
    </w:p>
    <w:p>
      <w:pPr>
        <w:pStyle w:val="0"/>
        <w:jc w:val="right"/>
      </w:pPr>
      <w:r>
        <w:rPr>
          <w:sz w:val="20"/>
        </w:rPr>
        <w:t xml:space="preserve">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553</w:t>
      </w:r>
    </w:p>
    <w:p>
      <w:pPr>
        <w:pStyle w:val="0"/>
        <w:jc w:val="both"/>
      </w:pPr>
      <w:r>
        <w:rPr>
          <w:sz w:val="20"/>
        </w:rPr>
      </w:r>
    </w:p>
    <w:bookmarkStart w:id="1217" w:name="P1217"/>
    <w:bookmarkEnd w:id="1217"/>
    <w:p>
      <w:pPr>
        <w:pStyle w:val="2"/>
        <w:jc w:val="center"/>
      </w:pPr>
      <w:r>
        <w:rPr>
          <w:sz w:val="20"/>
        </w:rPr>
        <w:t xml:space="preserve">ОЦЕНКА</w:t>
      </w:r>
    </w:p>
    <w:p>
      <w:pPr>
        <w:pStyle w:val="2"/>
        <w:jc w:val="center"/>
      </w:pPr>
      <w:r>
        <w:rPr>
          <w:sz w:val="20"/>
        </w:rPr>
        <w:t xml:space="preserve">КАЧЕСТВА ПО РЕЗУЛЬТАТАМ НЕРАЗРУШАЮЩЕГО КОНТРОЛЯ СВАРНЫХ</w:t>
      </w:r>
    </w:p>
    <w:p>
      <w:pPr>
        <w:pStyle w:val="2"/>
        <w:jc w:val="center"/>
      </w:pPr>
      <w:r>
        <w:rPr>
          <w:sz w:val="20"/>
        </w:rPr>
        <w:t xml:space="preserve">СОЕДИНЕНИЙ И НАПЛАВЛЕННЫХ ПОВЕРХНОСТЕЙ</w:t>
      </w:r>
    </w:p>
    <w:p>
      <w:pPr>
        <w:pStyle w:val="0"/>
        <w:jc w:val="both"/>
      </w:pPr>
      <w:r>
        <w:rPr>
          <w:sz w:val="20"/>
        </w:rPr>
      </w:r>
    </w:p>
    <w:p>
      <w:pPr>
        <w:pStyle w:val="2"/>
        <w:outlineLvl w:val="2"/>
        <w:jc w:val="center"/>
      </w:pPr>
      <w:r>
        <w:rPr>
          <w:sz w:val="20"/>
        </w:rPr>
        <w:t xml:space="preserve">Визуальный и измерительный контроль</w:t>
      </w:r>
    </w:p>
    <w:p>
      <w:pPr>
        <w:pStyle w:val="0"/>
        <w:jc w:val="both"/>
      </w:pPr>
      <w:r>
        <w:rPr>
          <w:sz w:val="20"/>
        </w:rPr>
      </w:r>
    </w:p>
    <w:bookmarkStart w:id="1223" w:name="P1223"/>
    <w:bookmarkEnd w:id="1223"/>
    <w:p>
      <w:pPr>
        <w:pStyle w:val="0"/>
        <w:ind w:firstLine="540"/>
        <w:jc w:val="both"/>
      </w:pPr>
      <w:r>
        <w:rPr>
          <w:sz w:val="20"/>
        </w:rPr>
        <w:t xml:space="preserve">1. Нормы допустимых одиночных поверхностных включений для сварных соединений и предварительно наплавленных кромок деталей из стали и железоникелевых сплавов приведены в таблице N 4.1 настоящего приложения.</w:t>
      </w:r>
    </w:p>
    <w:p>
      <w:pPr>
        <w:pStyle w:val="0"/>
        <w:jc w:val="both"/>
      </w:pPr>
      <w:r>
        <w:rPr>
          <w:sz w:val="20"/>
        </w:rPr>
      </w:r>
    </w:p>
    <w:p>
      <w:pPr>
        <w:pStyle w:val="0"/>
        <w:outlineLvl w:val="3"/>
        <w:jc w:val="right"/>
      </w:pPr>
      <w:r>
        <w:rPr>
          <w:sz w:val="20"/>
        </w:rPr>
        <w:t xml:space="preserve">Таблица N 4.1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855"/>
        <w:gridCol w:w="566"/>
        <w:gridCol w:w="562"/>
        <w:gridCol w:w="566"/>
        <w:gridCol w:w="562"/>
        <w:gridCol w:w="571"/>
        <w:gridCol w:w="454"/>
        <w:gridCol w:w="454"/>
        <w:gridCol w:w="454"/>
        <w:gridCol w:w="397"/>
        <w:gridCol w:w="552"/>
      </w:tblGrid>
      <w:tr>
        <w:tc>
          <w:tcPr>
            <w:tcW w:w="3855" w:type="dxa"/>
            <w:vMerge w:val="restart"/>
          </w:tcPr>
          <w:p>
            <w:pPr>
              <w:pStyle w:val="0"/>
              <w:jc w:val="center"/>
            </w:pPr>
            <w:r>
              <w:rPr>
                <w:sz w:val="20"/>
              </w:rPr>
              <w:t xml:space="preserve">Номинальная толщина сварных (наплавленных) деталей, мм</w:t>
            </w:r>
          </w:p>
        </w:tc>
        <w:tc>
          <w:tcPr>
            <w:gridSpan w:val="5"/>
            <w:tcW w:w="2827" w:type="dxa"/>
          </w:tcPr>
          <w:p>
            <w:pPr>
              <w:pStyle w:val="0"/>
              <w:jc w:val="center"/>
            </w:pPr>
            <w:r>
              <w:rPr>
                <w:sz w:val="20"/>
              </w:rPr>
              <w:t xml:space="preserve">Допустимый наибольший размер включения в сварных соединениях (наплавках) категорий, мм</w:t>
            </w:r>
          </w:p>
        </w:tc>
        <w:tc>
          <w:tcPr>
            <w:gridSpan w:val="5"/>
            <w:tcW w:w="2311" w:type="dxa"/>
          </w:tcPr>
          <w:p>
            <w:pPr>
              <w:pStyle w:val="0"/>
              <w:jc w:val="center"/>
            </w:pPr>
            <w:r>
              <w:rPr>
                <w:sz w:val="20"/>
              </w:rPr>
              <w:t xml:space="preserve">Максимально допустимое число включений на любых 100,0 мм протяженности сварного соединения (наплавки) категорий</w:t>
            </w:r>
          </w:p>
        </w:tc>
      </w:tr>
      <w:tr>
        <w:tc>
          <w:tcPr>
            <w:vMerge w:val="continue"/>
          </w:tcPr>
          <w:p/>
        </w:tc>
        <w:tc>
          <w:tcPr>
            <w:tcW w:w="566" w:type="dxa"/>
          </w:tcPr>
          <w:p>
            <w:pPr>
              <w:pStyle w:val="0"/>
              <w:jc w:val="center"/>
            </w:pPr>
            <w:r>
              <w:rPr>
                <w:sz w:val="20"/>
              </w:rPr>
              <w:t xml:space="preserve">Iн</w:t>
            </w:r>
          </w:p>
        </w:tc>
        <w:tc>
          <w:tcPr>
            <w:tcW w:w="562" w:type="dxa"/>
          </w:tcPr>
          <w:p>
            <w:pPr>
              <w:pStyle w:val="0"/>
              <w:jc w:val="center"/>
            </w:pPr>
            <w:r>
              <w:rPr>
                <w:sz w:val="20"/>
              </w:rPr>
              <w:t xml:space="preserve">IIн</w:t>
            </w:r>
          </w:p>
        </w:tc>
        <w:tc>
          <w:tcPr>
            <w:tcW w:w="566" w:type="dxa"/>
          </w:tcPr>
          <w:p>
            <w:pPr>
              <w:pStyle w:val="0"/>
              <w:jc w:val="center"/>
            </w:pPr>
            <w:r>
              <w:rPr>
                <w:sz w:val="20"/>
              </w:rPr>
              <w:t xml:space="preserve">I</w:t>
            </w:r>
          </w:p>
        </w:tc>
        <w:tc>
          <w:tcPr>
            <w:tcW w:w="562" w:type="dxa"/>
          </w:tcPr>
          <w:p>
            <w:pPr>
              <w:pStyle w:val="0"/>
              <w:jc w:val="center"/>
            </w:pPr>
            <w:r>
              <w:rPr>
                <w:sz w:val="20"/>
              </w:rPr>
              <w:t xml:space="preserve">II</w:t>
            </w:r>
          </w:p>
        </w:tc>
        <w:tc>
          <w:tcPr>
            <w:tcW w:w="571" w:type="dxa"/>
          </w:tcPr>
          <w:p>
            <w:pPr>
              <w:pStyle w:val="0"/>
              <w:jc w:val="center"/>
            </w:pPr>
            <w:r>
              <w:rPr>
                <w:sz w:val="20"/>
              </w:rPr>
              <w:t xml:space="preserve">III</w:t>
            </w:r>
          </w:p>
        </w:tc>
        <w:tc>
          <w:tcPr>
            <w:tcW w:w="454" w:type="dxa"/>
          </w:tcPr>
          <w:p>
            <w:pPr>
              <w:pStyle w:val="0"/>
              <w:jc w:val="center"/>
            </w:pPr>
            <w:r>
              <w:rPr>
                <w:sz w:val="20"/>
              </w:rPr>
              <w:t xml:space="preserve">Iн</w:t>
            </w:r>
          </w:p>
        </w:tc>
        <w:tc>
          <w:tcPr>
            <w:tcW w:w="454" w:type="dxa"/>
          </w:tcPr>
          <w:p>
            <w:pPr>
              <w:pStyle w:val="0"/>
              <w:jc w:val="center"/>
            </w:pPr>
            <w:r>
              <w:rPr>
                <w:sz w:val="20"/>
              </w:rPr>
              <w:t xml:space="preserve">IIн</w:t>
            </w:r>
          </w:p>
        </w:tc>
        <w:tc>
          <w:tcPr>
            <w:tcW w:w="454" w:type="dxa"/>
          </w:tcPr>
          <w:p>
            <w:pPr>
              <w:pStyle w:val="0"/>
              <w:jc w:val="center"/>
            </w:pPr>
            <w:r>
              <w:rPr>
                <w:sz w:val="20"/>
              </w:rPr>
              <w:t xml:space="preserve">I</w:t>
            </w:r>
          </w:p>
        </w:tc>
        <w:tc>
          <w:tcPr>
            <w:tcW w:w="397" w:type="dxa"/>
          </w:tcPr>
          <w:p>
            <w:pPr>
              <w:pStyle w:val="0"/>
              <w:jc w:val="center"/>
            </w:pPr>
            <w:r>
              <w:rPr>
                <w:sz w:val="20"/>
              </w:rPr>
              <w:t xml:space="preserve">II</w:t>
            </w:r>
          </w:p>
        </w:tc>
        <w:tc>
          <w:tcPr>
            <w:tcW w:w="552" w:type="dxa"/>
          </w:tcPr>
          <w:p>
            <w:pPr>
              <w:pStyle w:val="0"/>
              <w:jc w:val="center"/>
            </w:pPr>
            <w:r>
              <w:rPr>
                <w:sz w:val="20"/>
              </w:rPr>
              <w:t xml:space="preserve">III</w:t>
            </w:r>
          </w:p>
        </w:tc>
      </w:tr>
      <w:tr>
        <w:tc>
          <w:tcPr>
            <w:tcW w:w="3855" w:type="dxa"/>
            <w:vAlign w:val="center"/>
          </w:tcPr>
          <w:p>
            <w:pPr>
              <w:pStyle w:val="0"/>
              <w:jc w:val="center"/>
            </w:pPr>
            <w:r>
              <w:rPr>
                <w:sz w:val="20"/>
              </w:rPr>
              <w:t xml:space="preserve">До 2,0 включительно</w:t>
            </w:r>
          </w:p>
        </w:tc>
        <w:tc>
          <w:tcPr>
            <w:tcW w:w="566" w:type="dxa"/>
            <w:vAlign w:val="center"/>
          </w:tcPr>
          <w:p>
            <w:pPr>
              <w:pStyle w:val="0"/>
              <w:jc w:val="center"/>
            </w:pPr>
            <w:r>
              <w:rPr>
                <w:sz w:val="20"/>
              </w:rPr>
              <w:t xml:space="preserve">-</w:t>
            </w:r>
          </w:p>
        </w:tc>
        <w:tc>
          <w:tcPr>
            <w:tcW w:w="562" w:type="dxa"/>
            <w:vAlign w:val="center"/>
          </w:tcPr>
          <w:p>
            <w:pPr>
              <w:pStyle w:val="0"/>
              <w:jc w:val="center"/>
            </w:pPr>
            <w:r>
              <w:rPr>
                <w:sz w:val="20"/>
              </w:rPr>
              <w:t xml:space="preserve">-</w:t>
            </w:r>
          </w:p>
        </w:tc>
        <w:tc>
          <w:tcPr>
            <w:tcW w:w="566" w:type="dxa"/>
            <w:vAlign w:val="center"/>
          </w:tcPr>
          <w:p>
            <w:pPr>
              <w:pStyle w:val="0"/>
              <w:jc w:val="center"/>
            </w:pPr>
            <w:r>
              <w:rPr>
                <w:sz w:val="20"/>
              </w:rPr>
              <w:t xml:space="preserve">-</w:t>
            </w:r>
          </w:p>
        </w:tc>
        <w:tc>
          <w:tcPr>
            <w:tcW w:w="562" w:type="dxa"/>
            <w:vAlign w:val="center"/>
          </w:tcPr>
          <w:p>
            <w:pPr>
              <w:pStyle w:val="0"/>
              <w:jc w:val="center"/>
            </w:pPr>
            <w:r>
              <w:rPr>
                <w:sz w:val="20"/>
              </w:rPr>
              <w:t xml:space="preserve">-</w:t>
            </w:r>
          </w:p>
        </w:tc>
        <w:tc>
          <w:tcPr>
            <w:tcW w:w="571" w:type="dxa"/>
            <w:vAlign w:val="center"/>
          </w:tcPr>
          <w:p>
            <w:pPr>
              <w:pStyle w:val="0"/>
              <w:jc w:val="center"/>
            </w:pPr>
            <w:r>
              <w:rPr>
                <w:sz w:val="20"/>
              </w:rPr>
              <w:t xml:space="preserve">0,3</w:t>
            </w:r>
          </w:p>
        </w:tc>
        <w:tc>
          <w:tcPr>
            <w:tcW w:w="454" w:type="dxa"/>
            <w:vAlign w:val="center"/>
          </w:tcPr>
          <w:p>
            <w:pPr>
              <w:pStyle w:val="0"/>
              <w:jc w:val="center"/>
            </w:pPr>
            <w:r>
              <w:rPr>
                <w:sz w:val="20"/>
              </w:rPr>
              <w:t xml:space="preserve">-</w:t>
            </w:r>
          </w:p>
        </w:tc>
        <w:tc>
          <w:tcPr>
            <w:tcW w:w="454" w:type="dxa"/>
            <w:vAlign w:val="center"/>
          </w:tcPr>
          <w:p>
            <w:pPr>
              <w:pStyle w:val="0"/>
              <w:jc w:val="center"/>
            </w:pPr>
            <w:r>
              <w:rPr>
                <w:sz w:val="20"/>
              </w:rPr>
              <w:t xml:space="preserve">-</w:t>
            </w:r>
          </w:p>
        </w:tc>
        <w:tc>
          <w:tcPr>
            <w:tcW w:w="454" w:type="dxa"/>
            <w:vAlign w:val="center"/>
          </w:tcPr>
          <w:p>
            <w:pPr>
              <w:pStyle w:val="0"/>
              <w:jc w:val="center"/>
            </w:pPr>
            <w:r>
              <w:rPr>
                <w:sz w:val="20"/>
              </w:rPr>
              <w:t xml:space="preserve">-</w:t>
            </w:r>
          </w:p>
        </w:tc>
        <w:tc>
          <w:tcPr>
            <w:tcW w:w="397" w:type="dxa"/>
            <w:vAlign w:val="center"/>
          </w:tcPr>
          <w:p>
            <w:pPr>
              <w:pStyle w:val="0"/>
              <w:jc w:val="center"/>
            </w:pPr>
            <w:r>
              <w:rPr>
                <w:sz w:val="20"/>
              </w:rPr>
              <w:t xml:space="preserve">-</w:t>
            </w:r>
          </w:p>
        </w:tc>
        <w:tc>
          <w:tcPr>
            <w:tcW w:w="552" w:type="dxa"/>
            <w:vAlign w:val="center"/>
          </w:tcPr>
          <w:p>
            <w:pPr>
              <w:pStyle w:val="0"/>
              <w:jc w:val="center"/>
            </w:pPr>
            <w:r>
              <w:rPr>
                <w:sz w:val="20"/>
              </w:rPr>
              <w:t xml:space="preserve">2</w:t>
            </w:r>
          </w:p>
        </w:tc>
      </w:tr>
      <w:tr>
        <w:tc>
          <w:tcPr>
            <w:tcW w:w="3855" w:type="dxa"/>
            <w:vAlign w:val="center"/>
          </w:tcPr>
          <w:p>
            <w:pPr>
              <w:pStyle w:val="0"/>
              <w:jc w:val="center"/>
            </w:pPr>
            <w:r>
              <w:rPr>
                <w:sz w:val="20"/>
              </w:rPr>
              <w:t xml:space="preserve">Более 2,0 до 3,0 включительно</w:t>
            </w:r>
          </w:p>
        </w:tc>
        <w:tc>
          <w:tcPr>
            <w:tcW w:w="566" w:type="dxa"/>
            <w:vAlign w:val="center"/>
          </w:tcPr>
          <w:p>
            <w:pPr>
              <w:pStyle w:val="0"/>
              <w:jc w:val="center"/>
            </w:pPr>
            <w:r>
              <w:rPr>
                <w:sz w:val="20"/>
              </w:rPr>
              <w:t xml:space="preserve">-</w:t>
            </w:r>
          </w:p>
        </w:tc>
        <w:tc>
          <w:tcPr>
            <w:tcW w:w="562" w:type="dxa"/>
            <w:vAlign w:val="center"/>
          </w:tcPr>
          <w:p>
            <w:pPr>
              <w:pStyle w:val="0"/>
              <w:jc w:val="center"/>
            </w:pPr>
            <w:r>
              <w:rPr>
                <w:sz w:val="20"/>
              </w:rPr>
              <w:t xml:space="preserve">-</w:t>
            </w:r>
          </w:p>
        </w:tc>
        <w:tc>
          <w:tcPr>
            <w:tcW w:w="566" w:type="dxa"/>
            <w:vAlign w:val="center"/>
          </w:tcPr>
          <w:p>
            <w:pPr>
              <w:pStyle w:val="0"/>
              <w:jc w:val="center"/>
            </w:pPr>
            <w:r>
              <w:rPr>
                <w:sz w:val="20"/>
              </w:rPr>
              <w:t xml:space="preserve">-</w:t>
            </w:r>
          </w:p>
        </w:tc>
        <w:tc>
          <w:tcPr>
            <w:tcW w:w="562" w:type="dxa"/>
            <w:vAlign w:val="center"/>
          </w:tcPr>
          <w:p>
            <w:pPr>
              <w:pStyle w:val="0"/>
              <w:jc w:val="center"/>
            </w:pPr>
            <w:r>
              <w:rPr>
                <w:sz w:val="20"/>
              </w:rPr>
              <w:t xml:space="preserve">0,3</w:t>
            </w:r>
          </w:p>
        </w:tc>
        <w:tc>
          <w:tcPr>
            <w:tcW w:w="571" w:type="dxa"/>
            <w:vAlign w:val="center"/>
          </w:tcPr>
          <w:p>
            <w:pPr>
              <w:pStyle w:val="0"/>
              <w:jc w:val="center"/>
            </w:pPr>
            <w:r>
              <w:rPr>
                <w:sz w:val="20"/>
              </w:rPr>
              <w:t xml:space="preserve">0,4</w:t>
            </w:r>
          </w:p>
        </w:tc>
        <w:tc>
          <w:tcPr>
            <w:tcW w:w="454" w:type="dxa"/>
            <w:vAlign w:val="center"/>
          </w:tcPr>
          <w:p>
            <w:pPr>
              <w:pStyle w:val="0"/>
              <w:jc w:val="center"/>
            </w:pPr>
            <w:r>
              <w:rPr>
                <w:sz w:val="20"/>
              </w:rPr>
              <w:t xml:space="preserve">-</w:t>
            </w:r>
          </w:p>
        </w:tc>
        <w:tc>
          <w:tcPr>
            <w:tcW w:w="454" w:type="dxa"/>
            <w:vAlign w:val="center"/>
          </w:tcPr>
          <w:p>
            <w:pPr>
              <w:pStyle w:val="0"/>
              <w:jc w:val="center"/>
            </w:pPr>
            <w:r>
              <w:rPr>
                <w:sz w:val="20"/>
              </w:rPr>
              <w:t xml:space="preserve">-</w:t>
            </w:r>
          </w:p>
        </w:tc>
        <w:tc>
          <w:tcPr>
            <w:tcW w:w="454" w:type="dxa"/>
            <w:vAlign w:val="center"/>
          </w:tcPr>
          <w:p>
            <w:pPr>
              <w:pStyle w:val="0"/>
              <w:jc w:val="center"/>
            </w:pPr>
            <w:r>
              <w:rPr>
                <w:sz w:val="20"/>
              </w:rPr>
              <w:t xml:space="preserve">-</w:t>
            </w:r>
          </w:p>
        </w:tc>
        <w:tc>
          <w:tcPr>
            <w:tcW w:w="397" w:type="dxa"/>
            <w:vAlign w:val="center"/>
          </w:tcPr>
          <w:p>
            <w:pPr>
              <w:pStyle w:val="0"/>
              <w:jc w:val="center"/>
            </w:pPr>
            <w:r>
              <w:rPr>
                <w:sz w:val="20"/>
              </w:rPr>
              <w:t xml:space="preserve">2</w:t>
            </w:r>
          </w:p>
        </w:tc>
        <w:tc>
          <w:tcPr>
            <w:tcW w:w="552" w:type="dxa"/>
            <w:vAlign w:val="center"/>
          </w:tcPr>
          <w:p>
            <w:pPr>
              <w:pStyle w:val="0"/>
              <w:jc w:val="center"/>
            </w:pPr>
            <w:r>
              <w:rPr>
                <w:sz w:val="20"/>
              </w:rPr>
              <w:t xml:space="preserve">3</w:t>
            </w:r>
          </w:p>
        </w:tc>
      </w:tr>
      <w:tr>
        <w:tc>
          <w:tcPr>
            <w:tcW w:w="3855" w:type="dxa"/>
            <w:vAlign w:val="center"/>
          </w:tcPr>
          <w:p>
            <w:pPr>
              <w:pStyle w:val="0"/>
              <w:jc w:val="center"/>
            </w:pPr>
            <w:r>
              <w:rPr>
                <w:sz w:val="20"/>
              </w:rPr>
              <w:t xml:space="preserve">Более 3,0 до 4,0 включительно</w:t>
            </w:r>
          </w:p>
        </w:tc>
        <w:tc>
          <w:tcPr>
            <w:tcW w:w="566" w:type="dxa"/>
            <w:vAlign w:val="center"/>
          </w:tcPr>
          <w:p>
            <w:pPr>
              <w:pStyle w:val="0"/>
              <w:jc w:val="center"/>
            </w:pPr>
            <w:r>
              <w:rPr>
                <w:sz w:val="20"/>
              </w:rPr>
              <w:t xml:space="preserve">-</w:t>
            </w:r>
          </w:p>
        </w:tc>
        <w:tc>
          <w:tcPr>
            <w:tcW w:w="562" w:type="dxa"/>
            <w:vAlign w:val="center"/>
          </w:tcPr>
          <w:p>
            <w:pPr>
              <w:pStyle w:val="0"/>
              <w:jc w:val="center"/>
            </w:pPr>
            <w:r>
              <w:rPr>
                <w:sz w:val="20"/>
              </w:rPr>
              <w:t xml:space="preserve">-</w:t>
            </w:r>
          </w:p>
        </w:tc>
        <w:tc>
          <w:tcPr>
            <w:tcW w:w="566" w:type="dxa"/>
            <w:vAlign w:val="center"/>
          </w:tcPr>
          <w:p>
            <w:pPr>
              <w:pStyle w:val="0"/>
              <w:jc w:val="center"/>
            </w:pPr>
            <w:r>
              <w:rPr>
                <w:sz w:val="20"/>
              </w:rPr>
              <w:t xml:space="preserve">0,3</w:t>
            </w:r>
          </w:p>
        </w:tc>
        <w:tc>
          <w:tcPr>
            <w:tcW w:w="562" w:type="dxa"/>
            <w:vAlign w:val="center"/>
          </w:tcPr>
          <w:p>
            <w:pPr>
              <w:pStyle w:val="0"/>
              <w:jc w:val="center"/>
            </w:pPr>
            <w:r>
              <w:rPr>
                <w:sz w:val="20"/>
              </w:rPr>
              <w:t xml:space="preserve">0,4</w:t>
            </w:r>
          </w:p>
        </w:tc>
        <w:tc>
          <w:tcPr>
            <w:tcW w:w="571" w:type="dxa"/>
            <w:vAlign w:val="center"/>
          </w:tcPr>
          <w:p>
            <w:pPr>
              <w:pStyle w:val="0"/>
              <w:jc w:val="center"/>
            </w:pPr>
            <w:r>
              <w:rPr>
                <w:sz w:val="20"/>
              </w:rPr>
              <w:t xml:space="preserve">0,5</w:t>
            </w:r>
          </w:p>
        </w:tc>
        <w:tc>
          <w:tcPr>
            <w:tcW w:w="454" w:type="dxa"/>
            <w:vAlign w:val="center"/>
          </w:tcPr>
          <w:p>
            <w:pPr>
              <w:pStyle w:val="0"/>
              <w:jc w:val="center"/>
            </w:pPr>
            <w:r>
              <w:rPr>
                <w:sz w:val="20"/>
              </w:rPr>
              <w:t xml:space="preserve">-</w:t>
            </w:r>
          </w:p>
        </w:tc>
        <w:tc>
          <w:tcPr>
            <w:tcW w:w="454" w:type="dxa"/>
            <w:vAlign w:val="center"/>
          </w:tcPr>
          <w:p>
            <w:pPr>
              <w:pStyle w:val="0"/>
              <w:jc w:val="center"/>
            </w:pPr>
            <w:r>
              <w:rPr>
                <w:sz w:val="20"/>
              </w:rPr>
              <w:t xml:space="preserve">-</w:t>
            </w:r>
          </w:p>
        </w:tc>
        <w:tc>
          <w:tcPr>
            <w:tcW w:w="454" w:type="dxa"/>
            <w:vAlign w:val="center"/>
          </w:tcPr>
          <w:p>
            <w:pPr>
              <w:pStyle w:val="0"/>
              <w:jc w:val="center"/>
            </w:pPr>
            <w:r>
              <w:rPr>
                <w:sz w:val="20"/>
              </w:rPr>
              <w:t xml:space="preserve">2</w:t>
            </w:r>
          </w:p>
        </w:tc>
        <w:tc>
          <w:tcPr>
            <w:tcW w:w="397" w:type="dxa"/>
            <w:vAlign w:val="center"/>
          </w:tcPr>
          <w:p>
            <w:pPr>
              <w:pStyle w:val="0"/>
              <w:jc w:val="center"/>
            </w:pPr>
            <w:r>
              <w:rPr>
                <w:sz w:val="20"/>
              </w:rPr>
              <w:t xml:space="preserve">3</w:t>
            </w:r>
          </w:p>
        </w:tc>
        <w:tc>
          <w:tcPr>
            <w:tcW w:w="552" w:type="dxa"/>
            <w:vAlign w:val="center"/>
          </w:tcPr>
          <w:p>
            <w:pPr>
              <w:pStyle w:val="0"/>
              <w:jc w:val="center"/>
            </w:pPr>
            <w:r>
              <w:rPr>
                <w:sz w:val="20"/>
              </w:rPr>
              <w:t xml:space="preserve">4</w:t>
            </w:r>
          </w:p>
        </w:tc>
      </w:tr>
      <w:tr>
        <w:tc>
          <w:tcPr>
            <w:tcW w:w="3855" w:type="dxa"/>
            <w:vAlign w:val="center"/>
          </w:tcPr>
          <w:p>
            <w:pPr>
              <w:pStyle w:val="0"/>
              <w:jc w:val="center"/>
            </w:pPr>
            <w:r>
              <w:rPr>
                <w:sz w:val="20"/>
              </w:rPr>
              <w:t xml:space="preserve">Более 4,0 до 5,0 включительно</w:t>
            </w:r>
          </w:p>
        </w:tc>
        <w:tc>
          <w:tcPr>
            <w:tcW w:w="566" w:type="dxa"/>
            <w:vAlign w:val="center"/>
          </w:tcPr>
          <w:p>
            <w:pPr>
              <w:pStyle w:val="0"/>
              <w:jc w:val="center"/>
            </w:pPr>
            <w:r>
              <w:rPr>
                <w:sz w:val="20"/>
              </w:rPr>
              <w:t xml:space="preserve">-</w:t>
            </w:r>
          </w:p>
        </w:tc>
        <w:tc>
          <w:tcPr>
            <w:tcW w:w="562" w:type="dxa"/>
            <w:vAlign w:val="center"/>
          </w:tcPr>
          <w:p>
            <w:pPr>
              <w:pStyle w:val="0"/>
              <w:jc w:val="center"/>
            </w:pPr>
            <w:r>
              <w:rPr>
                <w:sz w:val="20"/>
              </w:rPr>
              <w:t xml:space="preserve">0,3</w:t>
            </w:r>
          </w:p>
        </w:tc>
        <w:tc>
          <w:tcPr>
            <w:tcW w:w="566" w:type="dxa"/>
            <w:vAlign w:val="center"/>
          </w:tcPr>
          <w:p>
            <w:pPr>
              <w:pStyle w:val="0"/>
              <w:jc w:val="center"/>
            </w:pPr>
            <w:r>
              <w:rPr>
                <w:sz w:val="20"/>
              </w:rPr>
              <w:t xml:space="preserve">0,4</w:t>
            </w:r>
          </w:p>
        </w:tc>
        <w:tc>
          <w:tcPr>
            <w:tcW w:w="562" w:type="dxa"/>
            <w:vAlign w:val="center"/>
          </w:tcPr>
          <w:p>
            <w:pPr>
              <w:pStyle w:val="0"/>
              <w:jc w:val="center"/>
            </w:pPr>
            <w:r>
              <w:rPr>
                <w:sz w:val="20"/>
              </w:rPr>
              <w:t xml:space="preserve">0,5</w:t>
            </w:r>
          </w:p>
        </w:tc>
        <w:tc>
          <w:tcPr>
            <w:tcW w:w="571" w:type="dxa"/>
            <w:vAlign w:val="center"/>
          </w:tcPr>
          <w:p>
            <w:pPr>
              <w:pStyle w:val="0"/>
              <w:jc w:val="center"/>
            </w:pPr>
            <w:r>
              <w:rPr>
                <w:sz w:val="20"/>
              </w:rPr>
              <w:t xml:space="preserve">0,6</w:t>
            </w:r>
          </w:p>
        </w:tc>
        <w:tc>
          <w:tcPr>
            <w:tcW w:w="454" w:type="dxa"/>
            <w:vAlign w:val="center"/>
          </w:tcPr>
          <w:p>
            <w:pPr>
              <w:pStyle w:val="0"/>
              <w:jc w:val="center"/>
            </w:pPr>
            <w:r>
              <w:rPr>
                <w:sz w:val="20"/>
              </w:rPr>
              <w:t xml:space="preserve">-</w:t>
            </w:r>
          </w:p>
        </w:tc>
        <w:tc>
          <w:tcPr>
            <w:tcW w:w="454" w:type="dxa"/>
            <w:vAlign w:val="center"/>
          </w:tcPr>
          <w:p>
            <w:pPr>
              <w:pStyle w:val="0"/>
              <w:jc w:val="center"/>
            </w:pPr>
            <w:r>
              <w:rPr>
                <w:sz w:val="20"/>
              </w:rPr>
              <w:t xml:space="preserve">2</w:t>
            </w:r>
          </w:p>
        </w:tc>
        <w:tc>
          <w:tcPr>
            <w:tcW w:w="454" w:type="dxa"/>
            <w:vAlign w:val="center"/>
          </w:tcPr>
          <w:p>
            <w:pPr>
              <w:pStyle w:val="0"/>
              <w:jc w:val="center"/>
            </w:pPr>
            <w:r>
              <w:rPr>
                <w:sz w:val="20"/>
              </w:rPr>
              <w:t xml:space="preserve">2</w:t>
            </w:r>
          </w:p>
        </w:tc>
        <w:tc>
          <w:tcPr>
            <w:tcW w:w="397" w:type="dxa"/>
            <w:vAlign w:val="center"/>
          </w:tcPr>
          <w:p>
            <w:pPr>
              <w:pStyle w:val="0"/>
              <w:jc w:val="center"/>
            </w:pPr>
            <w:r>
              <w:rPr>
                <w:sz w:val="20"/>
              </w:rPr>
              <w:t xml:space="preserve">3</w:t>
            </w:r>
          </w:p>
        </w:tc>
        <w:tc>
          <w:tcPr>
            <w:tcW w:w="552" w:type="dxa"/>
            <w:vAlign w:val="center"/>
          </w:tcPr>
          <w:p>
            <w:pPr>
              <w:pStyle w:val="0"/>
              <w:jc w:val="center"/>
            </w:pPr>
            <w:r>
              <w:rPr>
                <w:sz w:val="20"/>
              </w:rPr>
              <w:t xml:space="preserve">4</w:t>
            </w:r>
          </w:p>
        </w:tc>
      </w:tr>
      <w:tr>
        <w:tc>
          <w:tcPr>
            <w:tcW w:w="3855" w:type="dxa"/>
            <w:vAlign w:val="center"/>
          </w:tcPr>
          <w:p>
            <w:pPr>
              <w:pStyle w:val="0"/>
              <w:jc w:val="center"/>
            </w:pPr>
            <w:r>
              <w:rPr>
                <w:sz w:val="20"/>
              </w:rPr>
              <w:t xml:space="preserve">Более 5,0 до 6,0 включительно</w:t>
            </w:r>
          </w:p>
        </w:tc>
        <w:tc>
          <w:tcPr>
            <w:tcW w:w="566" w:type="dxa"/>
            <w:vAlign w:val="center"/>
          </w:tcPr>
          <w:p>
            <w:pPr>
              <w:pStyle w:val="0"/>
              <w:jc w:val="center"/>
            </w:pPr>
            <w:r>
              <w:rPr>
                <w:sz w:val="20"/>
              </w:rPr>
              <w:t xml:space="preserve">0,3</w:t>
            </w:r>
          </w:p>
        </w:tc>
        <w:tc>
          <w:tcPr>
            <w:tcW w:w="562" w:type="dxa"/>
            <w:vAlign w:val="center"/>
          </w:tcPr>
          <w:p>
            <w:pPr>
              <w:pStyle w:val="0"/>
              <w:jc w:val="center"/>
            </w:pPr>
            <w:r>
              <w:rPr>
                <w:sz w:val="20"/>
              </w:rPr>
              <w:t xml:space="preserve">0,4</w:t>
            </w:r>
          </w:p>
        </w:tc>
        <w:tc>
          <w:tcPr>
            <w:tcW w:w="566" w:type="dxa"/>
            <w:vAlign w:val="center"/>
          </w:tcPr>
          <w:p>
            <w:pPr>
              <w:pStyle w:val="0"/>
              <w:jc w:val="center"/>
            </w:pPr>
            <w:r>
              <w:rPr>
                <w:sz w:val="20"/>
              </w:rPr>
              <w:t xml:space="preserve">0,5</w:t>
            </w:r>
          </w:p>
        </w:tc>
        <w:tc>
          <w:tcPr>
            <w:tcW w:w="562" w:type="dxa"/>
            <w:vAlign w:val="center"/>
          </w:tcPr>
          <w:p>
            <w:pPr>
              <w:pStyle w:val="0"/>
              <w:jc w:val="center"/>
            </w:pPr>
            <w:r>
              <w:rPr>
                <w:sz w:val="20"/>
              </w:rPr>
              <w:t xml:space="preserve">0,6</w:t>
            </w:r>
          </w:p>
        </w:tc>
        <w:tc>
          <w:tcPr>
            <w:tcW w:w="571" w:type="dxa"/>
            <w:vAlign w:val="center"/>
          </w:tcPr>
          <w:p>
            <w:pPr>
              <w:pStyle w:val="0"/>
              <w:jc w:val="center"/>
            </w:pPr>
            <w:r>
              <w:rPr>
                <w:sz w:val="20"/>
              </w:rPr>
              <w:t xml:space="preserve">0,8</w:t>
            </w:r>
          </w:p>
        </w:tc>
        <w:tc>
          <w:tcPr>
            <w:tcW w:w="454" w:type="dxa"/>
            <w:vAlign w:val="center"/>
          </w:tcPr>
          <w:p>
            <w:pPr>
              <w:pStyle w:val="0"/>
              <w:jc w:val="center"/>
            </w:pPr>
            <w:r>
              <w:rPr>
                <w:sz w:val="20"/>
              </w:rPr>
              <w:t xml:space="preserve">2</w:t>
            </w:r>
          </w:p>
        </w:tc>
        <w:tc>
          <w:tcPr>
            <w:tcW w:w="454" w:type="dxa"/>
            <w:vAlign w:val="center"/>
          </w:tcPr>
          <w:p>
            <w:pPr>
              <w:pStyle w:val="0"/>
              <w:jc w:val="center"/>
            </w:pPr>
            <w:r>
              <w:rPr>
                <w:sz w:val="20"/>
              </w:rPr>
              <w:t xml:space="preserve">2</w:t>
            </w:r>
          </w:p>
        </w:tc>
        <w:tc>
          <w:tcPr>
            <w:tcW w:w="454" w:type="dxa"/>
            <w:vAlign w:val="center"/>
          </w:tcPr>
          <w:p>
            <w:pPr>
              <w:pStyle w:val="0"/>
              <w:jc w:val="center"/>
            </w:pPr>
            <w:r>
              <w:rPr>
                <w:sz w:val="20"/>
              </w:rPr>
              <w:t xml:space="preserve">2</w:t>
            </w:r>
          </w:p>
        </w:tc>
        <w:tc>
          <w:tcPr>
            <w:tcW w:w="397" w:type="dxa"/>
            <w:vAlign w:val="center"/>
          </w:tcPr>
          <w:p>
            <w:pPr>
              <w:pStyle w:val="0"/>
              <w:jc w:val="center"/>
            </w:pPr>
            <w:r>
              <w:rPr>
                <w:sz w:val="20"/>
              </w:rPr>
              <w:t xml:space="preserve">3</w:t>
            </w:r>
          </w:p>
        </w:tc>
        <w:tc>
          <w:tcPr>
            <w:tcW w:w="552" w:type="dxa"/>
            <w:vAlign w:val="center"/>
          </w:tcPr>
          <w:p>
            <w:pPr>
              <w:pStyle w:val="0"/>
              <w:jc w:val="center"/>
            </w:pPr>
            <w:r>
              <w:rPr>
                <w:sz w:val="20"/>
              </w:rPr>
              <w:t xml:space="preserve">4</w:t>
            </w:r>
          </w:p>
        </w:tc>
      </w:tr>
      <w:tr>
        <w:tc>
          <w:tcPr>
            <w:tcW w:w="3855" w:type="dxa"/>
            <w:vAlign w:val="center"/>
          </w:tcPr>
          <w:p>
            <w:pPr>
              <w:pStyle w:val="0"/>
              <w:jc w:val="center"/>
            </w:pPr>
            <w:r>
              <w:rPr>
                <w:sz w:val="20"/>
              </w:rPr>
              <w:t xml:space="preserve">Более 6,0 до 8,0 включительно</w:t>
            </w:r>
          </w:p>
        </w:tc>
        <w:tc>
          <w:tcPr>
            <w:tcW w:w="566" w:type="dxa"/>
            <w:vAlign w:val="center"/>
          </w:tcPr>
          <w:p>
            <w:pPr>
              <w:pStyle w:val="0"/>
              <w:jc w:val="center"/>
            </w:pPr>
            <w:r>
              <w:rPr>
                <w:sz w:val="20"/>
              </w:rPr>
              <w:t xml:space="preserve">0,4</w:t>
            </w:r>
          </w:p>
        </w:tc>
        <w:tc>
          <w:tcPr>
            <w:tcW w:w="562" w:type="dxa"/>
            <w:vAlign w:val="center"/>
          </w:tcPr>
          <w:p>
            <w:pPr>
              <w:pStyle w:val="0"/>
              <w:jc w:val="center"/>
            </w:pPr>
            <w:r>
              <w:rPr>
                <w:sz w:val="20"/>
              </w:rPr>
              <w:t xml:space="preserve">0,5</w:t>
            </w:r>
          </w:p>
        </w:tc>
        <w:tc>
          <w:tcPr>
            <w:tcW w:w="566" w:type="dxa"/>
            <w:vAlign w:val="center"/>
          </w:tcPr>
          <w:p>
            <w:pPr>
              <w:pStyle w:val="0"/>
              <w:jc w:val="center"/>
            </w:pPr>
            <w:r>
              <w:rPr>
                <w:sz w:val="20"/>
              </w:rPr>
              <w:t xml:space="preserve">0,6</w:t>
            </w:r>
          </w:p>
        </w:tc>
        <w:tc>
          <w:tcPr>
            <w:tcW w:w="562" w:type="dxa"/>
            <w:vAlign w:val="center"/>
          </w:tcPr>
          <w:p>
            <w:pPr>
              <w:pStyle w:val="0"/>
              <w:jc w:val="center"/>
            </w:pPr>
            <w:r>
              <w:rPr>
                <w:sz w:val="20"/>
              </w:rPr>
              <w:t xml:space="preserve">0,8</w:t>
            </w:r>
          </w:p>
        </w:tc>
        <w:tc>
          <w:tcPr>
            <w:tcW w:w="571" w:type="dxa"/>
            <w:vAlign w:val="center"/>
          </w:tcPr>
          <w:p>
            <w:pPr>
              <w:pStyle w:val="0"/>
              <w:jc w:val="center"/>
            </w:pPr>
            <w:r>
              <w:rPr>
                <w:sz w:val="20"/>
              </w:rPr>
              <w:t xml:space="preserve">1,0</w:t>
            </w:r>
          </w:p>
        </w:tc>
        <w:tc>
          <w:tcPr>
            <w:tcW w:w="454" w:type="dxa"/>
            <w:vAlign w:val="center"/>
          </w:tcPr>
          <w:p>
            <w:pPr>
              <w:pStyle w:val="0"/>
              <w:jc w:val="center"/>
            </w:pPr>
            <w:r>
              <w:rPr>
                <w:sz w:val="20"/>
              </w:rPr>
              <w:t xml:space="preserve">2</w:t>
            </w:r>
          </w:p>
        </w:tc>
        <w:tc>
          <w:tcPr>
            <w:tcW w:w="454" w:type="dxa"/>
            <w:vAlign w:val="center"/>
          </w:tcPr>
          <w:p>
            <w:pPr>
              <w:pStyle w:val="0"/>
              <w:jc w:val="center"/>
            </w:pPr>
            <w:r>
              <w:rPr>
                <w:sz w:val="20"/>
              </w:rPr>
              <w:t xml:space="preserve">2</w:t>
            </w:r>
          </w:p>
        </w:tc>
        <w:tc>
          <w:tcPr>
            <w:tcW w:w="454" w:type="dxa"/>
            <w:vAlign w:val="center"/>
          </w:tcPr>
          <w:p>
            <w:pPr>
              <w:pStyle w:val="0"/>
              <w:jc w:val="center"/>
            </w:pPr>
            <w:r>
              <w:rPr>
                <w:sz w:val="20"/>
              </w:rPr>
              <w:t xml:space="preserve">3</w:t>
            </w:r>
          </w:p>
        </w:tc>
        <w:tc>
          <w:tcPr>
            <w:tcW w:w="397" w:type="dxa"/>
            <w:vAlign w:val="center"/>
          </w:tcPr>
          <w:p>
            <w:pPr>
              <w:pStyle w:val="0"/>
              <w:jc w:val="center"/>
            </w:pPr>
            <w:r>
              <w:rPr>
                <w:sz w:val="20"/>
              </w:rPr>
              <w:t xml:space="preserve">4</w:t>
            </w:r>
          </w:p>
        </w:tc>
        <w:tc>
          <w:tcPr>
            <w:tcW w:w="552" w:type="dxa"/>
            <w:vAlign w:val="center"/>
          </w:tcPr>
          <w:p>
            <w:pPr>
              <w:pStyle w:val="0"/>
              <w:jc w:val="center"/>
            </w:pPr>
            <w:r>
              <w:rPr>
                <w:sz w:val="20"/>
              </w:rPr>
              <w:t xml:space="preserve">5</w:t>
            </w:r>
          </w:p>
        </w:tc>
      </w:tr>
      <w:tr>
        <w:tc>
          <w:tcPr>
            <w:tcW w:w="3855" w:type="dxa"/>
            <w:vAlign w:val="center"/>
          </w:tcPr>
          <w:p>
            <w:pPr>
              <w:pStyle w:val="0"/>
              <w:jc w:val="center"/>
            </w:pPr>
            <w:r>
              <w:rPr>
                <w:sz w:val="20"/>
              </w:rPr>
              <w:t xml:space="preserve">Более 8,0 до 10,0 включительно</w:t>
            </w:r>
          </w:p>
        </w:tc>
        <w:tc>
          <w:tcPr>
            <w:tcW w:w="566" w:type="dxa"/>
            <w:vAlign w:val="center"/>
          </w:tcPr>
          <w:p>
            <w:pPr>
              <w:pStyle w:val="0"/>
              <w:jc w:val="center"/>
            </w:pPr>
            <w:r>
              <w:rPr>
                <w:sz w:val="20"/>
              </w:rPr>
              <w:t xml:space="preserve">0,5</w:t>
            </w:r>
          </w:p>
        </w:tc>
        <w:tc>
          <w:tcPr>
            <w:tcW w:w="562" w:type="dxa"/>
            <w:vAlign w:val="center"/>
          </w:tcPr>
          <w:p>
            <w:pPr>
              <w:pStyle w:val="0"/>
              <w:jc w:val="center"/>
            </w:pPr>
            <w:r>
              <w:rPr>
                <w:sz w:val="20"/>
              </w:rPr>
              <w:t xml:space="preserve">0,6</w:t>
            </w:r>
          </w:p>
        </w:tc>
        <w:tc>
          <w:tcPr>
            <w:tcW w:w="566" w:type="dxa"/>
            <w:vAlign w:val="center"/>
          </w:tcPr>
          <w:p>
            <w:pPr>
              <w:pStyle w:val="0"/>
              <w:jc w:val="center"/>
            </w:pPr>
            <w:r>
              <w:rPr>
                <w:sz w:val="20"/>
              </w:rPr>
              <w:t xml:space="preserve">0,8</w:t>
            </w:r>
          </w:p>
        </w:tc>
        <w:tc>
          <w:tcPr>
            <w:tcW w:w="562" w:type="dxa"/>
            <w:vAlign w:val="center"/>
          </w:tcPr>
          <w:p>
            <w:pPr>
              <w:pStyle w:val="0"/>
              <w:jc w:val="center"/>
            </w:pPr>
            <w:r>
              <w:rPr>
                <w:sz w:val="20"/>
              </w:rPr>
              <w:t xml:space="preserve">1,0</w:t>
            </w:r>
          </w:p>
        </w:tc>
        <w:tc>
          <w:tcPr>
            <w:tcW w:w="571" w:type="dxa"/>
            <w:vAlign w:val="center"/>
          </w:tcPr>
          <w:p>
            <w:pPr>
              <w:pStyle w:val="0"/>
              <w:jc w:val="center"/>
            </w:pPr>
            <w:r>
              <w:rPr>
                <w:sz w:val="20"/>
              </w:rPr>
              <w:t xml:space="preserve">1,2</w:t>
            </w:r>
          </w:p>
        </w:tc>
        <w:tc>
          <w:tcPr>
            <w:tcW w:w="454" w:type="dxa"/>
            <w:vAlign w:val="center"/>
          </w:tcPr>
          <w:p>
            <w:pPr>
              <w:pStyle w:val="0"/>
              <w:jc w:val="center"/>
            </w:pPr>
            <w:r>
              <w:rPr>
                <w:sz w:val="20"/>
              </w:rPr>
              <w:t xml:space="preserve">2</w:t>
            </w:r>
          </w:p>
        </w:tc>
        <w:tc>
          <w:tcPr>
            <w:tcW w:w="454" w:type="dxa"/>
            <w:vAlign w:val="center"/>
          </w:tcPr>
          <w:p>
            <w:pPr>
              <w:pStyle w:val="0"/>
              <w:jc w:val="center"/>
            </w:pPr>
            <w:r>
              <w:rPr>
                <w:sz w:val="20"/>
              </w:rPr>
              <w:t xml:space="preserve">3</w:t>
            </w:r>
          </w:p>
        </w:tc>
        <w:tc>
          <w:tcPr>
            <w:tcW w:w="454" w:type="dxa"/>
            <w:vAlign w:val="center"/>
          </w:tcPr>
          <w:p>
            <w:pPr>
              <w:pStyle w:val="0"/>
              <w:jc w:val="center"/>
            </w:pPr>
            <w:r>
              <w:rPr>
                <w:sz w:val="20"/>
              </w:rPr>
              <w:t xml:space="preserve">3</w:t>
            </w:r>
          </w:p>
        </w:tc>
        <w:tc>
          <w:tcPr>
            <w:tcW w:w="397" w:type="dxa"/>
            <w:vAlign w:val="center"/>
          </w:tcPr>
          <w:p>
            <w:pPr>
              <w:pStyle w:val="0"/>
              <w:jc w:val="center"/>
            </w:pPr>
            <w:r>
              <w:rPr>
                <w:sz w:val="20"/>
              </w:rPr>
              <w:t xml:space="preserve">4</w:t>
            </w:r>
          </w:p>
        </w:tc>
        <w:tc>
          <w:tcPr>
            <w:tcW w:w="552" w:type="dxa"/>
            <w:vAlign w:val="center"/>
          </w:tcPr>
          <w:p>
            <w:pPr>
              <w:pStyle w:val="0"/>
              <w:jc w:val="center"/>
            </w:pPr>
            <w:r>
              <w:rPr>
                <w:sz w:val="20"/>
              </w:rPr>
              <w:t xml:space="preserve">5</w:t>
            </w:r>
          </w:p>
        </w:tc>
      </w:tr>
      <w:tr>
        <w:tc>
          <w:tcPr>
            <w:tcW w:w="3855" w:type="dxa"/>
            <w:vAlign w:val="center"/>
          </w:tcPr>
          <w:p>
            <w:pPr>
              <w:pStyle w:val="0"/>
              <w:jc w:val="center"/>
            </w:pPr>
            <w:r>
              <w:rPr>
                <w:sz w:val="20"/>
              </w:rPr>
              <w:t xml:space="preserve">Более 10,0 до 15,0 включительно</w:t>
            </w:r>
          </w:p>
        </w:tc>
        <w:tc>
          <w:tcPr>
            <w:tcW w:w="566" w:type="dxa"/>
            <w:vAlign w:val="center"/>
          </w:tcPr>
          <w:p>
            <w:pPr>
              <w:pStyle w:val="0"/>
              <w:jc w:val="center"/>
            </w:pPr>
            <w:r>
              <w:rPr>
                <w:sz w:val="20"/>
              </w:rPr>
              <w:t xml:space="preserve">0,6</w:t>
            </w:r>
          </w:p>
        </w:tc>
        <w:tc>
          <w:tcPr>
            <w:tcW w:w="562" w:type="dxa"/>
            <w:vAlign w:val="center"/>
          </w:tcPr>
          <w:p>
            <w:pPr>
              <w:pStyle w:val="0"/>
              <w:jc w:val="center"/>
            </w:pPr>
            <w:r>
              <w:rPr>
                <w:sz w:val="20"/>
              </w:rPr>
              <w:t xml:space="preserve">0,8</w:t>
            </w:r>
          </w:p>
        </w:tc>
        <w:tc>
          <w:tcPr>
            <w:tcW w:w="566" w:type="dxa"/>
            <w:vAlign w:val="center"/>
          </w:tcPr>
          <w:p>
            <w:pPr>
              <w:pStyle w:val="0"/>
              <w:jc w:val="center"/>
            </w:pPr>
            <w:r>
              <w:rPr>
                <w:sz w:val="20"/>
              </w:rPr>
              <w:t xml:space="preserve">1,0</w:t>
            </w:r>
          </w:p>
        </w:tc>
        <w:tc>
          <w:tcPr>
            <w:tcW w:w="562" w:type="dxa"/>
            <w:vAlign w:val="center"/>
          </w:tcPr>
          <w:p>
            <w:pPr>
              <w:pStyle w:val="0"/>
              <w:jc w:val="center"/>
            </w:pPr>
            <w:r>
              <w:rPr>
                <w:sz w:val="20"/>
              </w:rPr>
              <w:t xml:space="preserve">1,2</w:t>
            </w:r>
          </w:p>
        </w:tc>
        <w:tc>
          <w:tcPr>
            <w:tcW w:w="571" w:type="dxa"/>
            <w:vAlign w:val="center"/>
          </w:tcPr>
          <w:p>
            <w:pPr>
              <w:pStyle w:val="0"/>
              <w:jc w:val="center"/>
            </w:pPr>
            <w:r>
              <w:rPr>
                <w:sz w:val="20"/>
              </w:rPr>
              <w:t xml:space="preserve">1,5</w:t>
            </w:r>
          </w:p>
        </w:tc>
        <w:tc>
          <w:tcPr>
            <w:tcW w:w="454" w:type="dxa"/>
            <w:vAlign w:val="center"/>
          </w:tcPr>
          <w:p>
            <w:pPr>
              <w:pStyle w:val="0"/>
              <w:jc w:val="center"/>
            </w:pPr>
            <w:r>
              <w:rPr>
                <w:sz w:val="20"/>
              </w:rPr>
              <w:t xml:space="preserve">3</w:t>
            </w:r>
          </w:p>
        </w:tc>
        <w:tc>
          <w:tcPr>
            <w:tcW w:w="454" w:type="dxa"/>
            <w:vAlign w:val="center"/>
          </w:tcPr>
          <w:p>
            <w:pPr>
              <w:pStyle w:val="0"/>
              <w:jc w:val="center"/>
            </w:pPr>
            <w:r>
              <w:rPr>
                <w:sz w:val="20"/>
              </w:rPr>
              <w:t xml:space="preserve">3</w:t>
            </w:r>
          </w:p>
        </w:tc>
        <w:tc>
          <w:tcPr>
            <w:tcW w:w="454" w:type="dxa"/>
            <w:vAlign w:val="center"/>
          </w:tcPr>
          <w:p>
            <w:pPr>
              <w:pStyle w:val="0"/>
              <w:jc w:val="center"/>
            </w:pPr>
            <w:r>
              <w:rPr>
                <w:sz w:val="20"/>
              </w:rPr>
              <w:t xml:space="preserve">3</w:t>
            </w:r>
          </w:p>
        </w:tc>
        <w:tc>
          <w:tcPr>
            <w:tcW w:w="397" w:type="dxa"/>
            <w:vAlign w:val="center"/>
          </w:tcPr>
          <w:p>
            <w:pPr>
              <w:pStyle w:val="0"/>
              <w:jc w:val="center"/>
            </w:pPr>
            <w:r>
              <w:rPr>
                <w:sz w:val="20"/>
              </w:rPr>
              <w:t xml:space="preserve">4</w:t>
            </w:r>
          </w:p>
        </w:tc>
        <w:tc>
          <w:tcPr>
            <w:tcW w:w="552" w:type="dxa"/>
            <w:vAlign w:val="center"/>
          </w:tcPr>
          <w:p>
            <w:pPr>
              <w:pStyle w:val="0"/>
              <w:jc w:val="center"/>
            </w:pPr>
            <w:r>
              <w:rPr>
                <w:sz w:val="20"/>
              </w:rPr>
              <w:t xml:space="preserve">5</w:t>
            </w:r>
          </w:p>
        </w:tc>
      </w:tr>
      <w:tr>
        <w:tc>
          <w:tcPr>
            <w:tcW w:w="3855" w:type="dxa"/>
            <w:vAlign w:val="center"/>
          </w:tcPr>
          <w:p>
            <w:pPr>
              <w:pStyle w:val="0"/>
              <w:jc w:val="center"/>
            </w:pPr>
            <w:r>
              <w:rPr>
                <w:sz w:val="20"/>
              </w:rPr>
              <w:t xml:space="preserve">Более 15,0 до 20,0 включительно</w:t>
            </w:r>
          </w:p>
        </w:tc>
        <w:tc>
          <w:tcPr>
            <w:tcW w:w="566" w:type="dxa"/>
            <w:vAlign w:val="center"/>
          </w:tcPr>
          <w:p>
            <w:pPr>
              <w:pStyle w:val="0"/>
              <w:jc w:val="center"/>
            </w:pPr>
            <w:r>
              <w:rPr>
                <w:sz w:val="20"/>
              </w:rPr>
              <w:t xml:space="preserve">0,8</w:t>
            </w:r>
          </w:p>
        </w:tc>
        <w:tc>
          <w:tcPr>
            <w:tcW w:w="562" w:type="dxa"/>
            <w:vAlign w:val="center"/>
          </w:tcPr>
          <w:p>
            <w:pPr>
              <w:pStyle w:val="0"/>
              <w:jc w:val="center"/>
            </w:pPr>
            <w:r>
              <w:rPr>
                <w:sz w:val="20"/>
              </w:rPr>
              <w:t xml:space="preserve">1,0</w:t>
            </w:r>
          </w:p>
        </w:tc>
        <w:tc>
          <w:tcPr>
            <w:tcW w:w="566" w:type="dxa"/>
            <w:vAlign w:val="center"/>
          </w:tcPr>
          <w:p>
            <w:pPr>
              <w:pStyle w:val="0"/>
              <w:jc w:val="center"/>
            </w:pPr>
            <w:r>
              <w:rPr>
                <w:sz w:val="20"/>
              </w:rPr>
              <w:t xml:space="preserve">1,2</w:t>
            </w:r>
          </w:p>
        </w:tc>
        <w:tc>
          <w:tcPr>
            <w:tcW w:w="562" w:type="dxa"/>
            <w:vAlign w:val="center"/>
          </w:tcPr>
          <w:p>
            <w:pPr>
              <w:pStyle w:val="0"/>
              <w:jc w:val="center"/>
            </w:pPr>
            <w:r>
              <w:rPr>
                <w:sz w:val="20"/>
              </w:rPr>
              <w:t xml:space="preserve">1,5</w:t>
            </w:r>
          </w:p>
        </w:tc>
        <w:tc>
          <w:tcPr>
            <w:tcW w:w="571" w:type="dxa"/>
            <w:vAlign w:val="center"/>
          </w:tcPr>
          <w:p>
            <w:pPr>
              <w:pStyle w:val="0"/>
              <w:jc w:val="center"/>
            </w:pPr>
            <w:r>
              <w:rPr>
                <w:sz w:val="20"/>
              </w:rPr>
              <w:t xml:space="preserve">2,0</w:t>
            </w:r>
          </w:p>
        </w:tc>
        <w:tc>
          <w:tcPr>
            <w:tcW w:w="454" w:type="dxa"/>
            <w:vAlign w:val="center"/>
          </w:tcPr>
          <w:p>
            <w:pPr>
              <w:pStyle w:val="0"/>
              <w:jc w:val="center"/>
            </w:pPr>
            <w:r>
              <w:rPr>
                <w:sz w:val="20"/>
              </w:rPr>
              <w:t xml:space="preserve">3</w:t>
            </w:r>
          </w:p>
        </w:tc>
        <w:tc>
          <w:tcPr>
            <w:tcW w:w="454" w:type="dxa"/>
            <w:vAlign w:val="center"/>
          </w:tcPr>
          <w:p>
            <w:pPr>
              <w:pStyle w:val="0"/>
              <w:jc w:val="center"/>
            </w:pPr>
            <w:r>
              <w:rPr>
                <w:sz w:val="20"/>
              </w:rPr>
              <w:t xml:space="preserve">3</w:t>
            </w:r>
          </w:p>
        </w:tc>
        <w:tc>
          <w:tcPr>
            <w:tcW w:w="454" w:type="dxa"/>
            <w:vAlign w:val="center"/>
          </w:tcPr>
          <w:p>
            <w:pPr>
              <w:pStyle w:val="0"/>
              <w:jc w:val="center"/>
            </w:pPr>
            <w:r>
              <w:rPr>
                <w:sz w:val="20"/>
              </w:rPr>
              <w:t xml:space="preserve">4</w:t>
            </w:r>
          </w:p>
        </w:tc>
        <w:tc>
          <w:tcPr>
            <w:tcW w:w="397" w:type="dxa"/>
            <w:vAlign w:val="center"/>
          </w:tcPr>
          <w:p>
            <w:pPr>
              <w:pStyle w:val="0"/>
              <w:jc w:val="center"/>
            </w:pPr>
            <w:r>
              <w:rPr>
                <w:sz w:val="20"/>
              </w:rPr>
              <w:t xml:space="preserve">5</w:t>
            </w:r>
          </w:p>
        </w:tc>
        <w:tc>
          <w:tcPr>
            <w:tcW w:w="552" w:type="dxa"/>
            <w:vAlign w:val="center"/>
          </w:tcPr>
          <w:p>
            <w:pPr>
              <w:pStyle w:val="0"/>
              <w:jc w:val="center"/>
            </w:pPr>
            <w:r>
              <w:rPr>
                <w:sz w:val="20"/>
              </w:rPr>
              <w:t xml:space="preserve">6</w:t>
            </w:r>
          </w:p>
        </w:tc>
      </w:tr>
      <w:tr>
        <w:tc>
          <w:tcPr>
            <w:tcW w:w="3855" w:type="dxa"/>
            <w:vAlign w:val="center"/>
          </w:tcPr>
          <w:p>
            <w:pPr>
              <w:pStyle w:val="0"/>
              <w:jc w:val="center"/>
            </w:pPr>
            <w:r>
              <w:rPr>
                <w:sz w:val="20"/>
              </w:rPr>
              <w:t xml:space="preserve">Более 20,0 до 40,0 включительно</w:t>
            </w:r>
          </w:p>
        </w:tc>
        <w:tc>
          <w:tcPr>
            <w:tcW w:w="566" w:type="dxa"/>
            <w:vAlign w:val="center"/>
          </w:tcPr>
          <w:p>
            <w:pPr>
              <w:pStyle w:val="0"/>
              <w:jc w:val="center"/>
            </w:pPr>
            <w:r>
              <w:rPr>
                <w:sz w:val="20"/>
              </w:rPr>
              <w:t xml:space="preserve">1,0</w:t>
            </w:r>
          </w:p>
        </w:tc>
        <w:tc>
          <w:tcPr>
            <w:tcW w:w="562" w:type="dxa"/>
            <w:vAlign w:val="center"/>
          </w:tcPr>
          <w:p>
            <w:pPr>
              <w:pStyle w:val="0"/>
              <w:jc w:val="center"/>
            </w:pPr>
            <w:r>
              <w:rPr>
                <w:sz w:val="20"/>
              </w:rPr>
              <w:t xml:space="preserve">1,2</w:t>
            </w:r>
          </w:p>
        </w:tc>
        <w:tc>
          <w:tcPr>
            <w:tcW w:w="566" w:type="dxa"/>
            <w:vAlign w:val="center"/>
          </w:tcPr>
          <w:p>
            <w:pPr>
              <w:pStyle w:val="0"/>
              <w:jc w:val="center"/>
            </w:pPr>
            <w:r>
              <w:rPr>
                <w:sz w:val="20"/>
              </w:rPr>
              <w:t xml:space="preserve">1,5</w:t>
            </w:r>
          </w:p>
        </w:tc>
        <w:tc>
          <w:tcPr>
            <w:tcW w:w="562" w:type="dxa"/>
            <w:vAlign w:val="center"/>
          </w:tcPr>
          <w:p>
            <w:pPr>
              <w:pStyle w:val="0"/>
              <w:jc w:val="center"/>
            </w:pPr>
            <w:r>
              <w:rPr>
                <w:sz w:val="20"/>
              </w:rPr>
              <w:t xml:space="preserve">2,0</w:t>
            </w:r>
          </w:p>
        </w:tc>
        <w:tc>
          <w:tcPr>
            <w:tcW w:w="571" w:type="dxa"/>
            <w:vAlign w:val="center"/>
          </w:tcPr>
          <w:p>
            <w:pPr>
              <w:pStyle w:val="0"/>
              <w:jc w:val="center"/>
            </w:pPr>
            <w:r>
              <w:rPr>
                <w:sz w:val="20"/>
              </w:rPr>
              <w:t xml:space="preserve">2,0</w:t>
            </w:r>
          </w:p>
        </w:tc>
        <w:tc>
          <w:tcPr>
            <w:tcW w:w="454" w:type="dxa"/>
            <w:vAlign w:val="center"/>
          </w:tcPr>
          <w:p>
            <w:pPr>
              <w:pStyle w:val="0"/>
              <w:jc w:val="center"/>
            </w:pPr>
            <w:r>
              <w:rPr>
                <w:sz w:val="20"/>
              </w:rPr>
              <w:t xml:space="preserve">3</w:t>
            </w:r>
          </w:p>
        </w:tc>
        <w:tc>
          <w:tcPr>
            <w:tcW w:w="454" w:type="dxa"/>
            <w:vAlign w:val="center"/>
          </w:tcPr>
          <w:p>
            <w:pPr>
              <w:pStyle w:val="0"/>
              <w:jc w:val="center"/>
            </w:pPr>
            <w:r>
              <w:rPr>
                <w:sz w:val="20"/>
              </w:rPr>
              <w:t xml:space="preserve">4</w:t>
            </w:r>
          </w:p>
        </w:tc>
        <w:tc>
          <w:tcPr>
            <w:tcW w:w="454" w:type="dxa"/>
            <w:vAlign w:val="center"/>
          </w:tcPr>
          <w:p>
            <w:pPr>
              <w:pStyle w:val="0"/>
              <w:jc w:val="center"/>
            </w:pPr>
            <w:r>
              <w:rPr>
                <w:sz w:val="20"/>
              </w:rPr>
              <w:t xml:space="preserve">4</w:t>
            </w:r>
          </w:p>
        </w:tc>
        <w:tc>
          <w:tcPr>
            <w:tcW w:w="397" w:type="dxa"/>
            <w:vAlign w:val="center"/>
          </w:tcPr>
          <w:p>
            <w:pPr>
              <w:pStyle w:val="0"/>
              <w:jc w:val="center"/>
            </w:pPr>
            <w:r>
              <w:rPr>
                <w:sz w:val="20"/>
              </w:rPr>
              <w:t xml:space="preserve">5</w:t>
            </w:r>
          </w:p>
        </w:tc>
        <w:tc>
          <w:tcPr>
            <w:tcW w:w="552" w:type="dxa"/>
            <w:vAlign w:val="center"/>
          </w:tcPr>
          <w:p>
            <w:pPr>
              <w:pStyle w:val="0"/>
              <w:jc w:val="center"/>
            </w:pPr>
            <w:r>
              <w:rPr>
                <w:sz w:val="20"/>
              </w:rPr>
              <w:t xml:space="preserve">6</w:t>
            </w:r>
          </w:p>
        </w:tc>
      </w:tr>
      <w:tr>
        <w:tc>
          <w:tcPr>
            <w:tcW w:w="3855" w:type="dxa"/>
            <w:vAlign w:val="center"/>
          </w:tcPr>
          <w:p>
            <w:pPr>
              <w:pStyle w:val="0"/>
              <w:jc w:val="center"/>
            </w:pPr>
            <w:r>
              <w:rPr>
                <w:sz w:val="20"/>
              </w:rPr>
              <w:t xml:space="preserve">Более 40,0 до 100,0 включительно</w:t>
            </w:r>
          </w:p>
        </w:tc>
        <w:tc>
          <w:tcPr>
            <w:tcW w:w="566" w:type="dxa"/>
            <w:vAlign w:val="center"/>
          </w:tcPr>
          <w:p>
            <w:pPr>
              <w:pStyle w:val="0"/>
              <w:jc w:val="center"/>
            </w:pPr>
            <w:r>
              <w:rPr>
                <w:sz w:val="20"/>
              </w:rPr>
              <w:t xml:space="preserve">1,2</w:t>
            </w:r>
          </w:p>
        </w:tc>
        <w:tc>
          <w:tcPr>
            <w:tcW w:w="562" w:type="dxa"/>
            <w:vAlign w:val="center"/>
          </w:tcPr>
          <w:p>
            <w:pPr>
              <w:pStyle w:val="0"/>
              <w:jc w:val="center"/>
            </w:pPr>
            <w:r>
              <w:rPr>
                <w:sz w:val="20"/>
              </w:rPr>
              <w:t xml:space="preserve">1,5</w:t>
            </w:r>
          </w:p>
        </w:tc>
        <w:tc>
          <w:tcPr>
            <w:tcW w:w="566" w:type="dxa"/>
            <w:vAlign w:val="center"/>
          </w:tcPr>
          <w:p>
            <w:pPr>
              <w:pStyle w:val="0"/>
              <w:jc w:val="center"/>
            </w:pPr>
            <w:r>
              <w:rPr>
                <w:sz w:val="20"/>
              </w:rPr>
              <w:t xml:space="preserve">1,5</w:t>
            </w:r>
          </w:p>
        </w:tc>
        <w:tc>
          <w:tcPr>
            <w:tcW w:w="562" w:type="dxa"/>
            <w:vAlign w:val="center"/>
          </w:tcPr>
          <w:p>
            <w:pPr>
              <w:pStyle w:val="0"/>
              <w:jc w:val="center"/>
            </w:pPr>
            <w:r>
              <w:rPr>
                <w:sz w:val="20"/>
              </w:rPr>
              <w:t xml:space="preserve">2,0</w:t>
            </w:r>
          </w:p>
        </w:tc>
        <w:tc>
          <w:tcPr>
            <w:tcW w:w="571" w:type="dxa"/>
            <w:vAlign w:val="center"/>
          </w:tcPr>
          <w:p>
            <w:pPr>
              <w:pStyle w:val="0"/>
              <w:jc w:val="center"/>
            </w:pPr>
            <w:r>
              <w:rPr>
                <w:sz w:val="20"/>
              </w:rPr>
              <w:t xml:space="preserve">2,5</w:t>
            </w:r>
          </w:p>
        </w:tc>
        <w:tc>
          <w:tcPr>
            <w:tcW w:w="454" w:type="dxa"/>
            <w:vAlign w:val="center"/>
          </w:tcPr>
          <w:p>
            <w:pPr>
              <w:pStyle w:val="0"/>
              <w:jc w:val="center"/>
            </w:pPr>
            <w:r>
              <w:rPr>
                <w:sz w:val="20"/>
              </w:rPr>
              <w:t xml:space="preserve">4</w:t>
            </w:r>
          </w:p>
        </w:tc>
        <w:tc>
          <w:tcPr>
            <w:tcW w:w="454" w:type="dxa"/>
            <w:vAlign w:val="center"/>
          </w:tcPr>
          <w:p>
            <w:pPr>
              <w:pStyle w:val="0"/>
              <w:jc w:val="center"/>
            </w:pPr>
            <w:r>
              <w:rPr>
                <w:sz w:val="20"/>
              </w:rPr>
              <w:t xml:space="preserve">4</w:t>
            </w:r>
          </w:p>
        </w:tc>
        <w:tc>
          <w:tcPr>
            <w:tcW w:w="454" w:type="dxa"/>
            <w:vAlign w:val="center"/>
          </w:tcPr>
          <w:p>
            <w:pPr>
              <w:pStyle w:val="0"/>
              <w:jc w:val="center"/>
            </w:pPr>
            <w:r>
              <w:rPr>
                <w:sz w:val="20"/>
              </w:rPr>
              <w:t xml:space="preserve">5</w:t>
            </w:r>
          </w:p>
        </w:tc>
        <w:tc>
          <w:tcPr>
            <w:tcW w:w="397" w:type="dxa"/>
            <w:vAlign w:val="center"/>
          </w:tcPr>
          <w:p>
            <w:pPr>
              <w:pStyle w:val="0"/>
              <w:jc w:val="center"/>
            </w:pPr>
            <w:r>
              <w:rPr>
                <w:sz w:val="20"/>
              </w:rPr>
              <w:t xml:space="preserve">6</w:t>
            </w:r>
          </w:p>
        </w:tc>
        <w:tc>
          <w:tcPr>
            <w:tcW w:w="552" w:type="dxa"/>
            <w:vAlign w:val="center"/>
          </w:tcPr>
          <w:p>
            <w:pPr>
              <w:pStyle w:val="0"/>
              <w:jc w:val="center"/>
            </w:pPr>
            <w:r>
              <w:rPr>
                <w:sz w:val="20"/>
              </w:rPr>
              <w:t xml:space="preserve">7</w:t>
            </w:r>
          </w:p>
        </w:tc>
      </w:tr>
      <w:tr>
        <w:tc>
          <w:tcPr>
            <w:tcW w:w="3855" w:type="dxa"/>
            <w:vAlign w:val="center"/>
          </w:tcPr>
          <w:p>
            <w:pPr>
              <w:pStyle w:val="0"/>
              <w:jc w:val="center"/>
            </w:pPr>
            <w:r>
              <w:rPr>
                <w:sz w:val="20"/>
              </w:rPr>
              <w:t xml:space="preserve">Более 100,0 до 200,0 включительно</w:t>
            </w:r>
          </w:p>
        </w:tc>
        <w:tc>
          <w:tcPr>
            <w:tcW w:w="566" w:type="dxa"/>
            <w:vAlign w:val="center"/>
          </w:tcPr>
          <w:p>
            <w:pPr>
              <w:pStyle w:val="0"/>
              <w:jc w:val="center"/>
            </w:pPr>
            <w:r>
              <w:rPr>
                <w:sz w:val="20"/>
              </w:rPr>
              <w:t xml:space="preserve">1,5</w:t>
            </w:r>
          </w:p>
        </w:tc>
        <w:tc>
          <w:tcPr>
            <w:tcW w:w="562" w:type="dxa"/>
            <w:vAlign w:val="center"/>
          </w:tcPr>
          <w:p>
            <w:pPr>
              <w:pStyle w:val="0"/>
              <w:jc w:val="center"/>
            </w:pPr>
            <w:r>
              <w:rPr>
                <w:sz w:val="20"/>
              </w:rPr>
              <w:t xml:space="preserve">1,5</w:t>
            </w:r>
          </w:p>
        </w:tc>
        <w:tc>
          <w:tcPr>
            <w:tcW w:w="566" w:type="dxa"/>
            <w:vAlign w:val="center"/>
          </w:tcPr>
          <w:p>
            <w:pPr>
              <w:pStyle w:val="0"/>
              <w:jc w:val="center"/>
            </w:pPr>
            <w:r>
              <w:rPr>
                <w:sz w:val="20"/>
              </w:rPr>
              <w:t xml:space="preserve">1,5</w:t>
            </w:r>
          </w:p>
        </w:tc>
        <w:tc>
          <w:tcPr>
            <w:tcW w:w="562" w:type="dxa"/>
            <w:vAlign w:val="center"/>
          </w:tcPr>
          <w:p>
            <w:pPr>
              <w:pStyle w:val="0"/>
              <w:jc w:val="center"/>
            </w:pPr>
            <w:r>
              <w:rPr>
                <w:sz w:val="20"/>
              </w:rPr>
              <w:t xml:space="preserve">2,0</w:t>
            </w:r>
          </w:p>
        </w:tc>
        <w:tc>
          <w:tcPr>
            <w:tcW w:w="571" w:type="dxa"/>
            <w:vAlign w:val="center"/>
          </w:tcPr>
          <w:p>
            <w:pPr>
              <w:pStyle w:val="0"/>
              <w:jc w:val="center"/>
            </w:pPr>
            <w:r>
              <w:rPr>
                <w:sz w:val="20"/>
              </w:rPr>
              <w:t xml:space="preserve">2,5</w:t>
            </w:r>
          </w:p>
        </w:tc>
        <w:tc>
          <w:tcPr>
            <w:tcW w:w="454" w:type="dxa"/>
            <w:vAlign w:val="center"/>
          </w:tcPr>
          <w:p>
            <w:pPr>
              <w:pStyle w:val="0"/>
              <w:jc w:val="center"/>
            </w:pPr>
            <w:r>
              <w:rPr>
                <w:sz w:val="20"/>
              </w:rPr>
              <w:t xml:space="preserve">4</w:t>
            </w:r>
          </w:p>
        </w:tc>
        <w:tc>
          <w:tcPr>
            <w:tcW w:w="454" w:type="dxa"/>
            <w:vAlign w:val="center"/>
          </w:tcPr>
          <w:p>
            <w:pPr>
              <w:pStyle w:val="0"/>
              <w:jc w:val="center"/>
            </w:pPr>
            <w:r>
              <w:rPr>
                <w:sz w:val="20"/>
              </w:rPr>
              <w:t xml:space="preserve">5</w:t>
            </w:r>
          </w:p>
        </w:tc>
        <w:tc>
          <w:tcPr>
            <w:tcW w:w="454" w:type="dxa"/>
            <w:vAlign w:val="center"/>
          </w:tcPr>
          <w:p>
            <w:pPr>
              <w:pStyle w:val="0"/>
              <w:jc w:val="center"/>
            </w:pPr>
            <w:r>
              <w:rPr>
                <w:sz w:val="20"/>
              </w:rPr>
              <w:t xml:space="preserve">6</w:t>
            </w:r>
          </w:p>
        </w:tc>
        <w:tc>
          <w:tcPr>
            <w:tcW w:w="397" w:type="dxa"/>
            <w:vAlign w:val="center"/>
          </w:tcPr>
          <w:p>
            <w:pPr>
              <w:pStyle w:val="0"/>
              <w:jc w:val="center"/>
            </w:pPr>
            <w:r>
              <w:rPr>
                <w:sz w:val="20"/>
              </w:rPr>
              <w:t xml:space="preserve">7</w:t>
            </w:r>
          </w:p>
        </w:tc>
        <w:tc>
          <w:tcPr>
            <w:tcW w:w="552" w:type="dxa"/>
            <w:vAlign w:val="center"/>
          </w:tcPr>
          <w:p>
            <w:pPr>
              <w:pStyle w:val="0"/>
              <w:jc w:val="center"/>
            </w:pPr>
            <w:r>
              <w:rPr>
                <w:sz w:val="20"/>
              </w:rPr>
              <w:t xml:space="preserve">8</w:t>
            </w:r>
          </w:p>
        </w:tc>
      </w:tr>
      <w:tr>
        <w:tc>
          <w:tcPr>
            <w:tcW w:w="3855" w:type="dxa"/>
            <w:vAlign w:val="center"/>
          </w:tcPr>
          <w:p>
            <w:pPr>
              <w:pStyle w:val="0"/>
              <w:jc w:val="center"/>
            </w:pPr>
            <w:r>
              <w:rPr>
                <w:sz w:val="20"/>
              </w:rPr>
              <w:t xml:space="preserve">Более 200,0</w:t>
            </w:r>
          </w:p>
        </w:tc>
        <w:tc>
          <w:tcPr>
            <w:tcW w:w="566" w:type="dxa"/>
            <w:vAlign w:val="center"/>
          </w:tcPr>
          <w:p>
            <w:pPr>
              <w:pStyle w:val="0"/>
              <w:jc w:val="center"/>
            </w:pPr>
            <w:r>
              <w:rPr>
                <w:sz w:val="20"/>
              </w:rPr>
              <w:t xml:space="preserve">1,5</w:t>
            </w:r>
          </w:p>
        </w:tc>
        <w:tc>
          <w:tcPr>
            <w:tcW w:w="562" w:type="dxa"/>
            <w:vAlign w:val="center"/>
          </w:tcPr>
          <w:p>
            <w:pPr>
              <w:pStyle w:val="0"/>
              <w:jc w:val="center"/>
            </w:pPr>
            <w:r>
              <w:rPr>
                <w:sz w:val="20"/>
              </w:rPr>
              <w:t xml:space="preserve">1,5</w:t>
            </w:r>
          </w:p>
        </w:tc>
        <w:tc>
          <w:tcPr>
            <w:tcW w:w="566" w:type="dxa"/>
            <w:vAlign w:val="center"/>
          </w:tcPr>
          <w:p>
            <w:pPr>
              <w:pStyle w:val="0"/>
              <w:jc w:val="center"/>
            </w:pPr>
            <w:r>
              <w:rPr>
                <w:sz w:val="20"/>
              </w:rPr>
              <w:t xml:space="preserve">1,5</w:t>
            </w:r>
          </w:p>
        </w:tc>
        <w:tc>
          <w:tcPr>
            <w:tcW w:w="562" w:type="dxa"/>
            <w:vAlign w:val="center"/>
          </w:tcPr>
          <w:p>
            <w:pPr>
              <w:pStyle w:val="0"/>
              <w:jc w:val="center"/>
            </w:pPr>
            <w:r>
              <w:rPr>
                <w:sz w:val="20"/>
              </w:rPr>
              <w:t xml:space="preserve">2,0</w:t>
            </w:r>
          </w:p>
        </w:tc>
        <w:tc>
          <w:tcPr>
            <w:tcW w:w="571" w:type="dxa"/>
            <w:vAlign w:val="center"/>
          </w:tcPr>
          <w:p>
            <w:pPr>
              <w:pStyle w:val="0"/>
              <w:jc w:val="center"/>
            </w:pPr>
            <w:r>
              <w:rPr>
                <w:sz w:val="20"/>
              </w:rPr>
              <w:t xml:space="preserve">2,5</w:t>
            </w:r>
          </w:p>
        </w:tc>
        <w:tc>
          <w:tcPr>
            <w:tcW w:w="454" w:type="dxa"/>
            <w:vAlign w:val="center"/>
          </w:tcPr>
          <w:p>
            <w:pPr>
              <w:pStyle w:val="0"/>
              <w:jc w:val="center"/>
            </w:pPr>
            <w:r>
              <w:rPr>
                <w:sz w:val="20"/>
              </w:rPr>
              <w:t xml:space="preserve">5</w:t>
            </w:r>
          </w:p>
        </w:tc>
        <w:tc>
          <w:tcPr>
            <w:tcW w:w="454" w:type="dxa"/>
            <w:vAlign w:val="center"/>
          </w:tcPr>
          <w:p>
            <w:pPr>
              <w:pStyle w:val="0"/>
              <w:jc w:val="center"/>
            </w:pPr>
            <w:r>
              <w:rPr>
                <w:sz w:val="20"/>
              </w:rPr>
              <w:t xml:space="preserve">6</w:t>
            </w:r>
          </w:p>
        </w:tc>
        <w:tc>
          <w:tcPr>
            <w:tcW w:w="454" w:type="dxa"/>
            <w:vAlign w:val="center"/>
          </w:tcPr>
          <w:p>
            <w:pPr>
              <w:pStyle w:val="0"/>
              <w:jc w:val="center"/>
            </w:pPr>
            <w:r>
              <w:rPr>
                <w:sz w:val="20"/>
              </w:rPr>
              <w:t xml:space="preserve">7</w:t>
            </w:r>
          </w:p>
        </w:tc>
        <w:tc>
          <w:tcPr>
            <w:tcW w:w="397" w:type="dxa"/>
            <w:vAlign w:val="center"/>
          </w:tcPr>
          <w:p>
            <w:pPr>
              <w:pStyle w:val="0"/>
              <w:jc w:val="center"/>
            </w:pPr>
            <w:r>
              <w:rPr>
                <w:sz w:val="20"/>
              </w:rPr>
              <w:t xml:space="preserve">8</w:t>
            </w:r>
          </w:p>
        </w:tc>
        <w:tc>
          <w:tcPr>
            <w:tcW w:w="552" w:type="dxa"/>
            <w:vAlign w:val="center"/>
          </w:tcPr>
          <w:p>
            <w:pPr>
              <w:pStyle w:val="0"/>
              <w:jc w:val="center"/>
            </w:pPr>
            <w:r>
              <w:rPr>
                <w:sz w:val="20"/>
              </w:rPr>
              <w:t xml:space="preserve">9</w:t>
            </w:r>
          </w:p>
        </w:tc>
      </w:tr>
      <w:tr>
        <w:tc>
          <w:tcPr>
            <w:gridSpan w:val="11"/>
            <w:tcW w:w="8993" w:type="dxa"/>
          </w:tcPr>
          <w:p>
            <w:pPr>
              <w:pStyle w:val="0"/>
            </w:pPr>
            <w:r>
              <w:rPr>
                <w:sz w:val="20"/>
              </w:rPr>
              <w:t xml:space="preserve">Примечание. Включения с наибольшим фактическим размером до 0,2 мм не учитываются.</w:t>
            </w:r>
          </w:p>
        </w:tc>
      </w:tr>
    </w:tbl>
    <w:p>
      <w:pPr>
        <w:pStyle w:val="0"/>
        <w:jc w:val="both"/>
      </w:pPr>
      <w:r>
        <w:rPr>
          <w:sz w:val="20"/>
        </w:rPr>
      </w:r>
    </w:p>
    <w:bookmarkStart w:id="1385" w:name="P1385"/>
    <w:bookmarkEnd w:id="1385"/>
    <w:p>
      <w:pPr>
        <w:pStyle w:val="0"/>
        <w:ind w:firstLine="540"/>
        <w:jc w:val="both"/>
      </w:pPr>
      <w:r>
        <w:rPr>
          <w:sz w:val="20"/>
        </w:rPr>
        <w:t xml:space="preserve">2. Нормы допустимой высоты (глубины) углубления между валиками и чешуйчатости их поверхности для сварных соединений деталей из стали и железоникелевых сплавов приведены в таблице N 4.2 настоящего приложения.</w:t>
      </w:r>
    </w:p>
    <w:p>
      <w:pPr>
        <w:pStyle w:val="0"/>
        <w:jc w:val="both"/>
      </w:pPr>
      <w:r>
        <w:rPr>
          <w:sz w:val="20"/>
        </w:rPr>
      </w:r>
    </w:p>
    <w:p>
      <w:pPr>
        <w:pStyle w:val="0"/>
        <w:outlineLvl w:val="3"/>
        <w:jc w:val="right"/>
      </w:pPr>
      <w:r>
        <w:rPr>
          <w:sz w:val="20"/>
        </w:rPr>
        <w:t xml:space="preserve">Таблица N 4.2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855"/>
        <w:gridCol w:w="1757"/>
        <w:gridCol w:w="1701"/>
        <w:gridCol w:w="1757"/>
      </w:tblGrid>
      <w:tr>
        <w:tc>
          <w:tcPr>
            <w:tcW w:w="3855" w:type="dxa"/>
            <w:vMerge w:val="restart"/>
          </w:tcPr>
          <w:p>
            <w:pPr>
              <w:pStyle w:val="0"/>
              <w:jc w:val="center"/>
            </w:pPr>
            <w:r>
              <w:rPr>
                <w:sz w:val="20"/>
              </w:rPr>
              <w:t xml:space="preserve">Номинальная толщина сварных (наплавленных) деталей, мм</w:t>
            </w:r>
          </w:p>
        </w:tc>
        <w:tc>
          <w:tcPr>
            <w:gridSpan w:val="3"/>
            <w:tcW w:w="5215" w:type="dxa"/>
          </w:tcPr>
          <w:p>
            <w:pPr>
              <w:pStyle w:val="0"/>
              <w:jc w:val="center"/>
            </w:pPr>
            <w:r>
              <w:rPr>
                <w:sz w:val="20"/>
              </w:rPr>
              <w:t xml:space="preserve">Максимальный линейный размер для категорий сварных соединений, мм</w:t>
            </w:r>
          </w:p>
        </w:tc>
      </w:tr>
      <w:tr>
        <w:tc>
          <w:tcPr>
            <w:vMerge w:val="continue"/>
          </w:tcPr>
          <w:p/>
        </w:tc>
        <w:tc>
          <w:tcPr>
            <w:tcW w:w="1757" w:type="dxa"/>
          </w:tcPr>
          <w:p>
            <w:pPr>
              <w:pStyle w:val="0"/>
              <w:jc w:val="center"/>
            </w:pPr>
            <w:r>
              <w:rPr>
                <w:sz w:val="20"/>
              </w:rPr>
              <w:t xml:space="preserve">I, Iн, IIн</w:t>
            </w:r>
          </w:p>
        </w:tc>
        <w:tc>
          <w:tcPr>
            <w:tcW w:w="1701" w:type="dxa"/>
          </w:tcPr>
          <w:p>
            <w:pPr>
              <w:pStyle w:val="0"/>
              <w:jc w:val="center"/>
            </w:pPr>
            <w:r>
              <w:rPr>
                <w:sz w:val="20"/>
              </w:rPr>
              <w:t xml:space="preserve">II</w:t>
            </w:r>
          </w:p>
        </w:tc>
        <w:tc>
          <w:tcPr>
            <w:tcW w:w="1757" w:type="dxa"/>
          </w:tcPr>
          <w:p>
            <w:pPr>
              <w:pStyle w:val="0"/>
              <w:jc w:val="center"/>
            </w:pPr>
            <w:r>
              <w:rPr>
                <w:sz w:val="20"/>
              </w:rPr>
              <w:t xml:space="preserve">III</w:t>
            </w:r>
          </w:p>
        </w:tc>
      </w:tr>
      <w:tr>
        <w:tc>
          <w:tcPr>
            <w:tcW w:w="3855" w:type="dxa"/>
            <w:vAlign w:val="center"/>
          </w:tcPr>
          <w:p>
            <w:pPr>
              <w:pStyle w:val="0"/>
              <w:jc w:val="center"/>
            </w:pPr>
            <w:r>
              <w:rPr>
                <w:sz w:val="20"/>
              </w:rPr>
              <w:t xml:space="preserve">До 2,0 включительно</w:t>
            </w:r>
          </w:p>
        </w:tc>
        <w:tc>
          <w:tcPr>
            <w:tcW w:w="1757" w:type="dxa"/>
            <w:vAlign w:val="center"/>
          </w:tcPr>
          <w:p>
            <w:pPr>
              <w:pStyle w:val="0"/>
              <w:jc w:val="center"/>
            </w:pPr>
            <w:r>
              <w:rPr>
                <w:sz w:val="20"/>
              </w:rPr>
              <w:t xml:space="preserve">0,3</w:t>
            </w:r>
          </w:p>
        </w:tc>
        <w:tc>
          <w:tcPr>
            <w:tcW w:w="1701" w:type="dxa"/>
            <w:vAlign w:val="center"/>
          </w:tcPr>
          <w:p>
            <w:pPr>
              <w:pStyle w:val="0"/>
              <w:jc w:val="center"/>
            </w:pPr>
            <w:r>
              <w:rPr>
                <w:sz w:val="20"/>
              </w:rPr>
              <w:t xml:space="preserve">0,4</w:t>
            </w:r>
          </w:p>
        </w:tc>
        <w:tc>
          <w:tcPr>
            <w:tcW w:w="1757" w:type="dxa"/>
            <w:vAlign w:val="center"/>
          </w:tcPr>
          <w:p>
            <w:pPr>
              <w:pStyle w:val="0"/>
              <w:jc w:val="center"/>
            </w:pPr>
            <w:r>
              <w:rPr>
                <w:sz w:val="20"/>
              </w:rPr>
              <w:t xml:space="preserve">0,6</w:t>
            </w:r>
          </w:p>
        </w:tc>
      </w:tr>
      <w:tr>
        <w:tc>
          <w:tcPr>
            <w:tcW w:w="3855" w:type="dxa"/>
            <w:vAlign w:val="center"/>
          </w:tcPr>
          <w:p>
            <w:pPr>
              <w:pStyle w:val="0"/>
              <w:jc w:val="center"/>
            </w:pPr>
            <w:r>
              <w:rPr>
                <w:sz w:val="20"/>
              </w:rPr>
              <w:t xml:space="preserve">Более 2,0 до 4,0 включительно</w:t>
            </w:r>
          </w:p>
        </w:tc>
        <w:tc>
          <w:tcPr>
            <w:tcW w:w="1757" w:type="dxa"/>
            <w:vAlign w:val="center"/>
          </w:tcPr>
          <w:p>
            <w:pPr>
              <w:pStyle w:val="0"/>
              <w:jc w:val="center"/>
            </w:pPr>
            <w:r>
              <w:rPr>
                <w:sz w:val="20"/>
              </w:rPr>
              <w:t xml:space="preserve">0,4</w:t>
            </w:r>
          </w:p>
        </w:tc>
        <w:tc>
          <w:tcPr>
            <w:tcW w:w="1701" w:type="dxa"/>
            <w:vAlign w:val="center"/>
          </w:tcPr>
          <w:p>
            <w:pPr>
              <w:pStyle w:val="0"/>
              <w:jc w:val="center"/>
            </w:pPr>
            <w:r>
              <w:rPr>
                <w:sz w:val="20"/>
              </w:rPr>
              <w:t xml:space="preserve">0,6</w:t>
            </w:r>
          </w:p>
        </w:tc>
        <w:tc>
          <w:tcPr>
            <w:tcW w:w="1757" w:type="dxa"/>
            <w:vAlign w:val="center"/>
          </w:tcPr>
          <w:p>
            <w:pPr>
              <w:pStyle w:val="0"/>
              <w:jc w:val="center"/>
            </w:pPr>
            <w:r>
              <w:rPr>
                <w:sz w:val="20"/>
              </w:rPr>
              <w:t xml:space="preserve">0,8</w:t>
            </w:r>
          </w:p>
        </w:tc>
      </w:tr>
      <w:tr>
        <w:tc>
          <w:tcPr>
            <w:tcW w:w="3855" w:type="dxa"/>
            <w:vAlign w:val="center"/>
          </w:tcPr>
          <w:p>
            <w:pPr>
              <w:pStyle w:val="0"/>
              <w:jc w:val="center"/>
            </w:pPr>
            <w:r>
              <w:rPr>
                <w:sz w:val="20"/>
              </w:rPr>
              <w:t xml:space="preserve">Более 4,0 до 6,0 включительно</w:t>
            </w:r>
          </w:p>
        </w:tc>
        <w:tc>
          <w:tcPr>
            <w:tcW w:w="1757" w:type="dxa"/>
            <w:vAlign w:val="center"/>
          </w:tcPr>
          <w:p>
            <w:pPr>
              <w:pStyle w:val="0"/>
              <w:jc w:val="center"/>
            </w:pPr>
            <w:r>
              <w:rPr>
                <w:sz w:val="20"/>
              </w:rPr>
              <w:t xml:space="preserve">0,6</w:t>
            </w:r>
          </w:p>
        </w:tc>
        <w:tc>
          <w:tcPr>
            <w:tcW w:w="1701" w:type="dxa"/>
            <w:vAlign w:val="center"/>
          </w:tcPr>
          <w:p>
            <w:pPr>
              <w:pStyle w:val="0"/>
              <w:jc w:val="center"/>
            </w:pPr>
            <w:r>
              <w:rPr>
                <w:sz w:val="20"/>
              </w:rPr>
              <w:t xml:space="preserve">0,8</w:t>
            </w:r>
          </w:p>
        </w:tc>
        <w:tc>
          <w:tcPr>
            <w:tcW w:w="1757" w:type="dxa"/>
            <w:vAlign w:val="center"/>
          </w:tcPr>
          <w:p>
            <w:pPr>
              <w:pStyle w:val="0"/>
              <w:jc w:val="center"/>
            </w:pPr>
            <w:r>
              <w:rPr>
                <w:sz w:val="20"/>
              </w:rPr>
              <w:t xml:space="preserve">1,0</w:t>
            </w:r>
          </w:p>
        </w:tc>
      </w:tr>
      <w:tr>
        <w:tc>
          <w:tcPr>
            <w:tcW w:w="3855" w:type="dxa"/>
            <w:vAlign w:val="center"/>
          </w:tcPr>
          <w:p>
            <w:pPr>
              <w:pStyle w:val="0"/>
              <w:jc w:val="center"/>
            </w:pPr>
            <w:r>
              <w:rPr>
                <w:sz w:val="20"/>
              </w:rPr>
              <w:t xml:space="preserve">Более 6,0 до 10,0 включительно</w:t>
            </w:r>
          </w:p>
        </w:tc>
        <w:tc>
          <w:tcPr>
            <w:tcW w:w="1757" w:type="dxa"/>
            <w:vAlign w:val="center"/>
          </w:tcPr>
          <w:p>
            <w:pPr>
              <w:pStyle w:val="0"/>
              <w:jc w:val="center"/>
            </w:pPr>
            <w:r>
              <w:rPr>
                <w:sz w:val="20"/>
              </w:rPr>
              <w:t xml:space="preserve">0,8</w:t>
            </w:r>
          </w:p>
        </w:tc>
        <w:tc>
          <w:tcPr>
            <w:tcW w:w="1701" w:type="dxa"/>
            <w:vAlign w:val="center"/>
          </w:tcPr>
          <w:p>
            <w:pPr>
              <w:pStyle w:val="0"/>
              <w:jc w:val="center"/>
            </w:pPr>
            <w:r>
              <w:rPr>
                <w:sz w:val="20"/>
              </w:rPr>
              <w:t xml:space="preserve">1,0</w:t>
            </w:r>
          </w:p>
        </w:tc>
        <w:tc>
          <w:tcPr>
            <w:tcW w:w="1757" w:type="dxa"/>
            <w:vAlign w:val="center"/>
          </w:tcPr>
          <w:p>
            <w:pPr>
              <w:pStyle w:val="0"/>
              <w:jc w:val="center"/>
            </w:pPr>
            <w:r>
              <w:rPr>
                <w:sz w:val="20"/>
              </w:rPr>
              <w:t xml:space="preserve">1,2</w:t>
            </w:r>
          </w:p>
        </w:tc>
      </w:tr>
      <w:tr>
        <w:tc>
          <w:tcPr>
            <w:tcW w:w="3855" w:type="dxa"/>
            <w:vAlign w:val="center"/>
          </w:tcPr>
          <w:p>
            <w:pPr>
              <w:pStyle w:val="0"/>
              <w:jc w:val="center"/>
            </w:pPr>
            <w:r>
              <w:rPr>
                <w:sz w:val="20"/>
              </w:rPr>
              <w:t xml:space="preserve">Более 10,0 до 15,0 включительно</w:t>
            </w:r>
          </w:p>
        </w:tc>
        <w:tc>
          <w:tcPr>
            <w:tcW w:w="1757" w:type="dxa"/>
            <w:vAlign w:val="center"/>
          </w:tcPr>
          <w:p>
            <w:pPr>
              <w:pStyle w:val="0"/>
              <w:jc w:val="center"/>
            </w:pPr>
            <w:r>
              <w:rPr>
                <w:sz w:val="20"/>
              </w:rPr>
              <w:t xml:space="preserve">1,0</w:t>
            </w:r>
          </w:p>
        </w:tc>
        <w:tc>
          <w:tcPr>
            <w:tcW w:w="1701" w:type="dxa"/>
            <w:vAlign w:val="center"/>
          </w:tcPr>
          <w:p>
            <w:pPr>
              <w:pStyle w:val="0"/>
              <w:jc w:val="center"/>
            </w:pPr>
            <w:r>
              <w:rPr>
                <w:sz w:val="20"/>
              </w:rPr>
              <w:t xml:space="preserve">1,2</w:t>
            </w:r>
          </w:p>
        </w:tc>
        <w:tc>
          <w:tcPr>
            <w:tcW w:w="1757" w:type="dxa"/>
            <w:vAlign w:val="center"/>
          </w:tcPr>
          <w:p>
            <w:pPr>
              <w:pStyle w:val="0"/>
              <w:jc w:val="center"/>
            </w:pPr>
            <w:r>
              <w:rPr>
                <w:sz w:val="20"/>
              </w:rPr>
              <w:t xml:space="preserve">1,5</w:t>
            </w:r>
          </w:p>
        </w:tc>
      </w:tr>
      <w:tr>
        <w:tc>
          <w:tcPr>
            <w:tcW w:w="3855" w:type="dxa"/>
            <w:vAlign w:val="center"/>
          </w:tcPr>
          <w:p>
            <w:pPr>
              <w:pStyle w:val="0"/>
              <w:jc w:val="center"/>
            </w:pPr>
            <w:r>
              <w:rPr>
                <w:sz w:val="20"/>
              </w:rPr>
              <w:t xml:space="preserve">Более 15,0</w:t>
            </w:r>
          </w:p>
        </w:tc>
        <w:tc>
          <w:tcPr>
            <w:tcW w:w="1757" w:type="dxa"/>
            <w:vAlign w:val="center"/>
          </w:tcPr>
          <w:p>
            <w:pPr>
              <w:pStyle w:val="0"/>
              <w:jc w:val="center"/>
            </w:pPr>
            <w:r>
              <w:rPr>
                <w:sz w:val="20"/>
              </w:rPr>
              <w:t xml:space="preserve">1,2</w:t>
            </w:r>
          </w:p>
        </w:tc>
        <w:tc>
          <w:tcPr>
            <w:tcW w:w="1701" w:type="dxa"/>
            <w:vAlign w:val="center"/>
          </w:tcPr>
          <w:p>
            <w:pPr>
              <w:pStyle w:val="0"/>
              <w:jc w:val="center"/>
            </w:pPr>
            <w:r>
              <w:rPr>
                <w:sz w:val="20"/>
              </w:rPr>
              <w:t xml:space="preserve">1,5</w:t>
            </w:r>
          </w:p>
        </w:tc>
        <w:tc>
          <w:tcPr>
            <w:tcW w:w="1757" w:type="dxa"/>
            <w:vAlign w:val="center"/>
          </w:tcPr>
          <w:p>
            <w:pPr>
              <w:pStyle w:val="0"/>
              <w:jc w:val="center"/>
            </w:pPr>
            <w:r>
              <w:rPr>
                <w:sz w:val="20"/>
              </w:rPr>
              <w:t xml:space="preserve">2,0</w:t>
            </w:r>
          </w:p>
        </w:tc>
      </w:tr>
    </w:tbl>
    <w:p>
      <w:pPr>
        <w:pStyle w:val="0"/>
        <w:jc w:val="both"/>
      </w:pPr>
      <w:r>
        <w:rPr>
          <w:sz w:val="20"/>
        </w:rPr>
      </w:r>
    </w:p>
    <w:bookmarkStart w:id="1419" w:name="P1419"/>
    <w:bookmarkEnd w:id="1419"/>
    <w:p>
      <w:pPr>
        <w:pStyle w:val="0"/>
        <w:ind w:firstLine="540"/>
        <w:jc w:val="both"/>
      </w:pPr>
      <w:r>
        <w:rPr>
          <w:sz w:val="20"/>
        </w:rPr>
        <w:t xml:space="preserve">3. На поверхности антикоррозионной наплавки допускаются одиночные включения размером не более 1,0 мм, если их число на любом участке размером 100,0 x 100,0 мм не превышает четырех.</w:t>
      </w:r>
    </w:p>
    <w:bookmarkStart w:id="1420" w:name="P1420"/>
    <w:bookmarkEnd w:id="1420"/>
    <w:p>
      <w:pPr>
        <w:pStyle w:val="0"/>
        <w:spacing w:before="200" w:line-rule="auto"/>
        <w:ind w:firstLine="540"/>
        <w:jc w:val="both"/>
      </w:pPr>
      <w:r>
        <w:rPr>
          <w:sz w:val="20"/>
        </w:rPr>
        <w:t xml:space="preserve">4. При проведении визуального контроля на поверхностях антикоррозионных наплавок включения с наибольшим фактическим размером до 0,2 мм не учитываются.</w:t>
      </w:r>
    </w:p>
    <w:p>
      <w:pPr>
        <w:pStyle w:val="0"/>
        <w:spacing w:before="200" w:line-rule="auto"/>
        <w:ind w:firstLine="540"/>
        <w:jc w:val="both"/>
      </w:pPr>
      <w:r>
        <w:rPr>
          <w:sz w:val="20"/>
        </w:rPr>
        <w:t xml:space="preserve">На поверхностях антикоррозионных наплавок высота (глубина) углубления между валиками не должна превышать 1,0 мм, а чешуйчатость - 0,5 мм.</w:t>
      </w:r>
    </w:p>
    <w:p>
      <w:pPr>
        <w:pStyle w:val="0"/>
        <w:spacing w:before="200" w:line-rule="auto"/>
        <w:ind w:firstLine="540"/>
        <w:jc w:val="both"/>
      </w:pPr>
      <w:r>
        <w:rPr>
          <w:sz w:val="20"/>
        </w:rPr>
        <w:t xml:space="preserve">При автоматической дуговой наплавке лентой на поверхностях антикоррозионных наплавок допускается несовпадение высоты двух соседних валиков в местах их сопряжения на величину, не превышающую 2,0 мм.</w:t>
      </w:r>
    </w:p>
    <w:p>
      <w:pPr>
        <w:pStyle w:val="0"/>
        <w:spacing w:before="200" w:line-rule="auto"/>
        <w:ind w:firstLine="540"/>
        <w:jc w:val="both"/>
      </w:pPr>
      <w:r>
        <w:rPr>
          <w:sz w:val="20"/>
        </w:rPr>
        <w:t xml:space="preserve">5. Формы и размеры конструкционных элементов выполненных швов (ширина и высота выпуклости шва, минимальное расстояние от края выпуклости шва до линии сплавления предварительной наплавки с основным металлом) должны удовлетворять требованиям федеральных норм и правил в области использования атомной энергии, регламентирующих выполнение сварки и наплавки оборудования и трубопроводов атомных энергетических установок.</w:t>
      </w:r>
    </w:p>
    <w:p>
      <w:pPr>
        <w:pStyle w:val="0"/>
        <w:spacing w:before="200" w:line-rule="auto"/>
        <w:ind w:firstLine="540"/>
        <w:jc w:val="both"/>
      </w:pPr>
      <w:r>
        <w:rPr>
          <w:sz w:val="20"/>
        </w:rPr>
        <w:t xml:space="preserve">6. При сварке поворотных стыков трубных деталей из стали без подкладных колец допускается сплошная или прерывистая вогнутость корня шва с внутренней стороны, размеры которой не превышают значений, приведенных в таблице N 4.3 настоящего приложения.</w:t>
      </w:r>
    </w:p>
    <w:p>
      <w:pPr>
        <w:pStyle w:val="0"/>
        <w:jc w:val="both"/>
      </w:pPr>
      <w:r>
        <w:rPr>
          <w:sz w:val="20"/>
        </w:rPr>
      </w:r>
    </w:p>
    <w:p>
      <w:pPr>
        <w:pStyle w:val="0"/>
        <w:outlineLvl w:val="3"/>
        <w:jc w:val="right"/>
      </w:pPr>
      <w:r>
        <w:rPr>
          <w:sz w:val="20"/>
        </w:rPr>
        <w:t xml:space="preserve">Таблица N 4.3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800"/>
        <w:gridCol w:w="4252"/>
      </w:tblGrid>
      <w:tr>
        <w:tc>
          <w:tcPr>
            <w:tcW w:w="4800" w:type="dxa"/>
          </w:tcPr>
          <w:p>
            <w:pPr>
              <w:pStyle w:val="0"/>
              <w:jc w:val="center"/>
            </w:pPr>
            <w:r>
              <w:rPr>
                <w:sz w:val="20"/>
              </w:rPr>
              <w:t xml:space="preserve">Номинальная толщина стенки сваренных труб (деталей), мм</w:t>
            </w:r>
          </w:p>
        </w:tc>
        <w:tc>
          <w:tcPr>
            <w:tcW w:w="4252" w:type="dxa"/>
          </w:tcPr>
          <w:p>
            <w:pPr>
              <w:pStyle w:val="0"/>
              <w:jc w:val="center"/>
            </w:pPr>
            <w:r>
              <w:rPr>
                <w:sz w:val="20"/>
              </w:rPr>
              <w:t xml:space="preserve">Допустимая высота (глубина) вогнутости корня шва, мм</w:t>
            </w:r>
          </w:p>
        </w:tc>
      </w:tr>
      <w:tr>
        <w:tc>
          <w:tcPr>
            <w:tcW w:w="4800" w:type="dxa"/>
            <w:vAlign w:val="center"/>
          </w:tcPr>
          <w:p>
            <w:pPr>
              <w:pStyle w:val="0"/>
              <w:jc w:val="center"/>
            </w:pPr>
            <w:r>
              <w:rPr>
                <w:sz w:val="20"/>
              </w:rPr>
              <w:t xml:space="preserve">От 1,0 до 1,8 включительно</w:t>
            </w:r>
          </w:p>
        </w:tc>
        <w:tc>
          <w:tcPr>
            <w:tcW w:w="4252" w:type="dxa"/>
            <w:vAlign w:val="center"/>
          </w:tcPr>
          <w:p>
            <w:pPr>
              <w:pStyle w:val="0"/>
              <w:jc w:val="center"/>
            </w:pPr>
            <w:r>
              <w:rPr>
                <w:sz w:val="20"/>
              </w:rPr>
              <w:t xml:space="preserve">0,2</w:t>
            </w:r>
          </w:p>
        </w:tc>
      </w:tr>
      <w:tr>
        <w:tc>
          <w:tcPr>
            <w:tcW w:w="4800" w:type="dxa"/>
            <w:vAlign w:val="center"/>
          </w:tcPr>
          <w:p>
            <w:pPr>
              <w:pStyle w:val="0"/>
              <w:jc w:val="center"/>
            </w:pPr>
            <w:r>
              <w:rPr>
                <w:sz w:val="20"/>
              </w:rPr>
              <w:t xml:space="preserve">Более 1,8 до 2,8 включительно</w:t>
            </w:r>
          </w:p>
        </w:tc>
        <w:tc>
          <w:tcPr>
            <w:tcW w:w="4252" w:type="dxa"/>
            <w:vAlign w:val="center"/>
          </w:tcPr>
          <w:p>
            <w:pPr>
              <w:pStyle w:val="0"/>
              <w:jc w:val="center"/>
            </w:pPr>
            <w:r>
              <w:rPr>
                <w:sz w:val="20"/>
              </w:rPr>
              <w:t xml:space="preserve">0,4</w:t>
            </w:r>
          </w:p>
        </w:tc>
      </w:tr>
      <w:tr>
        <w:tc>
          <w:tcPr>
            <w:tcW w:w="4800" w:type="dxa"/>
            <w:vAlign w:val="center"/>
          </w:tcPr>
          <w:p>
            <w:pPr>
              <w:pStyle w:val="0"/>
              <w:jc w:val="center"/>
            </w:pPr>
            <w:r>
              <w:rPr>
                <w:sz w:val="20"/>
              </w:rPr>
              <w:t xml:space="preserve">Более 2,8 до 4,0 включительно</w:t>
            </w:r>
          </w:p>
        </w:tc>
        <w:tc>
          <w:tcPr>
            <w:tcW w:w="4252" w:type="dxa"/>
            <w:vAlign w:val="center"/>
          </w:tcPr>
          <w:p>
            <w:pPr>
              <w:pStyle w:val="0"/>
              <w:jc w:val="center"/>
            </w:pPr>
            <w:r>
              <w:rPr>
                <w:sz w:val="20"/>
              </w:rPr>
              <w:t xml:space="preserve">0,6</w:t>
            </w:r>
          </w:p>
        </w:tc>
      </w:tr>
      <w:tr>
        <w:tc>
          <w:tcPr>
            <w:tcW w:w="4800" w:type="dxa"/>
            <w:vAlign w:val="center"/>
          </w:tcPr>
          <w:p>
            <w:pPr>
              <w:pStyle w:val="0"/>
              <w:jc w:val="center"/>
            </w:pPr>
            <w:r>
              <w:rPr>
                <w:sz w:val="20"/>
              </w:rPr>
              <w:t xml:space="preserve">Более 4,0 до 6,0 включительно</w:t>
            </w:r>
          </w:p>
        </w:tc>
        <w:tc>
          <w:tcPr>
            <w:tcW w:w="4252" w:type="dxa"/>
            <w:vAlign w:val="center"/>
          </w:tcPr>
          <w:p>
            <w:pPr>
              <w:pStyle w:val="0"/>
              <w:jc w:val="center"/>
            </w:pPr>
            <w:r>
              <w:rPr>
                <w:sz w:val="20"/>
              </w:rPr>
              <w:t xml:space="preserve">0,8</w:t>
            </w:r>
          </w:p>
        </w:tc>
      </w:tr>
      <w:tr>
        <w:tc>
          <w:tcPr>
            <w:tcW w:w="4800" w:type="dxa"/>
            <w:vAlign w:val="center"/>
          </w:tcPr>
          <w:p>
            <w:pPr>
              <w:pStyle w:val="0"/>
              <w:jc w:val="center"/>
            </w:pPr>
            <w:r>
              <w:rPr>
                <w:sz w:val="20"/>
              </w:rPr>
              <w:t xml:space="preserve">Более 6,0 до 8,0 включительно</w:t>
            </w:r>
          </w:p>
        </w:tc>
        <w:tc>
          <w:tcPr>
            <w:tcW w:w="4252" w:type="dxa"/>
            <w:vAlign w:val="center"/>
          </w:tcPr>
          <w:p>
            <w:pPr>
              <w:pStyle w:val="0"/>
              <w:jc w:val="center"/>
            </w:pPr>
            <w:r>
              <w:rPr>
                <w:sz w:val="20"/>
              </w:rPr>
              <w:t xml:space="preserve">1,0</w:t>
            </w:r>
          </w:p>
        </w:tc>
      </w:tr>
      <w:tr>
        <w:tc>
          <w:tcPr>
            <w:tcW w:w="4800" w:type="dxa"/>
            <w:vAlign w:val="center"/>
          </w:tcPr>
          <w:p>
            <w:pPr>
              <w:pStyle w:val="0"/>
              <w:jc w:val="center"/>
            </w:pPr>
            <w:r>
              <w:rPr>
                <w:sz w:val="20"/>
              </w:rPr>
              <w:t xml:space="preserve">Более 8,0 до 12,0 включительно</w:t>
            </w:r>
          </w:p>
        </w:tc>
        <w:tc>
          <w:tcPr>
            <w:tcW w:w="4252" w:type="dxa"/>
            <w:vAlign w:val="center"/>
          </w:tcPr>
          <w:p>
            <w:pPr>
              <w:pStyle w:val="0"/>
              <w:jc w:val="center"/>
            </w:pPr>
            <w:r>
              <w:rPr>
                <w:sz w:val="20"/>
              </w:rPr>
              <w:t xml:space="preserve">1,2</w:t>
            </w:r>
          </w:p>
        </w:tc>
      </w:tr>
      <w:tr>
        <w:tc>
          <w:tcPr>
            <w:tcW w:w="4800" w:type="dxa"/>
            <w:vAlign w:val="center"/>
          </w:tcPr>
          <w:p>
            <w:pPr>
              <w:pStyle w:val="0"/>
              <w:jc w:val="center"/>
            </w:pPr>
            <w:r>
              <w:rPr>
                <w:sz w:val="20"/>
              </w:rPr>
              <w:t xml:space="preserve">Более 12,0</w:t>
            </w:r>
          </w:p>
        </w:tc>
        <w:tc>
          <w:tcPr>
            <w:tcW w:w="4252" w:type="dxa"/>
            <w:vAlign w:val="center"/>
          </w:tcPr>
          <w:p>
            <w:pPr>
              <w:pStyle w:val="0"/>
              <w:jc w:val="center"/>
            </w:pPr>
            <w:r>
              <w:rPr>
                <w:sz w:val="20"/>
              </w:rPr>
              <w:t xml:space="preserve">1,5</w:t>
            </w:r>
          </w:p>
        </w:tc>
      </w:tr>
    </w:tbl>
    <w:p>
      <w:pPr>
        <w:pStyle w:val="0"/>
        <w:jc w:val="both"/>
      </w:pPr>
      <w:r>
        <w:rPr>
          <w:sz w:val="20"/>
        </w:rPr>
      </w:r>
    </w:p>
    <w:p>
      <w:pPr>
        <w:pStyle w:val="0"/>
        <w:ind w:firstLine="540"/>
        <w:jc w:val="both"/>
      </w:pPr>
      <w:r>
        <w:rPr>
          <w:sz w:val="20"/>
        </w:rPr>
        <w:t xml:space="preserve">7. При сварке неповоротных стыков труб из стали без подкладных колец допускается вогнутость корня шва с внутренней стороны, размеры которой не превышают значений, приведенных в таблице N 4.4 настоящего приложения.</w:t>
      </w:r>
    </w:p>
    <w:p>
      <w:pPr>
        <w:pStyle w:val="0"/>
        <w:jc w:val="both"/>
      </w:pPr>
      <w:r>
        <w:rPr>
          <w:sz w:val="20"/>
        </w:rPr>
      </w:r>
    </w:p>
    <w:p>
      <w:pPr>
        <w:pStyle w:val="0"/>
        <w:outlineLvl w:val="3"/>
        <w:jc w:val="right"/>
      </w:pPr>
      <w:r>
        <w:rPr>
          <w:sz w:val="20"/>
        </w:rPr>
        <w:t xml:space="preserve">Таблица N 4.4</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581"/>
        <w:gridCol w:w="5499"/>
      </w:tblGrid>
      <w:tr>
        <w:tc>
          <w:tcPr>
            <w:tcW w:w="3581" w:type="dxa"/>
          </w:tcPr>
          <w:p>
            <w:pPr>
              <w:pStyle w:val="0"/>
              <w:jc w:val="center"/>
            </w:pPr>
            <w:r>
              <w:rPr>
                <w:sz w:val="20"/>
              </w:rPr>
              <w:t xml:space="preserve">Номинальная толщина стенки сваренных труб (деталей), S, мм</w:t>
            </w:r>
          </w:p>
        </w:tc>
        <w:tc>
          <w:tcPr>
            <w:tcW w:w="5499" w:type="dxa"/>
          </w:tcPr>
          <w:p>
            <w:pPr>
              <w:pStyle w:val="0"/>
              <w:jc w:val="center"/>
            </w:pPr>
            <w:r>
              <w:rPr>
                <w:sz w:val="20"/>
              </w:rPr>
              <w:t xml:space="preserve">Допустимая максимальная высота (глубина) вогнутости корня шва, мм</w:t>
            </w:r>
          </w:p>
        </w:tc>
      </w:tr>
      <w:tr>
        <w:tc>
          <w:tcPr>
            <w:tcW w:w="3581" w:type="dxa"/>
            <w:vAlign w:val="center"/>
          </w:tcPr>
          <w:p>
            <w:pPr>
              <w:pStyle w:val="0"/>
              <w:jc w:val="center"/>
            </w:pPr>
            <w:r>
              <w:rPr>
                <w:sz w:val="20"/>
              </w:rPr>
              <w:t xml:space="preserve">От 1,0 до 1,8 включительно</w:t>
            </w:r>
          </w:p>
        </w:tc>
        <w:tc>
          <w:tcPr>
            <w:tcW w:w="5499" w:type="dxa"/>
            <w:vAlign w:val="center"/>
          </w:tcPr>
          <w:p>
            <w:pPr>
              <w:pStyle w:val="0"/>
              <w:jc w:val="center"/>
            </w:pPr>
            <w:r>
              <w:rPr>
                <w:sz w:val="20"/>
              </w:rPr>
              <w:t xml:space="preserve">0,4</w:t>
            </w:r>
          </w:p>
        </w:tc>
      </w:tr>
      <w:tr>
        <w:tc>
          <w:tcPr>
            <w:tcW w:w="3581" w:type="dxa"/>
            <w:vAlign w:val="center"/>
          </w:tcPr>
          <w:p>
            <w:pPr>
              <w:pStyle w:val="0"/>
              <w:jc w:val="center"/>
            </w:pPr>
            <w:r>
              <w:rPr>
                <w:sz w:val="20"/>
              </w:rPr>
              <w:t xml:space="preserve">Более 1,8 до 2,8 включительно</w:t>
            </w:r>
          </w:p>
        </w:tc>
        <w:tc>
          <w:tcPr>
            <w:tcW w:w="5499" w:type="dxa"/>
            <w:vAlign w:val="center"/>
          </w:tcPr>
          <w:p>
            <w:pPr>
              <w:pStyle w:val="0"/>
              <w:jc w:val="center"/>
            </w:pPr>
            <w:r>
              <w:rPr>
                <w:sz w:val="20"/>
              </w:rPr>
              <w:t xml:space="preserve">0,6</w:t>
            </w:r>
          </w:p>
        </w:tc>
      </w:tr>
      <w:tr>
        <w:tc>
          <w:tcPr>
            <w:tcW w:w="3581" w:type="dxa"/>
            <w:vAlign w:val="center"/>
          </w:tcPr>
          <w:p>
            <w:pPr>
              <w:pStyle w:val="0"/>
              <w:jc w:val="center"/>
            </w:pPr>
            <w:r>
              <w:rPr>
                <w:sz w:val="20"/>
              </w:rPr>
              <w:t xml:space="preserve">Более 2,8 до 4,0 включительно</w:t>
            </w:r>
          </w:p>
        </w:tc>
        <w:tc>
          <w:tcPr>
            <w:tcW w:w="5499" w:type="dxa"/>
            <w:vAlign w:val="center"/>
          </w:tcPr>
          <w:p>
            <w:pPr>
              <w:pStyle w:val="0"/>
              <w:jc w:val="center"/>
            </w:pPr>
            <w:r>
              <w:rPr>
                <w:sz w:val="20"/>
              </w:rPr>
              <w:t xml:space="preserve">0,8</w:t>
            </w:r>
          </w:p>
        </w:tc>
      </w:tr>
      <w:tr>
        <w:tc>
          <w:tcPr>
            <w:tcW w:w="3581" w:type="dxa"/>
            <w:vAlign w:val="center"/>
          </w:tcPr>
          <w:p>
            <w:pPr>
              <w:pStyle w:val="0"/>
              <w:jc w:val="center"/>
            </w:pPr>
            <w:r>
              <w:rPr>
                <w:sz w:val="20"/>
              </w:rPr>
              <w:t xml:space="preserve">Более 4,0 до 6,0 включительно</w:t>
            </w:r>
          </w:p>
        </w:tc>
        <w:tc>
          <w:tcPr>
            <w:tcW w:w="5499" w:type="dxa"/>
            <w:vAlign w:val="center"/>
          </w:tcPr>
          <w:p>
            <w:pPr>
              <w:pStyle w:val="0"/>
              <w:jc w:val="center"/>
            </w:pPr>
            <w:r>
              <w:rPr>
                <w:sz w:val="20"/>
              </w:rPr>
              <w:t xml:space="preserve">1,0</w:t>
            </w:r>
          </w:p>
        </w:tc>
      </w:tr>
      <w:tr>
        <w:tc>
          <w:tcPr>
            <w:tcW w:w="3581" w:type="dxa"/>
            <w:vAlign w:val="center"/>
          </w:tcPr>
          <w:p>
            <w:pPr>
              <w:pStyle w:val="0"/>
              <w:jc w:val="center"/>
            </w:pPr>
            <w:r>
              <w:rPr>
                <w:sz w:val="20"/>
              </w:rPr>
              <w:t xml:space="preserve">Более 6,0 до 8,0 включительно</w:t>
            </w:r>
          </w:p>
        </w:tc>
        <w:tc>
          <w:tcPr>
            <w:tcW w:w="5499" w:type="dxa"/>
            <w:vAlign w:val="center"/>
          </w:tcPr>
          <w:p>
            <w:pPr>
              <w:pStyle w:val="0"/>
              <w:jc w:val="center"/>
            </w:pPr>
            <w:r>
              <w:rPr>
                <w:sz w:val="20"/>
              </w:rPr>
              <w:t xml:space="preserve">1,2</w:t>
            </w:r>
          </w:p>
        </w:tc>
      </w:tr>
      <w:tr>
        <w:tc>
          <w:tcPr>
            <w:tcW w:w="3581" w:type="dxa"/>
            <w:vAlign w:val="center"/>
          </w:tcPr>
          <w:p>
            <w:pPr>
              <w:pStyle w:val="0"/>
              <w:jc w:val="center"/>
            </w:pPr>
            <w:r>
              <w:rPr>
                <w:sz w:val="20"/>
              </w:rPr>
              <w:t xml:space="preserve">Более 8,0</w:t>
            </w:r>
          </w:p>
        </w:tc>
        <w:tc>
          <w:tcPr>
            <w:tcW w:w="5499" w:type="dxa"/>
            <w:vAlign w:val="center"/>
          </w:tcPr>
          <w:p>
            <w:pPr>
              <w:pStyle w:val="0"/>
              <w:jc w:val="both"/>
            </w:pPr>
            <w:r>
              <w:rPr>
                <w:sz w:val="20"/>
              </w:rPr>
              <w:t xml:space="preserve">0,15S, но не более 1,6 мм при условии увеличения усиления шва на 1,0 мм от номинального размера</w:t>
            </w:r>
          </w:p>
        </w:tc>
      </w:tr>
    </w:tbl>
    <w:p>
      <w:pPr>
        <w:pStyle w:val="0"/>
        <w:jc w:val="both"/>
      </w:pPr>
      <w:r>
        <w:rPr>
          <w:sz w:val="20"/>
        </w:rPr>
      </w:r>
    </w:p>
    <w:p>
      <w:pPr>
        <w:pStyle w:val="0"/>
        <w:ind w:firstLine="540"/>
        <w:jc w:val="both"/>
      </w:pPr>
      <w:r>
        <w:rPr>
          <w:sz w:val="20"/>
        </w:rPr>
        <w:t xml:space="preserve">8. Размеры сплошной или прерывистой выпуклости корня шва при односторонней сварке стальных труб без подкладных колец должны удовлетворять нормам, приведенным в таблице N 4.5 настоящего приложения.</w:t>
      </w:r>
    </w:p>
    <w:p>
      <w:pPr>
        <w:pStyle w:val="0"/>
        <w:jc w:val="both"/>
      </w:pPr>
      <w:r>
        <w:rPr>
          <w:sz w:val="20"/>
        </w:rPr>
      </w:r>
    </w:p>
    <w:p>
      <w:pPr>
        <w:pStyle w:val="0"/>
        <w:outlineLvl w:val="3"/>
        <w:jc w:val="right"/>
      </w:pPr>
      <w:r>
        <w:rPr>
          <w:sz w:val="20"/>
        </w:rPr>
        <w:t xml:space="preserve">Таблица N 4.5</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14"/>
        <w:gridCol w:w="4365"/>
      </w:tblGrid>
      <w:tr>
        <w:tc>
          <w:tcPr>
            <w:tcW w:w="4714" w:type="dxa"/>
          </w:tcPr>
          <w:p>
            <w:pPr>
              <w:pStyle w:val="0"/>
              <w:jc w:val="center"/>
            </w:pPr>
            <w:r>
              <w:rPr>
                <w:sz w:val="20"/>
              </w:rPr>
              <w:t xml:space="preserve">Номинальный внутренний диаметр трубы, мм</w:t>
            </w:r>
          </w:p>
        </w:tc>
        <w:tc>
          <w:tcPr>
            <w:tcW w:w="4365" w:type="dxa"/>
          </w:tcPr>
          <w:p>
            <w:pPr>
              <w:pStyle w:val="0"/>
              <w:jc w:val="center"/>
            </w:pPr>
            <w:r>
              <w:rPr>
                <w:sz w:val="20"/>
              </w:rPr>
              <w:t xml:space="preserve">Размер выпуклости (не более), мм</w:t>
            </w:r>
          </w:p>
        </w:tc>
      </w:tr>
      <w:tr>
        <w:tc>
          <w:tcPr>
            <w:tcW w:w="4714" w:type="dxa"/>
            <w:vAlign w:val="center"/>
          </w:tcPr>
          <w:p>
            <w:pPr>
              <w:pStyle w:val="0"/>
              <w:jc w:val="center"/>
            </w:pPr>
            <w:r>
              <w:rPr>
                <w:sz w:val="20"/>
              </w:rPr>
              <w:t xml:space="preserve">До 25,0 включительно</w:t>
            </w:r>
          </w:p>
        </w:tc>
        <w:tc>
          <w:tcPr>
            <w:tcW w:w="4365" w:type="dxa"/>
            <w:vAlign w:val="center"/>
          </w:tcPr>
          <w:p>
            <w:pPr>
              <w:pStyle w:val="0"/>
              <w:jc w:val="center"/>
            </w:pPr>
            <w:r>
              <w:rPr>
                <w:sz w:val="20"/>
              </w:rPr>
              <w:t xml:space="preserve">1,5</w:t>
            </w:r>
          </w:p>
        </w:tc>
      </w:tr>
      <w:tr>
        <w:tc>
          <w:tcPr>
            <w:tcW w:w="4714" w:type="dxa"/>
            <w:vAlign w:val="center"/>
          </w:tcPr>
          <w:p>
            <w:pPr>
              <w:pStyle w:val="0"/>
              <w:jc w:val="center"/>
            </w:pPr>
            <w:r>
              <w:rPr>
                <w:sz w:val="20"/>
              </w:rPr>
              <w:t xml:space="preserve">Более 25,0 до 150,0 включительно</w:t>
            </w:r>
          </w:p>
        </w:tc>
        <w:tc>
          <w:tcPr>
            <w:tcW w:w="4365" w:type="dxa"/>
            <w:vAlign w:val="center"/>
          </w:tcPr>
          <w:p>
            <w:pPr>
              <w:pStyle w:val="0"/>
              <w:jc w:val="center"/>
            </w:pPr>
            <w:r>
              <w:rPr>
                <w:sz w:val="20"/>
              </w:rPr>
              <w:t xml:space="preserve">2,0</w:t>
            </w:r>
          </w:p>
        </w:tc>
      </w:tr>
      <w:tr>
        <w:tc>
          <w:tcPr>
            <w:tcW w:w="4714" w:type="dxa"/>
            <w:vAlign w:val="center"/>
          </w:tcPr>
          <w:p>
            <w:pPr>
              <w:pStyle w:val="0"/>
              <w:jc w:val="center"/>
            </w:pPr>
            <w:r>
              <w:rPr>
                <w:sz w:val="20"/>
              </w:rPr>
              <w:t xml:space="preserve">Более 150,0</w:t>
            </w:r>
          </w:p>
        </w:tc>
        <w:tc>
          <w:tcPr>
            <w:tcW w:w="4365" w:type="dxa"/>
            <w:vAlign w:val="center"/>
          </w:tcPr>
          <w:p>
            <w:pPr>
              <w:pStyle w:val="0"/>
              <w:jc w:val="center"/>
            </w:pPr>
            <w:r>
              <w:rPr>
                <w:sz w:val="20"/>
              </w:rPr>
              <w:t xml:space="preserve">2,5</w:t>
            </w:r>
          </w:p>
        </w:tc>
      </w:tr>
    </w:tbl>
    <w:p>
      <w:pPr>
        <w:pStyle w:val="0"/>
        <w:jc w:val="both"/>
      </w:pPr>
      <w:r>
        <w:rPr>
          <w:sz w:val="20"/>
        </w:rPr>
      </w:r>
    </w:p>
    <w:p>
      <w:pPr>
        <w:pStyle w:val="0"/>
        <w:ind w:firstLine="540"/>
        <w:jc w:val="both"/>
      </w:pPr>
      <w:r>
        <w:rPr>
          <w:sz w:val="20"/>
        </w:rPr>
        <w:t xml:space="preserve">9. При измерениях толщины антикоррозионной наплавки или предварительной наплавки на кромках деталей допустимые западания между валиками не учитываются.</w:t>
      </w:r>
    </w:p>
    <w:p>
      <w:pPr>
        <w:pStyle w:val="0"/>
        <w:spacing w:before="200" w:line-rule="auto"/>
        <w:ind w:firstLine="540"/>
        <w:jc w:val="both"/>
      </w:pPr>
      <w:r>
        <w:rPr>
          <w:sz w:val="20"/>
        </w:rPr>
        <w:t xml:space="preserve">10. Нормы допустимых одиночных поверхностных включений и отклонений от геометрических размеров сварных соединений деталей и сборочных единиц из алюминиевых сплавов приведены в таблице N 4.6 настоящего приложения.</w:t>
      </w:r>
    </w:p>
    <w:p>
      <w:pPr>
        <w:pStyle w:val="0"/>
        <w:jc w:val="both"/>
      </w:pPr>
      <w:r>
        <w:rPr>
          <w:sz w:val="20"/>
        </w:rPr>
      </w:r>
    </w:p>
    <w:p>
      <w:pPr>
        <w:pStyle w:val="0"/>
        <w:outlineLvl w:val="3"/>
        <w:jc w:val="right"/>
      </w:pPr>
      <w:r>
        <w:rPr>
          <w:sz w:val="20"/>
        </w:rPr>
        <w:t xml:space="preserve">Таблица N 4.6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46"/>
        <w:gridCol w:w="1272"/>
        <w:gridCol w:w="2665"/>
        <w:gridCol w:w="1699"/>
        <w:gridCol w:w="1871"/>
      </w:tblGrid>
      <w:tr>
        <w:tc>
          <w:tcPr>
            <w:tcW w:w="1546" w:type="dxa"/>
          </w:tcPr>
          <w:p>
            <w:pPr>
              <w:pStyle w:val="0"/>
              <w:jc w:val="center"/>
            </w:pPr>
            <w:r>
              <w:rPr>
                <w:sz w:val="20"/>
              </w:rPr>
              <w:t xml:space="preserve">Наименование</w:t>
            </w:r>
          </w:p>
        </w:tc>
        <w:tc>
          <w:tcPr>
            <w:tcW w:w="1272" w:type="dxa"/>
          </w:tcPr>
          <w:p>
            <w:pPr>
              <w:pStyle w:val="0"/>
              <w:jc w:val="center"/>
            </w:pPr>
            <w:r>
              <w:rPr>
                <w:sz w:val="20"/>
              </w:rPr>
              <w:t xml:space="preserve">Категория сварного соединения</w:t>
            </w:r>
          </w:p>
        </w:tc>
        <w:tc>
          <w:tcPr>
            <w:tcW w:w="2665" w:type="dxa"/>
          </w:tcPr>
          <w:p>
            <w:pPr>
              <w:pStyle w:val="0"/>
              <w:jc w:val="center"/>
            </w:pPr>
            <w:r>
              <w:rPr>
                <w:sz w:val="20"/>
              </w:rPr>
              <w:t xml:space="preserve">Номинальная толщина и диаметр сваренных деталей,</w:t>
            </w:r>
          </w:p>
          <w:p>
            <w:pPr>
              <w:pStyle w:val="0"/>
              <w:jc w:val="center"/>
            </w:pPr>
            <w:r>
              <w:rPr>
                <w:sz w:val="20"/>
              </w:rPr>
              <w:t xml:space="preserve">мм</w:t>
            </w:r>
          </w:p>
        </w:tc>
        <w:tc>
          <w:tcPr>
            <w:tcW w:w="1699" w:type="dxa"/>
          </w:tcPr>
          <w:p>
            <w:pPr>
              <w:pStyle w:val="0"/>
              <w:jc w:val="center"/>
            </w:pPr>
            <w:r>
              <w:rPr>
                <w:sz w:val="20"/>
              </w:rPr>
              <w:t xml:space="preserve">Размер несплошности,</w:t>
            </w:r>
          </w:p>
          <w:p>
            <w:pPr>
              <w:pStyle w:val="0"/>
              <w:jc w:val="center"/>
            </w:pPr>
            <w:r>
              <w:rPr>
                <w:sz w:val="20"/>
              </w:rPr>
              <w:t xml:space="preserve">мм</w:t>
            </w:r>
          </w:p>
        </w:tc>
        <w:tc>
          <w:tcPr>
            <w:tcW w:w="1871" w:type="dxa"/>
          </w:tcPr>
          <w:p>
            <w:pPr>
              <w:pStyle w:val="0"/>
              <w:jc w:val="center"/>
            </w:pPr>
            <w:r>
              <w:rPr>
                <w:sz w:val="20"/>
              </w:rPr>
              <w:t xml:space="preserve">Число несплошностей или их суммарная протяженность</w:t>
            </w:r>
          </w:p>
        </w:tc>
      </w:tr>
      <w:tr>
        <w:tc>
          <w:tcPr>
            <w:tcW w:w="1546" w:type="dxa"/>
            <w:vAlign w:val="center"/>
            <w:vMerge w:val="restart"/>
          </w:tcPr>
          <w:p>
            <w:pPr>
              <w:pStyle w:val="0"/>
              <w:jc w:val="center"/>
            </w:pPr>
            <w:r>
              <w:rPr>
                <w:sz w:val="20"/>
              </w:rPr>
              <w:t xml:space="preserve">Подрезы основного металла</w:t>
            </w:r>
          </w:p>
        </w:tc>
        <w:tc>
          <w:tcPr>
            <w:tcW w:w="1272" w:type="dxa"/>
            <w:vAlign w:val="center"/>
            <w:vMerge w:val="restart"/>
          </w:tcPr>
          <w:p>
            <w:pPr>
              <w:pStyle w:val="0"/>
              <w:jc w:val="center"/>
            </w:pPr>
            <w:r>
              <w:rPr>
                <w:sz w:val="20"/>
              </w:rPr>
              <w:t xml:space="preserve">I, II, III</w:t>
            </w:r>
          </w:p>
        </w:tc>
        <w:tc>
          <w:tcPr>
            <w:tcW w:w="2665" w:type="dxa"/>
            <w:vAlign w:val="center"/>
            <w:vMerge w:val="restart"/>
          </w:tcPr>
          <w:p>
            <w:pPr>
              <w:pStyle w:val="0"/>
              <w:jc w:val="center"/>
            </w:pPr>
            <w:r>
              <w:rPr>
                <w:sz w:val="20"/>
              </w:rPr>
              <w:t xml:space="preserve">все толщины</w:t>
            </w:r>
          </w:p>
        </w:tc>
        <w:tc>
          <w:tcPr>
            <w:gridSpan w:val="2"/>
            <w:tcW w:w="3570" w:type="dxa"/>
            <w:vAlign w:val="center"/>
          </w:tcPr>
          <w:p>
            <w:pPr>
              <w:pStyle w:val="0"/>
              <w:jc w:val="center"/>
            </w:pPr>
            <w:r>
              <w:rPr>
                <w:sz w:val="20"/>
              </w:rPr>
              <w:t xml:space="preserve">не допускается</w:t>
            </w:r>
          </w:p>
        </w:tc>
      </w:tr>
      <w:tr>
        <w:tc>
          <w:tcPr>
            <w:vMerge w:val="continue"/>
          </w:tcPr>
          <w:p/>
        </w:tc>
        <w:tc>
          <w:tcPr>
            <w:vMerge w:val="continue"/>
          </w:tcPr>
          <w:p/>
        </w:tc>
        <w:tc>
          <w:tcPr>
            <w:vMerge w:val="continue"/>
          </w:tcPr>
          <w:p/>
        </w:tc>
        <w:tc>
          <w:tcPr>
            <w:tcW w:w="1699" w:type="dxa"/>
            <w:vAlign w:val="center"/>
          </w:tcPr>
          <w:p>
            <w:pPr>
              <w:pStyle w:val="0"/>
              <w:jc w:val="center"/>
            </w:pPr>
            <w:r>
              <w:rPr>
                <w:sz w:val="20"/>
              </w:rPr>
              <w:t xml:space="preserve">0,1S, но не более 0,5</w:t>
            </w:r>
          </w:p>
        </w:tc>
        <w:tc>
          <w:tcPr>
            <w:tcW w:w="1871" w:type="dxa"/>
            <w:vAlign w:val="center"/>
          </w:tcPr>
          <w:p>
            <w:pPr>
              <w:pStyle w:val="0"/>
              <w:jc w:val="center"/>
            </w:pPr>
            <w:r>
              <w:rPr>
                <w:sz w:val="20"/>
              </w:rPr>
              <w:t xml:space="preserve">10% длины контролируемого сварного шва с длиной отдельных участков не более 50,0 мм на любых 100,0 мм контролируем ого участка</w:t>
            </w:r>
          </w:p>
        </w:tc>
      </w:tr>
      <w:tr>
        <w:tc>
          <w:tcPr>
            <w:tcW w:w="1546" w:type="dxa"/>
            <w:vAlign w:val="center"/>
            <w:vMerge w:val="restart"/>
          </w:tcPr>
          <w:p>
            <w:pPr>
              <w:pStyle w:val="0"/>
              <w:jc w:val="center"/>
            </w:pPr>
            <w:r>
              <w:rPr>
                <w:sz w:val="20"/>
              </w:rPr>
              <w:t xml:space="preserve">Западания между валиками и основным металлом, бугристость и чешуйчатость</w:t>
            </w:r>
          </w:p>
        </w:tc>
        <w:tc>
          <w:tcPr>
            <w:tcW w:w="1272" w:type="dxa"/>
            <w:vAlign w:val="center"/>
            <w:vMerge w:val="restart"/>
          </w:tcPr>
          <w:p>
            <w:pPr>
              <w:pStyle w:val="0"/>
              <w:jc w:val="center"/>
            </w:pPr>
            <w:r>
              <w:rPr>
                <w:sz w:val="20"/>
              </w:rPr>
              <w:t xml:space="preserve">I, II, III</w:t>
            </w:r>
          </w:p>
        </w:tc>
        <w:tc>
          <w:tcPr>
            <w:tcW w:w="2665" w:type="dxa"/>
            <w:vAlign w:val="center"/>
          </w:tcPr>
          <w:p>
            <w:pPr>
              <w:pStyle w:val="0"/>
              <w:jc w:val="center"/>
            </w:pPr>
            <w:r>
              <w:rPr>
                <w:sz w:val="20"/>
              </w:rPr>
              <w:t xml:space="preserve">все толщины</w:t>
            </w:r>
          </w:p>
        </w:tc>
        <w:tc>
          <w:tcPr>
            <w:tcW w:w="1699" w:type="dxa"/>
            <w:vAlign w:val="center"/>
          </w:tcPr>
          <w:p>
            <w:pPr>
              <w:pStyle w:val="0"/>
              <w:jc w:val="center"/>
            </w:pPr>
            <w:r>
              <w:rPr>
                <w:sz w:val="20"/>
              </w:rPr>
              <w:t xml:space="preserve">0,1S, но не более 0,8</w:t>
            </w:r>
          </w:p>
        </w:tc>
        <w:tc>
          <w:tcPr>
            <w:tcW w:w="1871" w:type="dxa"/>
            <w:vAlign w:val="center"/>
            <w:vMerge w:val="restart"/>
          </w:tcPr>
          <w:p>
            <w:pPr>
              <w:pStyle w:val="0"/>
              <w:jc w:val="center"/>
            </w:pPr>
            <w:r>
              <w:rPr>
                <w:sz w:val="20"/>
              </w:rPr>
              <w:t xml:space="preserve">- </w:t>
            </w:r>
            <w:hyperlink w:history="0" w:anchor="P1558" w:tooltip="&lt;*&gt; Не регламентируется.">
              <w:r>
                <w:rPr>
                  <w:sz w:val="20"/>
                  <w:color w:val="0000ff"/>
                </w:rPr>
                <w:t xml:space="preserve">&lt;*&gt;</w:t>
              </w:r>
            </w:hyperlink>
          </w:p>
        </w:tc>
      </w:tr>
      <w:tr>
        <w:tc>
          <w:tcPr>
            <w:vMerge w:val="continue"/>
          </w:tcPr>
          <w:p/>
        </w:tc>
        <w:tc>
          <w:tcPr>
            <w:vMerge w:val="continue"/>
          </w:tcPr>
          <w:p/>
        </w:tc>
        <w:tc>
          <w:tcPr>
            <w:tcW w:w="2665" w:type="dxa"/>
            <w:vAlign w:val="center"/>
          </w:tcPr>
          <w:p>
            <w:pPr>
              <w:pStyle w:val="0"/>
              <w:jc w:val="center"/>
            </w:pPr>
            <w:r>
              <w:rPr>
                <w:sz w:val="20"/>
              </w:rPr>
              <w:t xml:space="preserve">до 10,0 включительно</w:t>
            </w:r>
          </w:p>
        </w:tc>
        <w:tc>
          <w:tcPr>
            <w:tcW w:w="1699" w:type="dxa"/>
            <w:vAlign w:val="center"/>
          </w:tcPr>
          <w:p>
            <w:pPr>
              <w:pStyle w:val="0"/>
              <w:jc w:val="center"/>
            </w:pPr>
            <w:r>
              <w:rPr>
                <w:sz w:val="20"/>
              </w:rPr>
              <w:t xml:space="preserve">не более 1,0</w:t>
            </w:r>
          </w:p>
        </w:tc>
        <w:tc>
          <w:tcPr>
            <w:vMerge w:val="continue"/>
          </w:tcPr>
          <w:p/>
        </w:tc>
      </w:tr>
      <w:tr>
        <w:tc>
          <w:tcPr>
            <w:vMerge w:val="continue"/>
          </w:tcPr>
          <w:p/>
        </w:tc>
        <w:tc>
          <w:tcPr>
            <w:tcW w:w="1272" w:type="dxa"/>
            <w:vAlign w:val="center"/>
            <w:vMerge w:val="restart"/>
          </w:tcPr>
          <w:p>
            <w:pPr>
              <w:pStyle w:val="0"/>
              <w:jc w:val="center"/>
            </w:pPr>
            <w:r>
              <w:rPr>
                <w:sz w:val="20"/>
              </w:rPr>
              <w:t xml:space="preserve">II, III</w:t>
            </w:r>
          </w:p>
        </w:tc>
        <w:tc>
          <w:tcPr>
            <w:tcW w:w="2665" w:type="dxa"/>
            <w:vAlign w:val="center"/>
          </w:tcPr>
          <w:p>
            <w:pPr>
              <w:pStyle w:val="0"/>
              <w:jc w:val="center"/>
            </w:pPr>
            <w:r>
              <w:rPr>
                <w:sz w:val="20"/>
              </w:rPr>
              <w:t xml:space="preserve">более 10,0 до 20,0 включительно</w:t>
            </w:r>
          </w:p>
        </w:tc>
        <w:tc>
          <w:tcPr>
            <w:tcW w:w="1699" w:type="dxa"/>
            <w:vAlign w:val="center"/>
          </w:tcPr>
          <w:p>
            <w:pPr>
              <w:pStyle w:val="0"/>
              <w:jc w:val="center"/>
            </w:pPr>
            <w:r>
              <w:rPr>
                <w:sz w:val="20"/>
              </w:rPr>
              <w:t xml:space="preserve">не более 1,2</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20,0</w:t>
            </w:r>
          </w:p>
        </w:tc>
        <w:tc>
          <w:tcPr>
            <w:tcW w:w="1699" w:type="dxa"/>
            <w:vAlign w:val="center"/>
          </w:tcPr>
          <w:p>
            <w:pPr>
              <w:pStyle w:val="0"/>
              <w:jc w:val="center"/>
            </w:pPr>
            <w:r>
              <w:rPr>
                <w:sz w:val="20"/>
              </w:rPr>
              <w:t xml:space="preserve">не более 1,5</w:t>
            </w:r>
          </w:p>
        </w:tc>
        <w:tc>
          <w:tcPr>
            <w:vMerge w:val="continue"/>
          </w:tcPr>
          <w:p/>
        </w:tc>
      </w:tr>
      <w:tr>
        <w:tc>
          <w:tcPr>
            <w:tcW w:w="1546" w:type="dxa"/>
            <w:vAlign w:val="center"/>
            <w:vMerge w:val="restart"/>
          </w:tcPr>
          <w:p>
            <w:pPr>
              <w:pStyle w:val="0"/>
              <w:jc w:val="center"/>
            </w:pPr>
            <w:r>
              <w:rPr>
                <w:sz w:val="20"/>
              </w:rPr>
              <w:t xml:space="preserve">Включения вольфрамовые</w:t>
            </w:r>
          </w:p>
        </w:tc>
        <w:tc>
          <w:tcPr>
            <w:tcW w:w="1272" w:type="dxa"/>
            <w:vAlign w:val="center"/>
            <w:vMerge w:val="restart"/>
          </w:tcPr>
          <w:p>
            <w:pPr>
              <w:pStyle w:val="0"/>
              <w:jc w:val="center"/>
            </w:pPr>
            <w:r>
              <w:rPr>
                <w:sz w:val="20"/>
              </w:rPr>
              <w:t xml:space="preserve">I, II, III</w:t>
            </w:r>
          </w:p>
        </w:tc>
        <w:tc>
          <w:tcPr>
            <w:tcW w:w="2665" w:type="dxa"/>
            <w:vAlign w:val="center"/>
            <w:vMerge w:val="restart"/>
          </w:tcPr>
          <w:p>
            <w:pPr>
              <w:pStyle w:val="0"/>
              <w:jc w:val="center"/>
            </w:pPr>
            <w:r>
              <w:rPr>
                <w:sz w:val="20"/>
              </w:rPr>
              <w:t xml:space="preserve">все толщины</w:t>
            </w:r>
          </w:p>
        </w:tc>
        <w:tc>
          <w:tcPr>
            <w:tcW w:w="1699" w:type="dxa"/>
            <w:vAlign w:val="center"/>
          </w:tcPr>
          <w:p>
            <w:pPr>
              <w:pStyle w:val="0"/>
              <w:jc w:val="center"/>
            </w:pPr>
            <w:r>
              <w:rPr>
                <w:sz w:val="20"/>
              </w:rPr>
              <w:t xml:space="preserve">0,1S, но не более 2,0</w:t>
            </w:r>
          </w:p>
        </w:tc>
        <w:tc>
          <w:tcPr>
            <w:tcW w:w="1871" w:type="dxa"/>
            <w:vAlign w:val="center"/>
          </w:tcPr>
          <w:p>
            <w:pPr>
              <w:pStyle w:val="0"/>
              <w:jc w:val="center"/>
            </w:pPr>
            <w:r>
              <w:rPr>
                <w:sz w:val="20"/>
              </w:rPr>
              <w:t xml:space="preserve">1 на каждые 100,0 мм шва</w:t>
            </w:r>
          </w:p>
        </w:tc>
      </w:tr>
      <w:tr>
        <w:tc>
          <w:tcPr>
            <w:vMerge w:val="continue"/>
          </w:tcPr>
          <w:p/>
        </w:tc>
        <w:tc>
          <w:tcPr>
            <w:vMerge w:val="continue"/>
          </w:tcPr>
          <w:p/>
        </w:tc>
        <w:tc>
          <w:tcPr>
            <w:vMerge w:val="continue"/>
          </w:tcPr>
          <w:p/>
        </w:tc>
        <w:tc>
          <w:tcPr>
            <w:tcW w:w="1699" w:type="dxa"/>
            <w:vAlign w:val="center"/>
          </w:tcPr>
          <w:p>
            <w:pPr>
              <w:pStyle w:val="0"/>
              <w:jc w:val="center"/>
            </w:pPr>
            <w:r>
              <w:rPr>
                <w:sz w:val="20"/>
              </w:rPr>
              <w:t xml:space="preserve">0,1S</w:t>
            </w:r>
          </w:p>
        </w:tc>
        <w:tc>
          <w:tcPr>
            <w:tcW w:w="1871" w:type="dxa"/>
            <w:vAlign w:val="center"/>
          </w:tcPr>
          <w:p>
            <w:pPr>
              <w:pStyle w:val="0"/>
              <w:jc w:val="center"/>
            </w:pPr>
            <w:r>
              <w:rPr>
                <w:sz w:val="20"/>
              </w:rPr>
              <w:t xml:space="preserve">3 на каждые 100,0 мм шва</w:t>
            </w:r>
          </w:p>
        </w:tc>
      </w:tr>
      <w:tr>
        <w:tc>
          <w:tcPr>
            <w:tcW w:w="1546" w:type="dxa"/>
            <w:vAlign w:val="center"/>
            <w:vMerge w:val="restart"/>
          </w:tcPr>
          <w:p>
            <w:pPr>
              <w:pStyle w:val="0"/>
              <w:jc w:val="center"/>
            </w:pPr>
            <w:r>
              <w:rPr>
                <w:sz w:val="20"/>
              </w:rPr>
              <w:t xml:space="preserve">Вогнутость корня шва при сварке поворотных стыков труб без подкладных колец</w:t>
            </w:r>
          </w:p>
        </w:tc>
        <w:tc>
          <w:tcPr>
            <w:tcW w:w="1272" w:type="dxa"/>
            <w:vAlign w:val="center"/>
            <w:vMerge w:val="restart"/>
          </w:tcPr>
          <w:p>
            <w:pPr>
              <w:pStyle w:val="0"/>
              <w:jc w:val="center"/>
            </w:pPr>
            <w:r>
              <w:rPr>
                <w:sz w:val="20"/>
              </w:rPr>
              <w:t xml:space="preserve">I, II, III</w:t>
            </w:r>
          </w:p>
        </w:tc>
        <w:tc>
          <w:tcPr>
            <w:tcW w:w="2665" w:type="dxa"/>
            <w:vAlign w:val="center"/>
          </w:tcPr>
          <w:p>
            <w:pPr>
              <w:pStyle w:val="0"/>
              <w:jc w:val="center"/>
            </w:pPr>
            <w:r>
              <w:rPr>
                <w:sz w:val="20"/>
              </w:rPr>
              <w:t xml:space="preserve">более 1,0 до 2,0 включительно</w:t>
            </w:r>
          </w:p>
        </w:tc>
        <w:tc>
          <w:tcPr>
            <w:tcW w:w="1699" w:type="dxa"/>
            <w:vAlign w:val="center"/>
          </w:tcPr>
          <w:p>
            <w:pPr>
              <w:pStyle w:val="0"/>
              <w:jc w:val="center"/>
            </w:pPr>
            <w:r>
              <w:rPr>
                <w:sz w:val="20"/>
              </w:rPr>
              <w:t xml:space="preserve">не более 0,2</w:t>
            </w:r>
          </w:p>
        </w:tc>
        <w:tc>
          <w:tcPr>
            <w:tcW w:w="1871" w:type="dxa"/>
            <w:vAlign w:val="center"/>
            <w:vMerge w:val="restart"/>
          </w:tcPr>
          <w:p>
            <w:pPr>
              <w:pStyle w:val="0"/>
              <w:jc w:val="center"/>
            </w:pPr>
            <w:r>
              <w:rPr>
                <w:sz w:val="20"/>
              </w:rPr>
              <w:t xml:space="preserve">- </w:t>
            </w:r>
            <w:hyperlink w:history="0" w:anchor="P1558" w:tooltip="&lt;*&gt; Не регламентируется.">
              <w:r>
                <w:rPr>
                  <w:sz w:val="20"/>
                  <w:color w:val="0000ff"/>
                </w:rPr>
                <w:t xml:space="preserve">&lt;*&gt;</w:t>
              </w:r>
            </w:hyperlink>
          </w:p>
        </w:tc>
      </w:tr>
      <w:tr>
        <w:tc>
          <w:tcPr>
            <w:vMerge w:val="continue"/>
          </w:tcPr>
          <w:p/>
        </w:tc>
        <w:tc>
          <w:tcPr>
            <w:vMerge w:val="continue"/>
          </w:tcPr>
          <w:p/>
        </w:tc>
        <w:tc>
          <w:tcPr>
            <w:tcW w:w="2665" w:type="dxa"/>
            <w:vAlign w:val="center"/>
          </w:tcPr>
          <w:p>
            <w:pPr>
              <w:pStyle w:val="0"/>
              <w:jc w:val="center"/>
            </w:pPr>
            <w:r>
              <w:rPr>
                <w:sz w:val="20"/>
              </w:rPr>
              <w:t xml:space="preserve">более 2,0 до 3,0 включительно</w:t>
            </w:r>
          </w:p>
        </w:tc>
        <w:tc>
          <w:tcPr>
            <w:tcW w:w="1699" w:type="dxa"/>
            <w:vAlign w:val="center"/>
          </w:tcPr>
          <w:p>
            <w:pPr>
              <w:pStyle w:val="0"/>
              <w:jc w:val="center"/>
            </w:pPr>
            <w:r>
              <w:rPr>
                <w:sz w:val="20"/>
              </w:rPr>
              <w:t xml:space="preserve">не более 0,4</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3,0 до 4,0 включительно</w:t>
            </w:r>
          </w:p>
        </w:tc>
        <w:tc>
          <w:tcPr>
            <w:tcW w:w="1699" w:type="dxa"/>
            <w:vAlign w:val="center"/>
          </w:tcPr>
          <w:p>
            <w:pPr>
              <w:pStyle w:val="0"/>
              <w:jc w:val="center"/>
            </w:pPr>
            <w:r>
              <w:rPr>
                <w:sz w:val="20"/>
              </w:rPr>
              <w:t xml:space="preserve">не более 0,6</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4,0 до 6,0 включительно</w:t>
            </w:r>
          </w:p>
        </w:tc>
        <w:tc>
          <w:tcPr>
            <w:tcW w:w="1699" w:type="dxa"/>
            <w:vAlign w:val="center"/>
          </w:tcPr>
          <w:p>
            <w:pPr>
              <w:pStyle w:val="0"/>
              <w:jc w:val="center"/>
            </w:pPr>
            <w:r>
              <w:rPr>
                <w:sz w:val="20"/>
              </w:rPr>
              <w:t xml:space="preserve">не более 0,8</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6,0 до 8,0 включительно</w:t>
            </w:r>
          </w:p>
        </w:tc>
        <w:tc>
          <w:tcPr>
            <w:tcW w:w="1699" w:type="dxa"/>
            <w:vAlign w:val="center"/>
          </w:tcPr>
          <w:p>
            <w:pPr>
              <w:pStyle w:val="0"/>
              <w:jc w:val="center"/>
            </w:pPr>
            <w:r>
              <w:rPr>
                <w:sz w:val="20"/>
              </w:rPr>
              <w:t xml:space="preserve">не более 1,0</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8,0 до 12,0 включительно</w:t>
            </w:r>
          </w:p>
        </w:tc>
        <w:tc>
          <w:tcPr>
            <w:tcW w:w="1699" w:type="dxa"/>
            <w:vAlign w:val="center"/>
          </w:tcPr>
          <w:p>
            <w:pPr>
              <w:pStyle w:val="0"/>
              <w:jc w:val="center"/>
            </w:pPr>
            <w:r>
              <w:rPr>
                <w:sz w:val="20"/>
              </w:rPr>
              <w:t xml:space="preserve">не более 1,2</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12,0</w:t>
            </w:r>
          </w:p>
        </w:tc>
        <w:tc>
          <w:tcPr>
            <w:tcW w:w="1699" w:type="dxa"/>
            <w:vAlign w:val="center"/>
          </w:tcPr>
          <w:p>
            <w:pPr>
              <w:pStyle w:val="0"/>
              <w:jc w:val="center"/>
            </w:pPr>
            <w:r>
              <w:rPr>
                <w:sz w:val="20"/>
              </w:rPr>
              <w:t xml:space="preserve">не более 1,5</w:t>
            </w:r>
          </w:p>
        </w:tc>
        <w:tc>
          <w:tcPr>
            <w:vMerge w:val="continue"/>
          </w:tcPr>
          <w:p/>
        </w:tc>
      </w:tr>
      <w:tr>
        <w:tc>
          <w:tcPr>
            <w:tcW w:w="1546" w:type="dxa"/>
            <w:vAlign w:val="center"/>
            <w:vMerge w:val="restart"/>
          </w:tcPr>
          <w:p>
            <w:pPr>
              <w:pStyle w:val="0"/>
              <w:jc w:val="center"/>
            </w:pPr>
            <w:r>
              <w:rPr>
                <w:sz w:val="20"/>
              </w:rPr>
              <w:t xml:space="preserve">Вогнутость корня шва при сварке неповоротных стыков труб без подкладных колец</w:t>
            </w:r>
          </w:p>
        </w:tc>
        <w:tc>
          <w:tcPr>
            <w:tcW w:w="1272" w:type="dxa"/>
            <w:vAlign w:val="center"/>
            <w:vMerge w:val="restart"/>
          </w:tcPr>
          <w:p>
            <w:pPr>
              <w:pStyle w:val="0"/>
              <w:jc w:val="center"/>
            </w:pPr>
            <w:r>
              <w:rPr>
                <w:sz w:val="20"/>
              </w:rPr>
              <w:t xml:space="preserve">I, II, III</w:t>
            </w:r>
          </w:p>
        </w:tc>
        <w:tc>
          <w:tcPr>
            <w:tcW w:w="2665" w:type="dxa"/>
            <w:vAlign w:val="center"/>
          </w:tcPr>
          <w:p>
            <w:pPr>
              <w:pStyle w:val="0"/>
              <w:jc w:val="center"/>
            </w:pPr>
            <w:r>
              <w:rPr>
                <w:sz w:val="20"/>
              </w:rPr>
              <w:t xml:space="preserve">более 1,0 до 2,0 включительно</w:t>
            </w:r>
          </w:p>
        </w:tc>
        <w:tc>
          <w:tcPr>
            <w:tcW w:w="1699" w:type="dxa"/>
            <w:vAlign w:val="center"/>
          </w:tcPr>
          <w:p>
            <w:pPr>
              <w:pStyle w:val="0"/>
              <w:jc w:val="center"/>
            </w:pPr>
            <w:r>
              <w:rPr>
                <w:sz w:val="20"/>
              </w:rPr>
              <w:t xml:space="preserve">не более 0,4</w:t>
            </w:r>
          </w:p>
        </w:tc>
        <w:tc>
          <w:tcPr>
            <w:tcW w:w="1871" w:type="dxa"/>
            <w:vAlign w:val="center"/>
            <w:vMerge w:val="restart"/>
          </w:tcPr>
          <w:p>
            <w:pPr>
              <w:pStyle w:val="0"/>
              <w:jc w:val="center"/>
            </w:pPr>
            <w:r>
              <w:rPr>
                <w:sz w:val="20"/>
              </w:rPr>
              <w:t xml:space="preserve">- </w:t>
            </w:r>
            <w:hyperlink w:history="0" w:anchor="P1558" w:tooltip="&lt;*&gt; Не регламентируется.">
              <w:r>
                <w:rPr>
                  <w:sz w:val="20"/>
                  <w:color w:val="0000ff"/>
                </w:rPr>
                <w:t xml:space="preserve">&lt;*&gt;</w:t>
              </w:r>
            </w:hyperlink>
          </w:p>
        </w:tc>
      </w:tr>
      <w:tr>
        <w:tc>
          <w:tcPr>
            <w:vMerge w:val="continue"/>
          </w:tcPr>
          <w:p/>
        </w:tc>
        <w:tc>
          <w:tcPr>
            <w:vMerge w:val="continue"/>
          </w:tcPr>
          <w:p/>
        </w:tc>
        <w:tc>
          <w:tcPr>
            <w:tcW w:w="2665" w:type="dxa"/>
            <w:vAlign w:val="center"/>
          </w:tcPr>
          <w:p>
            <w:pPr>
              <w:pStyle w:val="0"/>
              <w:jc w:val="center"/>
            </w:pPr>
            <w:r>
              <w:rPr>
                <w:sz w:val="20"/>
              </w:rPr>
              <w:t xml:space="preserve">более 2,0 до 3,0 включительно</w:t>
            </w:r>
          </w:p>
        </w:tc>
        <w:tc>
          <w:tcPr>
            <w:tcW w:w="1699" w:type="dxa"/>
            <w:vAlign w:val="center"/>
          </w:tcPr>
          <w:p>
            <w:pPr>
              <w:pStyle w:val="0"/>
              <w:jc w:val="center"/>
            </w:pPr>
            <w:r>
              <w:rPr>
                <w:sz w:val="20"/>
              </w:rPr>
              <w:t xml:space="preserve">не более 0,6</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3,0 до 4,0 включительно</w:t>
            </w:r>
          </w:p>
        </w:tc>
        <w:tc>
          <w:tcPr>
            <w:tcW w:w="1699" w:type="dxa"/>
            <w:vAlign w:val="center"/>
          </w:tcPr>
          <w:p>
            <w:pPr>
              <w:pStyle w:val="0"/>
              <w:jc w:val="center"/>
            </w:pPr>
            <w:r>
              <w:rPr>
                <w:sz w:val="20"/>
              </w:rPr>
              <w:t xml:space="preserve">не более 0,8</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4,0 до 6,0 включительно</w:t>
            </w:r>
          </w:p>
        </w:tc>
        <w:tc>
          <w:tcPr>
            <w:tcW w:w="1699" w:type="dxa"/>
            <w:vAlign w:val="center"/>
          </w:tcPr>
          <w:p>
            <w:pPr>
              <w:pStyle w:val="0"/>
              <w:jc w:val="center"/>
            </w:pPr>
            <w:r>
              <w:rPr>
                <w:sz w:val="20"/>
              </w:rPr>
              <w:t xml:space="preserve">не более 1,0</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6,0 до 8,0 включительно</w:t>
            </w:r>
          </w:p>
        </w:tc>
        <w:tc>
          <w:tcPr>
            <w:tcW w:w="1699" w:type="dxa"/>
            <w:vAlign w:val="center"/>
          </w:tcPr>
          <w:p>
            <w:pPr>
              <w:pStyle w:val="0"/>
              <w:jc w:val="center"/>
            </w:pPr>
            <w:r>
              <w:rPr>
                <w:sz w:val="20"/>
              </w:rPr>
              <w:t xml:space="preserve">не более 1,2</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более 8,0</w:t>
            </w:r>
          </w:p>
        </w:tc>
        <w:tc>
          <w:tcPr>
            <w:tcW w:w="1699" w:type="dxa"/>
            <w:vAlign w:val="center"/>
          </w:tcPr>
          <w:p>
            <w:pPr>
              <w:pStyle w:val="0"/>
              <w:jc w:val="center"/>
            </w:pPr>
            <w:r>
              <w:rPr>
                <w:sz w:val="20"/>
              </w:rPr>
              <w:t xml:space="preserve">0,15S, но не более 1,6 мм при условии увеличения усиления шва на 1,0 мм от номинального</w:t>
            </w:r>
          </w:p>
        </w:tc>
        <w:tc>
          <w:tcPr>
            <w:vMerge w:val="continue"/>
          </w:tcPr>
          <w:p/>
        </w:tc>
      </w:tr>
      <w:tr>
        <w:tc>
          <w:tcPr>
            <w:tcW w:w="1546" w:type="dxa"/>
            <w:vAlign w:val="center"/>
            <w:vMerge w:val="restart"/>
          </w:tcPr>
          <w:p>
            <w:pPr>
              <w:pStyle w:val="0"/>
              <w:jc w:val="center"/>
            </w:pPr>
            <w:r>
              <w:rPr>
                <w:sz w:val="20"/>
              </w:rPr>
              <w:t xml:space="preserve">Выпуклость корня шва при односторонней сварке труб без подкладных колец</w:t>
            </w:r>
          </w:p>
        </w:tc>
        <w:tc>
          <w:tcPr>
            <w:tcW w:w="1272" w:type="dxa"/>
            <w:vAlign w:val="center"/>
            <w:vMerge w:val="restart"/>
          </w:tcPr>
          <w:p>
            <w:pPr>
              <w:pStyle w:val="0"/>
              <w:jc w:val="center"/>
            </w:pPr>
            <w:r>
              <w:rPr>
                <w:sz w:val="20"/>
              </w:rPr>
              <w:t xml:space="preserve">I, II, III</w:t>
            </w:r>
          </w:p>
        </w:tc>
        <w:tc>
          <w:tcPr>
            <w:tcW w:w="2665" w:type="dxa"/>
            <w:vAlign w:val="center"/>
          </w:tcPr>
          <w:p>
            <w:pPr>
              <w:pStyle w:val="0"/>
              <w:jc w:val="center"/>
            </w:pPr>
            <w:r>
              <w:rPr>
                <w:sz w:val="20"/>
              </w:rPr>
              <w:t xml:space="preserve">Ду до 25,0</w:t>
            </w:r>
          </w:p>
        </w:tc>
        <w:tc>
          <w:tcPr>
            <w:tcW w:w="1699" w:type="dxa"/>
            <w:vAlign w:val="center"/>
          </w:tcPr>
          <w:p>
            <w:pPr>
              <w:pStyle w:val="0"/>
              <w:jc w:val="center"/>
            </w:pPr>
            <w:r>
              <w:rPr>
                <w:sz w:val="20"/>
              </w:rPr>
              <w:t xml:space="preserve">не более 1,5</w:t>
            </w:r>
          </w:p>
        </w:tc>
        <w:tc>
          <w:tcPr>
            <w:tcW w:w="1871" w:type="dxa"/>
            <w:vAlign w:val="center"/>
            <w:vMerge w:val="restart"/>
          </w:tcPr>
          <w:p>
            <w:pPr>
              <w:pStyle w:val="0"/>
              <w:jc w:val="center"/>
            </w:pPr>
            <w:r>
              <w:rPr>
                <w:sz w:val="20"/>
              </w:rPr>
              <w:t xml:space="preserve">- </w:t>
            </w:r>
            <w:hyperlink w:history="0" w:anchor="P1558" w:tooltip="&lt;*&gt; Не регламентируется.">
              <w:r>
                <w:rPr>
                  <w:sz w:val="20"/>
                  <w:color w:val="0000ff"/>
                </w:rPr>
                <w:t xml:space="preserve">&lt;*&gt;</w:t>
              </w:r>
            </w:hyperlink>
          </w:p>
        </w:tc>
      </w:tr>
      <w:tr>
        <w:tc>
          <w:tcPr>
            <w:vMerge w:val="continue"/>
          </w:tcPr>
          <w:p/>
        </w:tc>
        <w:tc>
          <w:tcPr>
            <w:vMerge w:val="continue"/>
          </w:tcPr>
          <w:p/>
        </w:tc>
        <w:tc>
          <w:tcPr>
            <w:tcW w:w="2665" w:type="dxa"/>
            <w:vAlign w:val="center"/>
          </w:tcPr>
          <w:p>
            <w:pPr>
              <w:pStyle w:val="0"/>
              <w:jc w:val="center"/>
            </w:pPr>
            <w:r>
              <w:rPr>
                <w:sz w:val="20"/>
              </w:rPr>
              <w:t xml:space="preserve">Ду более 25,0 до 150,0</w:t>
            </w:r>
          </w:p>
        </w:tc>
        <w:tc>
          <w:tcPr>
            <w:tcW w:w="1699" w:type="dxa"/>
            <w:vAlign w:val="center"/>
          </w:tcPr>
          <w:p>
            <w:pPr>
              <w:pStyle w:val="0"/>
              <w:jc w:val="center"/>
            </w:pPr>
            <w:r>
              <w:rPr>
                <w:sz w:val="20"/>
              </w:rPr>
              <w:t xml:space="preserve">не более 2,0</w:t>
            </w:r>
          </w:p>
        </w:tc>
        <w:tc>
          <w:tcPr>
            <w:vMerge w:val="continue"/>
          </w:tcPr>
          <w:p/>
        </w:tc>
      </w:tr>
      <w:tr>
        <w:tc>
          <w:tcPr>
            <w:vMerge w:val="continue"/>
          </w:tcPr>
          <w:p/>
        </w:tc>
        <w:tc>
          <w:tcPr>
            <w:vMerge w:val="continue"/>
          </w:tcPr>
          <w:p/>
        </w:tc>
        <w:tc>
          <w:tcPr>
            <w:tcW w:w="2665" w:type="dxa"/>
            <w:vAlign w:val="center"/>
          </w:tcPr>
          <w:p>
            <w:pPr>
              <w:pStyle w:val="0"/>
              <w:jc w:val="center"/>
            </w:pPr>
            <w:r>
              <w:rPr>
                <w:sz w:val="20"/>
              </w:rPr>
              <w:t xml:space="preserve">Ду более 150,0</w:t>
            </w:r>
          </w:p>
        </w:tc>
        <w:tc>
          <w:tcPr>
            <w:tcW w:w="1699" w:type="dxa"/>
            <w:vAlign w:val="center"/>
          </w:tcPr>
          <w:p>
            <w:pPr>
              <w:pStyle w:val="0"/>
              <w:jc w:val="center"/>
            </w:pPr>
            <w:r>
              <w:rPr>
                <w:sz w:val="20"/>
              </w:rPr>
              <w:t xml:space="preserve">не более 2,5</w:t>
            </w:r>
          </w:p>
        </w:tc>
        <w:tc>
          <w:tcPr>
            <w:vMerge w:val="continue"/>
          </w:tcPr>
          <w:p/>
        </w:tc>
      </w:tr>
      <w:tr>
        <w:tc>
          <w:tcPr>
            <w:gridSpan w:val="5"/>
            <w:tcW w:w="9053" w:type="dxa"/>
          </w:tcPr>
          <w:p>
            <w:pPr>
              <w:pStyle w:val="0"/>
              <w:jc w:val="both"/>
            </w:pPr>
            <w:r>
              <w:rPr>
                <w:sz w:val="20"/>
              </w:rPr>
              <w:t xml:space="preserve">Примечания.</w:t>
            </w:r>
          </w:p>
          <w:p>
            <w:pPr>
              <w:pStyle w:val="0"/>
              <w:jc w:val="both"/>
            </w:pPr>
            <w:r>
              <w:rPr>
                <w:sz w:val="20"/>
              </w:rPr>
              <w:t xml:space="preserve">1. S - минимальная номинальная толщина сварных деталей.</w:t>
            </w:r>
          </w:p>
          <w:p>
            <w:pPr>
              <w:pStyle w:val="0"/>
              <w:jc w:val="both"/>
            </w:pPr>
            <w:r>
              <w:rPr>
                <w:sz w:val="20"/>
              </w:rPr>
              <w:t xml:space="preserve">2. Ду - условный диаметр труб.</w:t>
            </w:r>
          </w:p>
          <w:bookmarkStart w:id="1558" w:name="P1558"/>
          <w:bookmarkEnd w:id="1558"/>
          <w:p>
            <w:pPr>
              <w:pStyle w:val="0"/>
              <w:jc w:val="both"/>
            </w:pPr>
            <w:r>
              <w:rPr>
                <w:sz w:val="20"/>
              </w:rPr>
              <w:t xml:space="preserve">&lt;*&gt; Не регламентируется.</w:t>
            </w:r>
          </w:p>
        </w:tc>
      </w:tr>
    </w:tbl>
    <w:p>
      <w:pPr>
        <w:pStyle w:val="0"/>
        <w:jc w:val="both"/>
      </w:pPr>
      <w:r>
        <w:rPr>
          <w:sz w:val="20"/>
        </w:rPr>
      </w:r>
    </w:p>
    <w:p>
      <w:pPr>
        <w:pStyle w:val="0"/>
        <w:ind w:firstLine="540"/>
        <w:jc w:val="both"/>
      </w:pPr>
      <w:r>
        <w:rPr>
          <w:sz w:val="20"/>
        </w:rPr>
        <w:t xml:space="preserve">11. Нормы оценки качества сварных соединений I - III категорий деталей и сборочных единиц из титановых сплавов по результатам визуального и измерительного контроля приведены в таблице N 4.7 настоящего приложения.</w:t>
      </w:r>
    </w:p>
    <w:p>
      <w:pPr>
        <w:pStyle w:val="0"/>
        <w:jc w:val="both"/>
      </w:pPr>
      <w:r>
        <w:rPr>
          <w:sz w:val="20"/>
        </w:rPr>
      </w:r>
    </w:p>
    <w:p>
      <w:pPr>
        <w:pStyle w:val="0"/>
        <w:outlineLvl w:val="3"/>
        <w:jc w:val="right"/>
      </w:pPr>
      <w:r>
        <w:rPr>
          <w:sz w:val="20"/>
        </w:rPr>
        <w:t xml:space="preserve">Таблица N 4.7</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09"/>
        <w:gridCol w:w="706"/>
        <w:gridCol w:w="1128"/>
        <w:gridCol w:w="1128"/>
        <w:gridCol w:w="989"/>
        <w:gridCol w:w="1560"/>
        <w:gridCol w:w="840"/>
        <w:gridCol w:w="964"/>
      </w:tblGrid>
      <w:tr>
        <w:tc>
          <w:tcPr>
            <w:gridSpan w:val="2"/>
            <w:tcW w:w="2415" w:type="dxa"/>
          </w:tcPr>
          <w:p>
            <w:pPr>
              <w:pStyle w:val="0"/>
              <w:jc w:val="center"/>
            </w:pPr>
            <w:r>
              <w:rPr>
                <w:sz w:val="20"/>
              </w:rPr>
              <w:t xml:space="preserve">Сварное соединение</w:t>
            </w:r>
          </w:p>
        </w:tc>
        <w:tc>
          <w:tcPr>
            <w:gridSpan w:val="6"/>
            <w:tcW w:w="6609" w:type="dxa"/>
          </w:tcPr>
          <w:p>
            <w:pPr>
              <w:pStyle w:val="0"/>
              <w:jc w:val="center"/>
            </w:pPr>
            <w:r>
              <w:rPr>
                <w:sz w:val="20"/>
              </w:rPr>
              <w:t xml:space="preserve">Поверхностные несплошности, мм</w:t>
            </w:r>
          </w:p>
        </w:tc>
      </w:tr>
      <w:tr>
        <w:tc>
          <w:tcPr>
            <w:tcW w:w="1709" w:type="dxa"/>
            <w:vMerge w:val="restart"/>
          </w:tcPr>
          <w:p>
            <w:pPr>
              <w:pStyle w:val="0"/>
              <w:jc w:val="center"/>
            </w:pPr>
            <w:r>
              <w:rPr>
                <w:sz w:val="20"/>
              </w:rPr>
              <w:t xml:space="preserve">номинальная толщина элемента, мм</w:t>
            </w:r>
          </w:p>
        </w:tc>
        <w:tc>
          <w:tcPr>
            <w:tcW w:w="706" w:type="dxa"/>
            <w:vMerge w:val="restart"/>
          </w:tcPr>
          <w:p>
            <w:pPr>
              <w:pStyle w:val="0"/>
              <w:jc w:val="center"/>
            </w:pPr>
            <w:r>
              <w:rPr>
                <w:sz w:val="20"/>
              </w:rPr>
              <w:t xml:space="preserve">категория</w:t>
            </w:r>
          </w:p>
        </w:tc>
        <w:tc>
          <w:tcPr>
            <w:tcW w:w="1128" w:type="dxa"/>
            <w:vMerge w:val="restart"/>
          </w:tcPr>
          <w:p>
            <w:pPr>
              <w:pStyle w:val="0"/>
              <w:jc w:val="center"/>
            </w:pPr>
            <w:r>
              <w:rPr>
                <w:sz w:val="20"/>
              </w:rPr>
              <w:t xml:space="preserve">радиус перехода R, мм не менее</w:t>
            </w:r>
          </w:p>
        </w:tc>
        <w:tc>
          <w:tcPr>
            <w:gridSpan w:val="2"/>
            <w:tcW w:w="2117" w:type="dxa"/>
          </w:tcPr>
          <w:p>
            <w:pPr>
              <w:pStyle w:val="0"/>
              <w:jc w:val="center"/>
            </w:pPr>
            <w:r>
              <w:rPr>
                <w:sz w:val="20"/>
              </w:rPr>
              <w:t xml:space="preserve">подрезы зоны сплавления</w:t>
            </w:r>
          </w:p>
        </w:tc>
        <w:tc>
          <w:tcPr>
            <w:tcW w:w="1560" w:type="dxa"/>
            <w:vMerge w:val="restart"/>
          </w:tcPr>
          <w:p>
            <w:pPr>
              <w:pStyle w:val="0"/>
              <w:jc w:val="center"/>
            </w:pPr>
            <w:r>
              <w:rPr>
                <w:sz w:val="20"/>
              </w:rPr>
              <w:t xml:space="preserve">западания между валиками и чешуйчатость, не более</w:t>
            </w:r>
          </w:p>
        </w:tc>
        <w:tc>
          <w:tcPr>
            <w:gridSpan w:val="2"/>
            <w:tcW w:w="1804" w:type="dxa"/>
          </w:tcPr>
          <w:p>
            <w:pPr>
              <w:pStyle w:val="0"/>
              <w:jc w:val="center"/>
            </w:pPr>
            <w:r>
              <w:rPr>
                <w:sz w:val="20"/>
              </w:rPr>
              <w:t xml:space="preserve">размеры формирования корня шва, не более</w:t>
            </w:r>
          </w:p>
        </w:tc>
      </w:tr>
      <w:tr>
        <w:tc>
          <w:tcPr>
            <w:vMerge w:val="continue"/>
          </w:tcPr>
          <w:p/>
        </w:tc>
        <w:tc>
          <w:tcPr>
            <w:vMerge w:val="continue"/>
          </w:tcPr>
          <w:p/>
        </w:tc>
        <w:tc>
          <w:tcPr>
            <w:vMerge w:val="continue"/>
          </w:tcPr>
          <w:p/>
        </w:tc>
        <w:tc>
          <w:tcPr>
            <w:tcW w:w="1128" w:type="dxa"/>
          </w:tcPr>
          <w:p>
            <w:pPr>
              <w:pStyle w:val="0"/>
              <w:jc w:val="center"/>
            </w:pPr>
            <w:r>
              <w:rPr>
                <w:sz w:val="20"/>
              </w:rPr>
              <w:t xml:space="preserve">глубина, не более</w:t>
            </w:r>
          </w:p>
        </w:tc>
        <w:tc>
          <w:tcPr>
            <w:tcW w:w="989" w:type="dxa"/>
          </w:tcPr>
          <w:p>
            <w:pPr>
              <w:pStyle w:val="0"/>
              <w:jc w:val="center"/>
            </w:pPr>
            <w:r>
              <w:rPr>
                <w:sz w:val="20"/>
              </w:rPr>
              <w:t xml:space="preserve">ширина</w:t>
            </w:r>
          </w:p>
        </w:tc>
        <w:tc>
          <w:tcPr>
            <w:vMerge w:val="continue"/>
          </w:tcPr>
          <w:p/>
        </w:tc>
        <w:tc>
          <w:tcPr>
            <w:tcW w:w="840" w:type="dxa"/>
          </w:tcPr>
          <w:p>
            <w:pPr>
              <w:pStyle w:val="0"/>
              <w:jc w:val="center"/>
            </w:pPr>
            <w:r>
              <w:rPr>
                <w:sz w:val="20"/>
              </w:rPr>
              <w:t xml:space="preserve">вогнутость</w:t>
            </w:r>
          </w:p>
        </w:tc>
        <w:tc>
          <w:tcPr>
            <w:tcW w:w="964" w:type="dxa"/>
          </w:tcPr>
          <w:p>
            <w:pPr>
              <w:pStyle w:val="0"/>
              <w:jc w:val="center"/>
            </w:pPr>
            <w:r>
              <w:rPr>
                <w:sz w:val="20"/>
              </w:rPr>
              <w:t xml:space="preserve">превышение выпуклости</w:t>
            </w:r>
          </w:p>
        </w:tc>
      </w:tr>
      <w:tr>
        <w:tc>
          <w:tcPr>
            <w:tcW w:w="1709" w:type="dxa"/>
            <w:vAlign w:val="center"/>
            <w:vMerge w:val="restart"/>
          </w:tcPr>
          <w:p>
            <w:pPr>
              <w:pStyle w:val="0"/>
              <w:jc w:val="center"/>
            </w:pPr>
            <w:r>
              <w:rPr>
                <w:sz w:val="20"/>
              </w:rPr>
              <w:t xml:space="preserve">До 5,0 включительно</w:t>
            </w:r>
          </w:p>
        </w:tc>
        <w:tc>
          <w:tcPr>
            <w:tcW w:w="706" w:type="dxa"/>
            <w:vAlign w:val="center"/>
          </w:tcPr>
          <w:p>
            <w:pPr>
              <w:pStyle w:val="0"/>
              <w:jc w:val="center"/>
            </w:pPr>
            <w:r>
              <w:rPr>
                <w:sz w:val="20"/>
              </w:rPr>
              <w:t xml:space="preserve">I,</w:t>
            </w:r>
          </w:p>
          <w:p>
            <w:pPr>
              <w:pStyle w:val="0"/>
              <w:jc w:val="center"/>
            </w:pPr>
            <w:r>
              <w:rPr>
                <w:sz w:val="20"/>
              </w:rPr>
              <w:t xml:space="preserve">II</w:t>
            </w:r>
          </w:p>
        </w:tc>
        <w:tc>
          <w:tcPr>
            <w:tcW w:w="1128" w:type="dxa"/>
            <w:vAlign w:val="center"/>
          </w:tcPr>
          <w:p>
            <w:pPr>
              <w:pStyle w:val="0"/>
              <w:jc w:val="center"/>
            </w:pPr>
            <w:r>
              <w:rPr>
                <w:sz w:val="20"/>
              </w:rPr>
              <w:t xml:space="preserve">12</w:t>
            </w:r>
          </w:p>
        </w:tc>
        <w:tc>
          <w:tcPr>
            <w:tcW w:w="1128" w:type="dxa"/>
            <w:vAlign w:val="center"/>
          </w:tcPr>
          <w:p>
            <w:pPr>
              <w:pStyle w:val="0"/>
              <w:jc w:val="center"/>
            </w:pPr>
            <w:r>
              <w:rPr>
                <w:sz w:val="20"/>
              </w:rPr>
              <w:t xml:space="preserve">0,5</w:t>
            </w:r>
          </w:p>
        </w:tc>
        <w:tc>
          <w:tcPr>
            <w:tcW w:w="989" w:type="dxa"/>
            <w:vAlign w:val="center"/>
          </w:tcPr>
          <w:p>
            <w:pPr>
              <w:pStyle w:val="0"/>
              <w:jc w:val="center"/>
            </w:pPr>
            <w:r>
              <w:rPr>
                <w:sz w:val="20"/>
              </w:rPr>
              <w:t xml:space="preserve">1,0</w:t>
            </w:r>
          </w:p>
        </w:tc>
        <w:tc>
          <w:tcPr>
            <w:tcW w:w="1560" w:type="dxa"/>
            <w:vAlign w:val="center"/>
          </w:tcPr>
          <w:p>
            <w:pPr>
              <w:pStyle w:val="0"/>
              <w:jc w:val="center"/>
            </w:pPr>
            <w:r>
              <w:rPr>
                <w:sz w:val="20"/>
              </w:rPr>
              <w:t xml:space="preserve">0,5</w:t>
            </w:r>
          </w:p>
        </w:tc>
        <w:tc>
          <w:tcPr>
            <w:tcW w:w="840" w:type="dxa"/>
            <w:vAlign w:val="center"/>
          </w:tcPr>
          <w:p>
            <w:pPr>
              <w:pStyle w:val="0"/>
              <w:jc w:val="center"/>
            </w:pPr>
            <w:r>
              <w:rPr>
                <w:sz w:val="20"/>
              </w:rPr>
              <w:t xml:space="preserve">0,5</w:t>
            </w:r>
          </w:p>
        </w:tc>
        <w:tc>
          <w:tcPr>
            <w:tcW w:w="964" w:type="dxa"/>
            <w:vAlign w:val="center"/>
          </w:tcPr>
          <w:p>
            <w:pPr>
              <w:pStyle w:val="0"/>
              <w:jc w:val="center"/>
            </w:pPr>
            <w:r>
              <w:rPr>
                <w:sz w:val="20"/>
              </w:rPr>
              <w:t xml:space="preserve">1,0</w:t>
            </w:r>
          </w:p>
        </w:tc>
      </w:tr>
      <w:tr>
        <w:tc>
          <w:tcPr>
            <w:vMerge w:val="continue"/>
          </w:tcPr>
          <w:p/>
        </w:tc>
        <w:tc>
          <w:tcPr>
            <w:tcW w:w="706" w:type="dxa"/>
            <w:vAlign w:val="center"/>
          </w:tcPr>
          <w:p>
            <w:pPr>
              <w:pStyle w:val="0"/>
              <w:jc w:val="center"/>
            </w:pPr>
            <w:r>
              <w:rPr>
                <w:sz w:val="20"/>
              </w:rPr>
              <w:t xml:space="preserve">III</w:t>
            </w:r>
          </w:p>
        </w:tc>
        <w:tc>
          <w:tcPr>
            <w:tcW w:w="1128" w:type="dxa"/>
            <w:vAlign w:val="center"/>
          </w:tcPr>
          <w:p>
            <w:pPr>
              <w:pStyle w:val="0"/>
              <w:jc w:val="center"/>
            </w:pPr>
            <w:r>
              <w:rPr>
                <w:sz w:val="20"/>
              </w:rPr>
              <w:t xml:space="preserve">6</w:t>
            </w:r>
          </w:p>
        </w:tc>
        <w:tc>
          <w:tcPr>
            <w:tcW w:w="1128" w:type="dxa"/>
            <w:vAlign w:val="center"/>
          </w:tcPr>
          <w:p>
            <w:pPr>
              <w:pStyle w:val="0"/>
              <w:jc w:val="center"/>
            </w:pPr>
            <w:r>
              <w:rPr>
                <w:sz w:val="20"/>
              </w:rPr>
              <w:t xml:space="preserve">1,0</w:t>
            </w:r>
          </w:p>
        </w:tc>
        <w:tc>
          <w:tcPr>
            <w:tcW w:w="989" w:type="dxa"/>
            <w:vAlign w:val="center"/>
          </w:tcPr>
          <w:p>
            <w:pPr>
              <w:pStyle w:val="0"/>
              <w:jc w:val="center"/>
            </w:pPr>
            <w:r>
              <w:rPr>
                <w:sz w:val="20"/>
              </w:rPr>
              <w:t xml:space="preserve">1,5</w:t>
            </w:r>
          </w:p>
        </w:tc>
        <w:tc>
          <w:tcPr>
            <w:tcW w:w="1560" w:type="dxa"/>
            <w:vAlign w:val="center"/>
          </w:tcPr>
          <w:p>
            <w:pPr>
              <w:pStyle w:val="0"/>
              <w:jc w:val="center"/>
            </w:pPr>
            <w:r>
              <w:rPr>
                <w:sz w:val="20"/>
              </w:rPr>
              <w:t xml:space="preserve">0,5q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1,0</w:t>
            </w:r>
          </w:p>
        </w:tc>
        <w:tc>
          <w:tcPr>
            <w:tcW w:w="840" w:type="dxa"/>
            <w:vAlign w:val="center"/>
          </w:tcPr>
          <w:p>
            <w:pPr>
              <w:pStyle w:val="0"/>
              <w:jc w:val="center"/>
            </w:pPr>
            <w:r>
              <w:rPr>
                <w:sz w:val="20"/>
              </w:rPr>
              <w:t xml:space="preserve">1,0</w:t>
            </w:r>
          </w:p>
        </w:tc>
        <w:tc>
          <w:tcPr>
            <w:tcW w:w="964" w:type="dxa"/>
            <w:vAlign w:val="center"/>
          </w:tcPr>
          <w:p>
            <w:pPr>
              <w:pStyle w:val="0"/>
              <w:jc w:val="center"/>
            </w:pPr>
            <w:r>
              <w:rPr>
                <w:sz w:val="20"/>
              </w:rPr>
              <w:t xml:space="preserve">1,5</w:t>
            </w:r>
          </w:p>
        </w:tc>
      </w:tr>
      <w:tr>
        <w:tc>
          <w:tcPr>
            <w:tcW w:w="1709" w:type="dxa"/>
            <w:vAlign w:val="center"/>
            <w:vMerge w:val="restart"/>
          </w:tcPr>
          <w:p>
            <w:pPr>
              <w:pStyle w:val="0"/>
              <w:jc w:val="center"/>
            </w:pPr>
            <w:r>
              <w:rPr>
                <w:sz w:val="20"/>
              </w:rPr>
              <w:t xml:space="preserve">Более 5,0 до 12,0 включительно</w:t>
            </w:r>
          </w:p>
        </w:tc>
        <w:tc>
          <w:tcPr>
            <w:tcW w:w="706" w:type="dxa"/>
            <w:vAlign w:val="center"/>
          </w:tcPr>
          <w:p>
            <w:pPr>
              <w:pStyle w:val="0"/>
              <w:jc w:val="center"/>
            </w:pPr>
            <w:r>
              <w:rPr>
                <w:sz w:val="20"/>
              </w:rPr>
              <w:t xml:space="preserve">I,</w:t>
            </w:r>
          </w:p>
          <w:p>
            <w:pPr>
              <w:pStyle w:val="0"/>
              <w:jc w:val="center"/>
            </w:pPr>
            <w:r>
              <w:rPr>
                <w:sz w:val="20"/>
              </w:rPr>
              <w:t xml:space="preserve">II</w:t>
            </w:r>
          </w:p>
        </w:tc>
        <w:tc>
          <w:tcPr>
            <w:tcW w:w="1128" w:type="dxa"/>
            <w:vAlign w:val="center"/>
          </w:tcPr>
          <w:p>
            <w:pPr>
              <w:pStyle w:val="0"/>
              <w:jc w:val="center"/>
            </w:pPr>
            <w:r>
              <w:rPr>
                <w:sz w:val="20"/>
              </w:rPr>
              <w:t xml:space="preserve">12</w:t>
            </w:r>
          </w:p>
        </w:tc>
        <w:tc>
          <w:tcPr>
            <w:tcW w:w="1128" w:type="dxa"/>
            <w:vAlign w:val="center"/>
          </w:tcPr>
          <w:p>
            <w:pPr>
              <w:pStyle w:val="0"/>
              <w:jc w:val="center"/>
            </w:pPr>
            <w:r>
              <w:rPr>
                <w:sz w:val="20"/>
              </w:rPr>
              <w:t xml:space="preserve">0,5</w:t>
            </w:r>
          </w:p>
        </w:tc>
        <w:tc>
          <w:tcPr>
            <w:tcW w:w="989" w:type="dxa"/>
            <w:vAlign w:val="center"/>
          </w:tcPr>
          <w:p>
            <w:pPr>
              <w:pStyle w:val="0"/>
              <w:jc w:val="center"/>
            </w:pPr>
            <w:r>
              <w:rPr>
                <w:sz w:val="20"/>
              </w:rPr>
              <w:t xml:space="preserve">1,0</w:t>
            </w:r>
          </w:p>
        </w:tc>
        <w:tc>
          <w:tcPr>
            <w:tcW w:w="1560" w:type="dxa"/>
            <w:vAlign w:val="center"/>
          </w:tcPr>
          <w:p>
            <w:pPr>
              <w:pStyle w:val="0"/>
              <w:jc w:val="center"/>
            </w:pPr>
            <w:r>
              <w:rPr>
                <w:sz w:val="20"/>
              </w:rPr>
              <w:t xml:space="preserve">0,5q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1,0</w:t>
            </w:r>
          </w:p>
        </w:tc>
        <w:tc>
          <w:tcPr>
            <w:tcW w:w="840" w:type="dxa"/>
            <w:vAlign w:val="center"/>
          </w:tcPr>
          <w:p>
            <w:pPr>
              <w:pStyle w:val="0"/>
              <w:jc w:val="center"/>
            </w:pPr>
            <w:r>
              <w:rPr>
                <w:sz w:val="20"/>
              </w:rPr>
              <w:t xml:space="preserve">1,0</w:t>
            </w:r>
          </w:p>
        </w:tc>
        <w:tc>
          <w:tcPr>
            <w:tcW w:w="964" w:type="dxa"/>
            <w:vAlign w:val="center"/>
          </w:tcPr>
          <w:p>
            <w:pPr>
              <w:pStyle w:val="0"/>
              <w:jc w:val="center"/>
            </w:pPr>
            <w:r>
              <w:rPr>
                <w:sz w:val="20"/>
              </w:rPr>
              <w:t xml:space="preserve">1,5</w:t>
            </w:r>
          </w:p>
        </w:tc>
      </w:tr>
      <w:tr>
        <w:tc>
          <w:tcPr>
            <w:vMerge w:val="continue"/>
          </w:tcPr>
          <w:p/>
        </w:tc>
        <w:tc>
          <w:tcPr>
            <w:tcW w:w="706" w:type="dxa"/>
            <w:vAlign w:val="center"/>
          </w:tcPr>
          <w:p>
            <w:pPr>
              <w:pStyle w:val="0"/>
              <w:jc w:val="center"/>
            </w:pPr>
            <w:r>
              <w:rPr>
                <w:sz w:val="20"/>
              </w:rPr>
              <w:t xml:space="preserve">III</w:t>
            </w:r>
          </w:p>
        </w:tc>
        <w:tc>
          <w:tcPr>
            <w:tcW w:w="1128" w:type="dxa"/>
            <w:vAlign w:val="center"/>
          </w:tcPr>
          <w:p>
            <w:pPr>
              <w:pStyle w:val="0"/>
              <w:jc w:val="center"/>
            </w:pPr>
            <w:r>
              <w:rPr>
                <w:sz w:val="20"/>
              </w:rPr>
              <w:t xml:space="preserve">6</w:t>
            </w:r>
          </w:p>
        </w:tc>
        <w:tc>
          <w:tcPr>
            <w:tcW w:w="1128" w:type="dxa"/>
            <w:vAlign w:val="center"/>
          </w:tcPr>
          <w:p>
            <w:pPr>
              <w:pStyle w:val="0"/>
              <w:jc w:val="center"/>
            </w:pPr>
            <w:r>
              <w:rPr>
                <w:sz w:val="20"/>
              </w:rPr>
              <w:t xml:space="preserve">1,0</w:t>
            </w:r>
          </w:p>
        </w:tc>
        <w:tc>
          <w:tcPr>
            <w:tcW w:w="989" w:type="dxa"/>
            <w:vAlign w:val="center"/>
          </w:tcPr>
          <w:p>
            <w:pPr>
              <w:pStyle w:val="0"/>
              <w:jc w:val="center"/>
            </w:pPr>
            <w:r>
              <w:rPr>
                <w:sz w:val="20"/>
              </w:rPr>
              <w:t xml:space="preserve">1,5</w:t>
            </w:r>
          </w:p>
        </w:tc>
        <w:tc>
          <w:tcPr>
            <w:tcW w:w="1560" w:type="dxa"/>
            <w:vAlign w:val="center"/>
          </w:tcPr>
          <w:p>
            <w:pPr>
              <w:pStyle w:val="0"/>
              <w:jc w:val="center"/>
            </w:pPr>
            <w:r>
              <w:rPr>
                <w:sz w:val="20"/>
              </w:rPr>
              <w:t xml:space="preserve">0,5q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1,0</w:t>
            </w:r>
          </w:p>
        </w:tc>
        <w:tc>
          <w:tcPr>
            <w:tcW w:w="840" w:type="dxa"/>
            <w:vAlign w:val="center"/>
          </w:tcPr>
          <w:p>
            <w:pPr>
              <w:pStyle w:val="0"/>
              <w:jc w:val="center"/>
            </w:pPr>
            <w:r>
              <w:rPr>
                <w:sz w:val="20"/>
              </w:rPr>
              <w:t xml:space="preserve">1,5</w:t>
            </w:r>
          </w:p>
        </w:tc>
        <w:tc>
          <w:tcPr>
            <w:tcW w:w="964" w:type="dxa"/>
            <w:vAlign w:val="center"/>
          </w:tcPr>
          <w:p>
            <w:pPr>
              <w:pStyle w:val="0"/>
              <w:jc w:val="center"/>
            </w:pPr>
            <w:r>
              <w:rPr>
                <w:sz w:val="20"/>
              </w:rPr>
              <w:t xml:space="preserve">2,0</w:t>
            </w:r>
          </w:p>
        </w:tc>
      </w:tr>
      <w:tr>
        <w:tc>
          <w:tcPr>
            <w:tcW w:w="1709" w:type="dxa"/>
            <w:vAlign w:val="center"/>
            <w:vMerge w:val="restart"/>
          </w:tcPr>
          <w:p>
            <w:pPr>
              <w:pStyle w:val="0"/>
              <w:jc w:val="center"/>
            </w:pPr>
            <w:r>
              <w:rPr>
                <w:sz w:val="20"/>
              </w:rPr>
              <w:t xml:space="preserve">Более 12,0</w:t>
            </w:r>
          </w:p>
        </w:tc>
        <w:tc>
          <w:tcPr>
            <w:tcW w:w="706" w:type="dxa"/>
            <w:vAlign w:val="center"/>
          </w:tcPr>
          <w:p>
            <w:pPr>
              <w:pStyle w:val="0"/>
              <w:jc w:val="center"/>
            </w:pPr>
            <w:r>
              <w:rPr>
                <w:sz w:val="20"/>
              </w:rPr>
              <w:t xml:space="preserve">I,</w:t>
            </w:r>
          </w:p>
          <w:p>
            <w:pPr>
              <w:pStyle w:val="0"/>
              <w:jc w:val="center"/>
            </w:pPr>
            <w:r>
              <w:rPr>
                <w:sz w:val="20"/>
              </w:rPr>
              <w:t xml:space="preserve">II</w:t>
            </w:r>
          </w:p>
        </w:tc>
        <w:tc>
          <w:tcPr>
            <w:tcW w:w="1128" w:type="dxa"/>
            <w:vAlign w:val="center"/>
          </w:tcPr>
          <w:p>
            <w:pPr>
              <w:pStyle w:val="0"/>
              <w:jc w:val="center"/>
            </w:pPr>
            <w:r>
              <w:rPr>
                <w:sz w:val="20"/>
              </w:rPr>
              <w:t xml:space="preserve">12</w:t>
            </w:r>
          </w:p>
        </w:tc>
        <w:tc>
          <w:tcPr>
            <w:tcW w:w="1128" w:type="dxa"/>
            <w:vAlign w:val="center"/>
          </w:tcPr>
          <w:p>
            <w:pPr>
              <w:pStyle w:val="0"/>
              <w:jc w:val="center"/>
            </w:pPr>
            <w:r>
              <w:rPr>
                <w:sz w:val="20"/>
              </w:rPr>
              <w:t xml:space="preserve">0,5</w:t>
            </w:r>
          </w:p>
        </w:tc>
        <w:tc>
          <w:tcPr>
            <w:tcW w:w="989" w:type="dxa"/>
            <w:vAlign w:val="center"/>
          </w:tcPr>
          <w:p>
            <w:pPr>
              <w:pStyle w:val="0"/>
              <w:jc w:val="center"/>
            </w:pPr>
            <w:r>
              <w:rPr>
                <w:sz w:val="20"/>
              </w:rPr>
              <w:t xml:space="preserve">1,0</w:t>
            </w:r>
          </w:p>
        </w:tc>
        <w:tc>
          <w:tcPr>
            <w:tcW w:w="1560" w:type="dxa"/>
            <w:vAlign w:val="center"/>
          </w:tcPr>
          <w:p>
            <w:pPr>
              <w:pStyle w:val="0"/>
              <w:jc w:val="center"/>
            </w:pPr>
            <w:r>
              <w:rPr>
                <w:sz w:val="20"/>
              </w:rPr>
              <w:t xml:space="preserve">0,5q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1,5</w:t>
            </w:r>
          </w:p>
        </w:tc>
        <w:tc>
          <w:tcPr>
            <w:tcW w:w="840" w:type="dxa"/>
            <w:vAlign w:val="center"/>
          </w:tcPr>
          <w:p>
            <w:pPr>
              <w:pStyle w:val="0"/>
              <w:jc w:val="center"/>
            </w:pPr>
            <w:r>
              <w:rPr>
                <w:sz w:val="20"/>
              </w:rPr>
              <w:t xml:space="preserve">1,5</w:t>
            </w:r>
          </w:p>
        </w:tc>
        <w:tc>
          <w:tcPr>
            <w:tcW w:w="964" w:type="dxa"/>
            <w:vAlign w:val="center"/>
          </w:tcPr>
          <w:p>
            <w:pPr>
              <w:pStyle w:val="0"/>
              <w:jc w:val="center"/>
            </w:pPr>
            <w:r>
              <w:rPr>
                <w:sz w:val="20"/>
              </w:rPr>
              <w:t xml:space="preserve">2,0</w:t>
            </w:r>
          </w:p>
        </w:tc>
      </w:tr>
      <w:tr>
        <w:tc>
          <w:tcPr>
            <w:vMerge w:val="continue"/>
          </w:tcPr>
          <w:p/>
        </w:tc>
        <w:tc>
          <w:tcPr>
            <w:tcW w:w="706" w:type="dxa"/>
            <w:vAlign w:val="center"/>
          </w:tcPr>
          <w:p>
            <w:pPr>
              <w:pStyle w:val="0"/>
              <w:jc w:val="center"/>
            </w:pPr>
            <w:r>
              <w:rPr>
                <w:sz w:val="20"/>
              </w:rPr>
              <w:t xml:space="preserve">III</w:t>
            </w:r>
          </w:p>
        </w:tc>
        <w:tc>
          <w:tcPr>
            <w:tcW w:w="1128" w:type="dxa"/>
            <w:vAlign w:val="center"/>
          </w:tcPr>
          <w:p>
            <w:pPr>
              <w:pStyle w:val="0"/>
              <w:jc w:val="center"/>
            </w:pPr>
            <w:r>
              <w:rPr>
                <w:sz w:val="20"/>
              </w:rPr>
              <w:t xml:space="preserve">6</w:t>
            </w:r>
          </w:p>
        </w:tc>
        <w:tc>
          <w:tcPr>
            <w:tcW w:w="1128" w:type="dxa"/>
            <w:vAlign w:val="center"/>
          </w:tcPr>
          <w:p>
            <w:pPr>
              <w:pStyle w:val="0"/>
              <w:jc w:val="center"/>
            </w:pPr>
            <w:r>
              <w:rPr>
                <w:sz w:val="20"/>
              </w:rPr>
              <w:t xml:space="preserve">1,0</w:t>
            </w:r>
          </w:p>
        </w:tc>
        <w:tc>
          <w:tcPr>
            <w:tcW w:w="989" w:type="dxa"/>
            <w:vAlign w:val="center"/>
          </w:tcPr>
          <w:p>
            <w:pPr>
              <w:pStyle w:val="0"/>
              <w:jc w:val="center"/>
            </w:pPr>
            <w:r>
              <w:rPr>
                <w:sz w:val="20"/>
              </w:rPr>
              <w:t xml:space="preserve">1,5</w:t>
            </w:r>
          </w:p>
        </w:tc>
        <w:tc>
          <w:tcPr>
            <w:tcW w:w="1560" w:type="dxa"/>
            <w:vAlign w:val="center"/>
          </w:tcPr>
          <w:p>
            <w:pPr>
              <w:pStyle w:val="0"/>
              <w:jc w:val="center"/>
            </w:pPr>
            <w:r>
              <w:rPr>
                <w:sz w:val="20"/>
              </w:rPr>
              <w:t xml:space="preserve">0,5q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2,0</w:t>
            </w:r>
          </w:p>
        </w:tc>
        <w:tc>
          <w:tcPr>
            <w:tcW w:w="840" w:type="dxa"/>
            <w:vAlign w:val="center"/>
          </w:tcPr>
          <w:p>
            <w:pPr>
              <w:pStyle w:val="0"/>
              <w:jc w:val="center"/>
            </w:pPr>
            <w:r>
              <w:rPr>
                <w:sz w:val="20"/>
              </w:rPr>
              <w:t xml:space="preserve">2,0</w:t>
            </w:r>
          </w:p>
        </w:tc>
        <w:tc>
          <w:tcPr>
            <w:tcW w:w="964" w:type="dxa"/>
            <w:vAlign w:val="center"/>
          </w:tcPr>
          <w:p>
            <w:pPr>
              <w:pStyle w:val="0"/>
              <w:jc w:val="center"/>
            </w:pPr>
            <w:r>
              <w:rPr>
                <w:sz w:val="20"/>
              </w:rPr>
              <w:t xml:space="preserve">3,0</w:t>
            </w:r>
          </w:p>
        </w:tc>
      </w:tr>
      <w:tr>
        <w:tc>
          <w:tcPr>
            <w:gridSpan w:val="8"/>
            <w:tcW w:w="9024" w:type="dxa"/>
          </w:tcPr>
          <w:p>
            <w:pPr>
              <w:pStyle w:val="0"/>
              <w:jc w:val="both"/>
            </w:pPr>
            <w:r>
              <w:rPr>
                <w:sz w:val="20"/>
              </w:rPr>
              <w:t xml:space="preserve">Примечание. q - высота выпуклости шва.</w:t>
            </w:r>
          </w:p>
        </w:tc>
      </w:tr>
    </w:tbl>
    <w:p>
      <w:pPr>
        <w:pStyle w:val="0"/>
        <w:jc w:val="both"/>
      </w:pPr>
      <w:r>
        <w:rPr>
          <w:sz w:val="20"/>
        </w:rPr>
      </w:r>
    </w:p>
    <w:p>
      <w:pPr>
        <w:pStyle w:val="0"/>
        <w:ind w:firstLine="540"/>
        <w:jc w:val="both"/>
      </w:pPr>
      <w:r>
        <w:rPr>
          <w:sz w:val="20"/>
        </w:rPr>
        <w:t xml:space="preserve">12. Выявленные при визуальном и измерительном контроле несплошности, размеры которых превышают допустимые, должны быть устранены до проведения контроля другими методами.</w:t>
      </w:r>
    </w:p>
    <w:p>
      <w:pPr>
        <w:pStyle w:val="0"/>
        <w:jc w:val="both"/>
      </w:pPr>
      <w:r>
        <w:rPr>
          <w:sz w:val="20"/>
        </w:rPr>
      </w:r>
    </w:p>
    <w:p>
      <w:pPr>
        <w:pStyle w:val="2"/>
        <w:outlineLvl w:val="2"/>
        <w:jc w:val="center"/>
      </w:pPr>
      <w:r>
        <w:rPr>
          <w:sz w:val="20"/>
        </w:rPr>
        <w:t xml:space="preserve">Контроль прогонкой металлическим калибром (шариком)</w:t>
      </w:r>
    </w:p>
    <w:p>
      <w:pPr>
        <w:pStyle w:val="0"/>
        <w:jc w:val="both"/>
      </w:pPr>
      <w:r>
        <w:rPr>
          <w:sz w:val="20"/>
        </w:rPr>
      </w:r>
    </w:p>
    <w:p>
      <w:pPr>
        <w:pStyle w:val="0"/>
        <w:ind w:firstLine="540"/>
        <w:jc w:val="both"/>
      </w:pPr>
      <w:r>
        <w:rPr>
          <w:sz w:val="20"/>
        </w:rPr>
        <w:t xml:space="preserve">13. Результаты контроля прогонкой металлическим калибром (шариком) считаются удовлетворительными, если калибр (шарик) заданного конструкторской документацией диаметра проходит через контролируемое сварное соединение.</w:t>
      </w:r>
    </w:p>
    <w:p>
      <w:pPr>
        <w:pStyle w:val="0"/>
        <w:jc w:val="both"/>
      </w:pPr>
      <w:r>
        <w:rPr>
          <w:sz w:val="20"/>
        </w:rPr>
      </w:r>
    </w:p>
    <w:p>
      <w:pPr>
        <w:pStyle w:val="2"/>
        <w:outlineLvl w:val="2"/>
        <w:jc w:val="center"/>
      </w:pPr>
      <w:r>
        <w:rPr>
          <w:sz w:val="20"/>
        </w:rPr>
        <w:t xml:space="preserve">Контроль герметичности</w:t>
      </w:r>
    </w:p>
    <w:p>
      <w:pPr>
        <w:pStyle w:val="0"/>
        <w:jc w:val="both"/>
      </w:pPr>
      <w:r>
        <w:rPr>
          <w:sz w:val="20"/>
        </w:rPr>
      </w:r>
    </w:p>
    <w:p>
      <w:pPr>
        <w:pStyle w:val="0"/>
        <w:ind w:firstLine="540"/>
        <w:jc w:val="both"/>
      </w:pPr>
      <w:r>
        <w:rPr>
          <w:sz w:val="20"/>
        </w:rPr>
        <w:t xml:space="preserve">14. Качество сварного соединения считается удовлетворительным, если в процессе испытаний не будут обнаружены натекание или утечка, превышающие соответствующие показатели для класса герметичности, установленного конструкторской документацией.</w:t>
      </w:r>
    </w:p>
    <w:p>
      <w:pPr>
        <w:pStyle w:val="0"/>
        <w:jc w:val="both"/>
      </w:pPr>
      <w:r>
        <w:rPr>
          <w:sz w:val="20"/>
        </w:rPr>
      </w:r>
    </w:p>
    <w:p>
      <w:pPr>
        <w:pStyle w:val="2"/>
        <w:outlineLvl w:val="2"/>
        <w:jc w:val="center"/>
      </w:pPr>
      <w:r>
        <w:rPr>
          <w:sz w:val="20"/>
        </w:rPr>
        <w:t xml:space="preserve">Капиллярный контроль</w:t>
      </w:r>
    </w:p>
    <w:p>
      <w:pPr>
        <w:pStyle w:val="0"/>
        <w:jc w:val="both"/>
      </w:pPr>
      <w:r>
        <w:rPr>
          <w:sz w:val="20"/>
        </w:rPr>
      </w:r>
    </w:p>
    <w:p>
      <w:pPr>
        <w:pStyle w:val="0"/>
        <w:ind w:firstLine="540"/>
        <w:jc w:val="both"/>
      </w:pPr>
      <w:r>
        <w:rPr>
          <w:sz w:val="20"/>
        </w:rPr>
        <w:t xml:space="preserve">15. Оценка качества сварных соединений и наплавленных поверхностей при капиллярном контроле может проводиться по индикаторным следам и по фактическим характеристикам выявленных несплошностей после удаления проявителя в зоне зафиксированных индикаторных следов.</w:t>
      </w:r>
    </w:p>
    <w:p>
      <w:pPr>
        <w:pStyle w:val="0"/>
        <w:spacing w:before="200" w:line-rule="auto"/>
        <w:ind w:firstLine="540"/>
        <w:jc w:val="both"/>
      </w:pPr>
      <w:r>
        <w:rPr>
          <w:sz w:val="20"/>
        </w:rPr>
        <w:t xml:space="preserve">16. При капиллярном контроле по индикаторным следам качество сварного соединения или наплавленной поверхности считается удовлетворительным при одновременном соблюдении следующих условий:</w:t>
      </w:r>
    </w:p>
    <w:p>
      <w:pPr>
        <w:pStyle w:val="0"/>
        <w:spacing w:before="200" w:line-rule="auto"/>
        <w:ind w:firstLine="540"/>
        <w:jc w:val="both"/>
      </w:pPr>
      <w:r>
        <w:rPr>
          <w:sz w:val="20"/>
        </w:rPr>
        <w:t xml:space="preserve">а) индикаторные следы являются одиночными;</w:t>
      </w:r>
    </w:p>
    <w:p>
      <w:pPr>
        <w:pStyle w:val="0"/>
        <w:spacing w:before="200" w:line-rule="auto"/>
        <w:ind w:firstLine="540"/>
        <w:jc w:val="both"/>
      </w:pPr>
      <w:r>
        <w:rPr>
          <w:sz w:val="20"/>
        </w:rPr>
        <w:t xml:space="preserve">б) линейные индикаторные следы отсутствуют;</w:t>
      </w:r>
    </w:p>
    <w:p>
      <w:pPr>
        <w:pStyle w:val="0"/>
        <w:spacing w:before="200" w:line-rule="auto"/>
        <w:ind w:firstLine="540"/>
        <w:jc w:val="both"/>
      </w:pPr>
      <w:r>
        <w:rPr>
          <w:sz w:val="20"/>
        </w:rPr>
        <w:t xml:space="preserve">в) наибольший размер каждого индикаторного следа не превышает более чем в три раза значений, приведенных в </w:t>
      </w:r>
      <w:hyperlink w:history="0" w:anchor="P1385" w:tooltip="2. Нормы допустимой высоты (глубины) углубления между валиками и чешуйчатости их поверхности для сварных соединений деталей из стали и железоникелевых сплавов приведены в таблице N 4.2 настоящего приложения.">
        <w:r>
          <w:rPr>
            <w:sz w:val="20"/>
            <w:color w:val="0000ff"/>
          </w:rPr>
          <w:t xml:space="preserve">пунктах 2</w:t>
        </w:r>
      </w:hyperlink>
      <w:r>
        <w:rPr>
          <w:sz w:val="20"/>
        </w:rPr>
        <w:t xml:space="preserve"> и </w:t>
      </w:r>
      <w:hyperlink w:history="0" w:anchor="P1419" w:tooltip="3. На поверхности антикоррозионной наплавки допускаются одиночные включения размером не более 1,0 мм, если их число на любом участке размером 100,0 x 100,0 мм не превышает четырех.">
        <w:r>
          <w:rPr>
            <w:sz w:val="20"/>
            <w:color w:val="0000ff"/>
          </w:rPr>
          <w:t xml:space="preserve">3</w:t>
        </w:r>
      </w:hyperlink>
      <w:r>
        <w:rPr>
          <w:sz w:val="20"/>
        </w:rPr>
        <w:t xml:space="preserve"> настоящего приложения для одиночных включений;</w:t>
      </w:r>
    </w:p>
    <w:p>
      <w:pPr>
        <w:pStyle w:val="0"/>
        <w:spacing w:before="200" w:line-rule="auto"/>
        <w:ind w:firstLine="540"/>
        <w:jc w:val="both"/>
      </w:pPr>
      <w:r>
        <w:rPr>
          <w:sz w:val="20"/>
        </w:rPr>
        <w:t xml:space="preserve">г) число индикаторных следов не превышает значений, приведенных в </w:t>
      </w:r>
      <w:hyperlink w:history="0" w:anchor="P1385" w:tooltip="2. Нормы допустимой высоты (глубины) углубления между валиками и чешуйчатости их поверхности для сварных соединений деталей из стали и железоникелевых сплавов приведены в таблице N 4.2 настоящего приложения.">
        <w:r>
          <w:rPr>
            <w:sz w:val="20"/>
            <w:color w:val="0000ff"/>
          </w:rPr>
          <w:t xml:space="preserve">пунктах 2</w:t>
        </w:r>
      </w:hyperlink>
      <w:r>
        <w:rPr>
          <w:sz w:val="20"/>
        </w:rPr>
        <w:t xml:space="preserve"> и </w:t>
      </w:r>
      <w:hyperlink w:history="0" w:anchor="P1419" w:tooltip="3. На поверхности антикоррозионной наплавки допускаются одиночные включения размером не более 1,0 мм, если их число на любом участке размером 100,0 x 100,0 мм не превышает четырех.">
        <w:r>
          <w:rPr>
            <w:sz w:val="20"/>
            <w:color w:val="0000ff"/>
          </w:rPr>
          <w:t xml:space="preserve">3</w:t>
        </w:r>
      </w:hyperlink>
      <w:r>
        <w:rPr>
          <w:sz w:val="20"/>
        </w:rPr>
        <w:t xml:space="preserve"> настоящего приложения для одиночных включений.</w:t>
      </w:r>
    </w:p>
    <w:p>
      <w:pPr>
        <w:pStyle w:val="0"/>
        <w:spacing w:before="200" w:line-rule="auto"/>
        <w:ind w:firstLine="540"/>
        <w:jc w:val="both"/>
      </w:pPr>
      <w:r>
        <w:rPr>
          <w:sz w:val="20"/>
        </w:rPr>
        <w:t xml:space="preserve">17. Индикаторные следы считаются одиночными, если минимальное расстояние от края каждого из них до края любого другого соседнего индикаторного следа не менее максимального размера индикаторного следа с меньшим значением этого показателя.</w:t>
      </w:r>
    </w:p>
    <w:bookmarkStart w:id="1645" w:name="P1645"/>
    <w:bookmarkEnd w:id="1645"/>
    <w:p>
      <w:pPr>
        <w:pStyle w:val="0"/>
        <w:spacing w:before="200" w:line-rule="auto"/>
        <w:ind w:firstLine="540"/>
        <w:jc w:val="both"/>
      </w:pPr>
      <w:r>
        <w:rPr>
          <w:sz w:val="20"/>
        </w:rPr>
        <w:t xml:space="preserve">18. Округлые индикаторные следы с наибольшим размером до 0,6 мм включительно не учитываются вне зависимости от номинальной толщины сваренных (наплавленных) деталей.</w:t>
      </w:r>
    </w:p>
    <w:p>
      <w:pPr>
        <w:pStyle w:val="0"/>
        <w:spacing w:before="200" w:line-rule="auto"/>
        <w:ind w:firstLine="540"/>
        <w:jc w:val="both"/>
      </w:pPr>
      <w:r>
        <w:rPr>
          <w:sz w:val="20"/>
        </w:rPr>
        <w:t xml:space="preserve">19. Несплошности, не удовлетворяющие требованиям </w:t>
      </w:r>
      <w:hyperlink w:history="0" w:anchor="P1645" w:tooltip="18. Округлые индикаторные следы с наибольшим размером до 0,6 мм включительно не учитываются вне зависимости от номинальной толщины сваренных (наплавленных) деталей.">
        <w:r>
          <w:rPr>
            <w:sz w:val="20"/>
            <w:color w:val="0000ff"/>
          </w:rPr>
          <w:t xml:space="preserve">пункта 18</w:t>
        </w:r>
      </w:hyperlink>
      <w:r>
        <w:rPr>
          <w:sz w:val="20"/>
        </w:rPr>
        <w:t xml:space="preserve"> настоящего приложения, допускается подвергать контролю по фактическим характеристикам, результаты которого являются окончательными.</w:t>
      </w:r>
    </w:p>
    <w:p>
      <w:pPr>
        <w:pStyle w:val="0"/>
        <w:spacing w:before="200" w:line-rule="auto"/>
        <w:ind w:firstLine="540"/>
        <w:jc w:val="both"/>
      </w:pPr>
      <w:r>
        <w:rPr>
          <w:sz w:val="20"/>
        </w:rPr>
        <w:t xml:space="preserve">20. Оценка качества сварного соединения и наплавленной поверхности при проведении капиллярного контроля по фактическим характеристикам выявленных несплошностей должна проводиться в соответствии с требованиями </w:t>
      </w:r>
      <w:hyperlink w:history="0" w:anchor="P1223" w:tooltip="1. Нормы допустимых одиночных поверхностных включений для сварных соединений и предварительно наплавленных кромок деталей из стали и железоникелевых сплавов приведены в таблице N 4.1 настоящего приложения.">
        <w:r>
          <w:rPr>
            <w:sz w:val="20"/>
            <w:color w:val="0000ff"/>
          </w:rPr>
          <w:t xml:space="preserve">пунктов 1</w:t>
        </w:r>
      </w:hyperlink>
      <w:r>
        <w:rPr>
          <w:sz w:val="20"/>
        </w:rPr>
        <w:t xml:space="preserve">, </w:t>
      </w:r>
      <w:hyperlink w:history="0" w:anchor="P1385" w:tooltip="2. Нормы допустимой высоты (глубины) углубления между валиками и чешуйчатости их поверхности для сварных соединений деталей из стали и железоникелевых сплавов приведены в таблице N 4.2 настоящего приложения.">
        <w:r>
          <w:rPr>
            <w:sz w:val="20"/>
            <w:color w:val="0000ff"/>
          </w:rPr>
          <w:t xml:space="preserve">2</w:t>
        </w:r>
      </w:hyperlink>
      <w:r>
        <w:rPr>
          <w:sz w:val="20"/>
        </w:rPr>
        <w:t xml:space="preserve"> и </w:t>
      </w:r>
      <w:hyperlink w:history="0" w:anchor="P1420" w:tooltip="4. При проведении визуального контроля на поверхностях антикоррозионных наплавок включения с наибольшим фактическим размером до 0,2 мм не учитываются.">
        <w:r>
          <w:rPr>
            <w:sz w:val="20"/>
            <w:color w:val="0000ff"/>
          </w:rPr>
          <w:t xml:space="preserve">4</w:t>
        </w:r>
      </w:hyperlink>
      <w:r>
        <w:rPr>
          <w:sz w:val="20"/>
        </w:rPr>
        <w:t xml:space="preserve"> настоящего приложения.</w:t>
      </w:r>
    </w:p>
    <w:p>
      <w:pPr>
        <w:pStyle w:val="0"/>
        <w:jc w:val="both"/>
      </w:pPr>
      <w:r>
        <w:rPr>
          <w:sz w:val="20"/>
        </w:rPr>
      </w:r>
    </w:p>
    <w:p>
      <w:pPr>
        <w:pStyle w:val="2"/>
        <w:outlineLvl w:val="2"/>
        <w:jc w:val="center"/>
      </w:pPr>
      <w:r>
        <w:rPr>
          <w:sz w:val="20"/>
        </w:rPr>
        <w:t xml:space="preserve">Магнитопорошковый контроль</w:t>
      </w:r>
    </w:p>
    <w:p>
      <w:pPr>
        <w:pStyle w:val="0"/>
        <w:jc w:val="both"/>
      </w:pPr>
      <w:r>
        <w:rPr>
          <w:sz w:val="20"/>
        </w:rPr>
      </w:r>
    </w:p>
    <w:p>
      <w:pPr>
        <w:pStyle w:val="0"/>
        <w:ind w:firstLine="540"/>
        <w:jc w:val="both"/>
      </w:pPr>
      <w:r>
        <w:rPr>
          <w:sz w:val="20"/>
        </w:rPr>
        <w:t xml:space="preserve">21. Оценка качества магнитопорошкового контроля должна проводиться в соответствии с требованиями, установленными для визуального контроля в </w:t>
      </w:r>
      <w:hyperlink w:history="0" w:anchor="P1223" w:tooltip="1. Нормы допустимых одиночных поверхностных включений для сварных соединений и предварительно наплавленных кромок деталей из стали и железоникелевых сплавов приведены в таблице N 4.1 настоящего приложения.">
        <w:r>
          <w:rPr>
            <w:sz w:val="20"/>
            <w:color w:val="0000ff"/>
          </w:rPr>
          <w:t xml:space="preserve">пунктах 1</w:t>
        </w:r>
      </w:hyperlink>
      <w:r>
        <w:rPr>
          <w:sz w:val="20"/>
        </w:rPr>
        <w:t xml:space="preserve">, </w:t>
      </w:r>
      <w:hyperlink w:history="0" w:anchor="P1385" w:tooltip="2. Нормы допустимой высоты (глубины) углубления между валиками и чешуйчатости их поверхности для сварных соединений деталей из стали и железоникелевых сплавов приведены в таблице N 4.2 настоящего приложения.">
        <w:r>
          <w:rPr>
            <w:sz w:val="20"/>
            <w:color w:val="0000ff"/>
          </w:rPr>
          <w:t xml:space="preserve">2</w:t>
        </w:r>
      </w:hyperlink>
      <w:r>
        <w:rPr>
          <w:sz w:val="20"/>
        </w:rPr>
        <w:t xml:space="preserve"> настоящего приложения. Допускается оценивать выявленные несплошности, выходящие на поверхность, по их фактическим характеристикам после удаления суспензии или порошка.</w:t>
      </w:r>
    </w:p>
    <w:p>
      <w:pPr>
        <w:pStyle w:val="0"/>
        <w:spacing w:before="200" w:line-rule="auto"/>
        <w:ind w:firstLine="540"/>
        <w:jc w:val="both"/>
      </w:pPr>
      <w:r>
        <w:rPr>
          <w:sz w:val="20"/>
        </w:rPr>
        <w:t xml:space="preserve">22. При выявлении недопустимых индикаций допускается проведение капиллярного контроля соответствующих зон. При положительных результатах контроля проводится зашлифовка металла на глубину до 1,0 мм (при условии обеспечения минимально допустимой толщины металла) и последующий повторный магнитопорошковый контроль, результаты которого являются окончательными.</w:t>
      </w:r>
    </w:p>
    <w:p>
      <w:pPr>
        <w:pStyle w:val="0"/>
        <w:jc w:val="both"/>
      </w:pPr>
      <w:r>
        <w:rPr>
          <w:sz w:val="20"/>
        </w:rPr>
      </w:r>
    </w:p>
    <w:p>
      <w:pPr>
        <w:pStyle w:val="2"/>
        <w:outlineLvl w:val="2"/>
        <w:jc w:val="center"/>
      </w:pPr>
      <w:r>
        <w:rPr>
          <w:sz w:val="20"/>
        </w:rPr>
        <w:t xml:space="preserve">Радиографический контроль</w:t>
      </w:r>
    </w:p>
    <w:p>
      <w:pPr>
        <w:pStyle w:val="0"/>
        <w:jc w:val="both"/>
      </w:pPr>
      <w:r>
        <w:rPr>
          <w:sz w:val="20"/>
        </w:rPr>
      </w:r>
    </w:p>
    <w:p>
      <w:pPr>
        <w:pStyle w:val="0"/>
        <w:ind w:firstLine="540"/>
        <w:jc w:val="both"/>
      </w:pPr>
      <w:r>
        <w:rPr>
          <w:sz w:val="20"/>
        </w:rPr>
        <w:t xml:space="preserve">23. Качество сварного соединения (или наплавленной поверхности) деталей и сборочных единиц считается удовлетворительным, если при контроле не обнаружены трещины, непровары, а также не удовлетворяющие требованиям настоящих Правил включения, вогнутость или выпуклость корня шва.</w:t>
      </w:r>
    </w:p>
    <w:p>
      <w:pPr>
        <w:pStyle w:val="0"/>
        <w:spacing w:before="200" w:line-rule="auto"/>
        <w:ind w:firstLine="540"/>
        <w:jc w:val="both"/>
      </w:pPr>
      <w:r>
        <w:rPr>
          <w:sz w:val="20"/>
        </w:rPr>
        <w:t xml:space="preserve">24. Если вогнутость или превышение проплавления корня шва проверены при измерительном контроле, их оценка при радиографическом контроле не проводится.</w:t>
      </w:r>
    </w:p>
    <w:p>
      <w:pPr>
        <w:pStyle w:val="0"/>
        <w:spacing w:before="200" w:line-rule="auto"/>
        <w:ind w:firstLine="540"/>
        <w:jc w:val="both"/>
      </w:pPr>
      <w:r>
        <w:rPr>
          <w:sz w:val="20"/>
        </w:rPr>
        <w:t xml:space="preserve">25. Нормы допустимых одиночных включений и скоплений для сварных соединений (кроме Iн и IIн категорий) деталей и сборочных единиц из стали и железоникелевых сплавов приведены в таблице N 4.8 настоящего приложения.</w:t>
      </w:r>
    </w:p>
    <w:p>
      <w:pPr>
        <w:pStyle w:val="0"/>
        <w:jc w:val="both"/>
      </w:pPr>
      <w:r>
        <w:rPr>
          <w:sz w:val="20"/>
        </w:rPr>
      </w:r>
    </w:p>
    <w:bookmarkStart w:id="1660" w:name="P1660"/>
    <w:bookmarkEnd w:id="1660"/>
    <w:p>
      <w:pPr>
        <w:pStyle w:val="0"/>
        <w:outlineLvl w:val="3"/>
        <w:jc w:val="right"/>
      </w:pPr>
      <w:r>
        <w:rPr>
          <w:sz w:val="20"/>
        </w:rPr>
        <w:t xml:space="preserve">Таблица N 4.8</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65"/>
        <w:gridCol w:w="794"/>
        <w:gridCol w:w="710"/>
        <w:gridCol w:w="624"/>
        <w:gridCol w:w="964"/>
        <w:gridCol w:w="1020"/>
        <w:gridCol w:w="680"/>
        <w:gridCol w:w="737"/>
        <w:gridCol w:w="859"/>
      </w:tblGrid>
      <w:tr>
        <w:tc>
          <w:tcPr>
            <w:tcW w:w="2665" w:type="dxa"/>
            <w:vMerge w:val="restart"/>
          </w:tcPr>
          <w:p>
            <w:pPr>
              <w:pStyle w:val="0"/>
              <w:jc w:val="center"/>
            </w:pPr>
            <w:r>
              <w:rPr>
                <w:sz w:val="20"/>
              </w:rPr>
              <w:t xml:space="preserve">Номинальная толщина сваренных деталей в месте сварки, мм</w:t>
            </w:r>
          </w:p>
        </w:tc>
        <w:tc>
          <w:tcPr>
            <w:tcW w:w="794" w:type="dxa"/>
            <w:vMerge w:val="restart"/>
          </w:tcPr>
          <w:p>
            <w:pPr>
              <w:pStyle w:val="0"/>
              <w:jc w:val="center"/>
            </w:pPr>
            <w:r>
              <w:rPr>
                <w:sz w:val="20"/>
              </w:rPr>
              <w:t xml:space="preserve">Требуемая чувствительность контроля, мм, не более</w:t>
            </w:r>
          </w:p>
        </w:tc>
        <w:tc>
          <w:tcPr>
            <w:gridSpan w:val="4"/>
            <w:tcW w:w="3318" w:type="dxa"/>
          </w:tcPr>
          <w:p>
            <w:pPr>
              <w:pStyle w:val="0"/>
              <w:jc w:val="center"/>
            </w:pPr>
            <w:r>
              <w:rPr>
                <w:sz w:val="20"/>
              </w:rPr>
              <w:t xml:space="preserve">Одиночные включения и скопления</w:t>
            </w:r>
          </w:p>
        </w:tc>
        <w:tc>
          <w:tcPr>
            <w:gridSpan w:val="3"/>
            <w:tcW w:w="2276" w:type="dxa"/>
          </w:tcPr>
          <w:p>
            <w:pPr>
              <w:pStyle w:val="0"/>
              <w:jc w:val="center"/>
            </w:pPr>
            <w:r>
              <w:rPr>
                <w:sz w:val="20"/>
              </w:rPr>
              <w:t xml:space="preserve">Одиночные крупные включения</w:t>
            </w:r>
          </w:p>
        </w:tc>
      </w:tr>
      <w:tr>
        <w:tc>
          <w:tcPr>
            <w:vMerge w:val="continue"/>
          </w:tcPr>
          <w:p/>
        </w:tc>
        <w:tc>
          <w:tcPr>
            <w:vMerge w:val="continue"/>
          </w:tcPr>
          <w:p/>
        </w:tc>
        <w:tc>
          <w:tcPr>
            <w:gridSpan w:val="2"/>
            <w:tcW w:w="1334" w:type="dxa"/>
          </w:tcPr>
          <w:p>
            <w:pPr>
              <w:pStyle w:val="0"/>
              <w:jc w:val="center"/>
            </w:pPr>
            <w:r>
              <w:rPr>
                <w:sz w:val="20"/>
              </w:rPr>
              <w:t xml:space="preserve">Допустимый наибольший размер, мм</w:t>
            </w:r>
          </w:p>
        </w:tc>
        <w:tc>
          <w:tcPr>
            <w:tcW w:w="964" w:type="dxa"/>
            <w:vMerge w:val="restart"/>
          </w:tcPr>
          <w:p>
            <w:pPr>
              <w:pStyle w:val="0"/>
              <w:jc w:val="center"/>
            </w:pPr>
            <w:r>
              <w:rPr>
                <w:sz w:val="20"/>
              </w:rPr>
              <w:t xml:space="preserve">Допустимое число включений и скоплений на любом участке сварного соединения длиной 100,0 мм, шт.</w:t>
            </w:r>
          </w:p>
        </w:tc>
        <w:tc>
          <w:tcPr>
            <w:tcW w:w="1020" w:type="dxa"/>
            <w:vMerge w:val="restart"/>
          </w:tcPr>
          <w:p>
            <w:pPr>
              <w:pStyle w:val="0"/>
              <w:jc w:val="center"/>
            </w:pPr>
            <w:r>
              <w:rPr>
                <w:sz w:val="20"/>
              </w:rPr>
              <w:t xml:space="preserve">Допустимая суммарная приведенная площадь включений и скоплений на любом участке сварного соединения длиной 100,0 мм, мм</w:t>
            </w:r>
            <w:r>
              <w:rPr>
                <w:sz w:val="20"/>
                <w:vertAlign w:val="superscript"/>
              </w:rPr>
              <w:t xml:space="preserve">2</w:t>
            </w:r>
          </w:p>
        </w:tc>
        <w:tc>
          <w:tcPr>
            <w:gridSpan w:val="2"/>
            <w:tcW w:w="1417" w:type="dxa"/>
          </w:tcPr>
          <w:p>
            <w:pPr>
              <w:pStyle w:val="0"/>
              <w:jc w:val="center"/>
            </w:pPr>
            <w:r>
              <w:rPr>
                <w:sz w:val="20"/>
              </w:rPr>
              <w:t xml:space="preserve">Допустимые, мм</w:t>
            </w:r>
          </w:p>
        </w:tc>
        <w:tc>
          <w:tcPr>
            <w:tcW w:w="859" w:type="dxa"/>
            <w:vMerge w:val="restart"/>
          </w:tcPr>
          <w:p>
            <w:pPr>
              <w:pStyle w:val="0"/>
              <w:jc w:val="center"/>
            </w:pPr>
            <w:r>
              <w:rPr>
                <w:sz w:val="20"/>
              </w:rPr>
              <w:t xml:space="preserve">Допустимое число на любом участке сварного соединения длиной 100,0 мм, шт.</w:t>
            </w:r>
          </w:p>
        </w:tc>
      </w:tr>
      <w:tr>
        <w:tc>
          <w:tcPr>
            <w:vMerge w:val="continue"/>
          </w:tcPr>
          <w:p/>
        </w:tc>
        <w:tc>
          <w:tcPr>
            <w:vMerge w:val="continue"/>
          </w:tcPr>
          <w:p/>
        </w:tc>
        <w:tc>
          <w:tcPr>
            <w:tcW w:w="710" w:type="dxa"/>
          </w:tcPr>
          <w:p>
            <w:pPr>
              <w:pStyle w:val="0"/>
              <w:jc w:val="center"/>
            </w:pPr>
            <w:r>
              <w:rPr>
                <w:sz w:val="20"/>
              </w:rPr>
              <w:t xml:space="preserve">включения</w:t>
            </w:r>
          </w:p>
        </w:tc>
        <w:tc>
          <w:tcPr>
            <w:tcW w:w="624" w:type="dxa"/>
          </w:tcPr>
          <w:p>
            <w:pPr>
              <w:pStyle w:val="0"/>
              <w:jc w:val="center"/>
            </w:pPr>
            <w:r>
              <w:rPr>
                <w:sz w:val="20"/>
              </w:rPr>
              <w:t xml:space="preserve">скопления</w:t>
            </w:r>
          </w:p>
        </w:tc>
        <w:tc>
          <w:tcPr>
            <w:vMerge w:val="continue"/>
          </w:tcPr>
          <w:p/>
        </w:tc>
        <w:tc>
          <w:tcPr>
            <w:vMerge w:val="continue"/>
          </w:tcPr>
          <w:p/>
        </w:tc>
        <w:tc>
          <w:tcPr>
            <w:tcW w:w="680" w:type="dxa"/>
          </w:tcPr>
          <w:p>
            <w:pPr>
              <w:pStyle w:val="0"/>
              <w:jc w:val="center"/>
            </w:pPr>
            <w:r>
              <w:rPr>
                <w:sz w:val="20"/>
              </w:rPr>
              <w:t xml:space="preserve">наибольший размер</w:t>
            </w:r>
          </w:p>
        </w:tc>
        <w:tc>
          <w:tcPr>
            <w:tcW w:w="737" w:type="dxa"/>
          </w:tcPr>
          <w:p>
            <w:pPr>
              <w:pStyle w:val="0"/>
              <w:jc w:val="center"/>
            </w:pPr>
            <w:r>
              <w:rPr>
                <w:sz w:val="20"/>
              </w:rPr>
              <w:t xml:space="preserve">наибольшая ширина</w:t>
            </w:r>
          </w:p>
        </w:tc>
        <w:tc>
          <w:tcPr>
            <w:vMerge w:val="continue"/>
          </w:tcPr>
          <w:p/>
        </w:tc>
      </w:tr>
      <w:tr>
        <w:tc>
          <w:tcPr>
            <w:gridSpan w:val="9"/>
            <w:tcW w:w="9053" w:type="dxa"/>
          </w:tcPr>
          <w:p>
            <w:pPr>
              <w:pStyle w:val="0"/>
              <w:outlineLvl w:val="4"/>
              <w:jc w:val="center"/>
            </w:pPr>
            <w:r>
              <w:rPr>
                <w:sz w:val="20"/>
              </w:rPr>
              <w:t xml:space="preserve">Сварные соединения I категории</w:t>
            </w:r>
          </w:p>
        </w:tc>
      </w:tr>
      <w:tr>
        <w:tc>
          <w:tcPr>
            <w:tcW w:w="2665" w:type="dxa"/>
            <w:vAlign w:val="center"/>
          </w:tcPr>
          <w:p>
            <w:pPr>
              <w:pStyle w:val="0"/>
              <w:jc w:val="center"/>
            </w:pPr>
            <w:r>
              <w:rPr>
                <w:sz w:val="20"/>
              </w:rPr>
              <w:t xml:space="preserve">Более 1,0 до 1,5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0,2</w:t>
            </w:r>
          </w:p>
        </w:tc>
        <w:tc>
          <w:tcPr>
            <w:tcW w:w="624" w:type="dxa"/>
            <w:vAlign w:val="center"/>
          </w:tcPr>
          <w:p>
            <w:pPr>
              <w:pStyle w:val="0"/>
              <w:jc w:val="center"/>
            </w:pPr>
            <w:r>
              <w:rPr>
                <w:sz w:val="20"/>
              </w:rPr>
              <w:t xml:space="preserve">0,3</w:t>
            </w:r>
          </w:p>
        </w:tc>
        <w:tc>
          <w:tcPr>
            <w:tcW w:w="964" w:type="dxa"/>
            <w:vAlign w:val="center"/>
          </w:tcPr>
          <w:p>
            <w:pPr>
              <w:pStyle w:val="0"/>
              <w:jc w:val="center"/>
            </w:pPr>
            <w:r>
              <w:rPr>
                <w:sz w:val="20"/>
              </w:rPr>
              <w:t xml:space="preserve">10</w:t>
            </w:r>
          </w:p>
        </w:tc>
        <w:tc>
          <w:tcPr>
            <w:tcW w:w="1020" w:type="dxa"/>
            <w:vAlign w:val="center"/>
          </w:tcPr>
          <w:p>
            <w:pPr>
              <w:pStyle w:val="0"/>
              <w:jc w:val="center"/>
            </w:pPr>
            <w:r>
              <w:rPr>
                <w:sz w:val="20"/>
              </w:rPr>
              <w:t xml:space="preserve">0,15</w:t>
            </w:r>
          </w:p>
        </w:tc>
        <w:tc>
          <w:tcPr>
            <w:tcW w:w="680" w:type="dxa"/>
            <w:vAlign w:val="center"/>
          </w:tcPr>
          <w:p>
            <w:pPr>
              <w:pStyle w:val="0"/>
              <w:jc w:val="center"/>
            </w:pPr>
            <w:r>
              <w:rPr>
                <w:sz w:val="20"/>
              </w:rPr>
              <w:t xml:space="preserve">3,0</w:t>
            </w:r>
          </w:p>
        </w:tc>
        <w:tc>
          <w:tcPr>
            <w:tcW w:w="737" w:type="dxa"/>
            <w:vAlign w:val="center"/>
          </w:tcPr>
          <w:p>
            <w:pPr>
              <w:pStyle w:val="0"/>
              <w:jc w:val="center"/>
            </w:pPr>
            <w:r>
              <w:rPr>
                <w:sz w:val="20"/>
              </w:rPr>
              <w:t xml:space="preserve">0,2</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1,5 до 2,0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0,3</w:t>
            </w:r>
          </w:p>
        </w:tc>
        <w:tc>
          <w:tcPr>
            <w:tcW w:w="624" w:type="dxa"/>
            <w:vAlign w:val="center"/>
          </w:tcPr>
          <w:p>
            <w:pPr>
              <w:pStyle w:val="0"/>
              <w:jc w:val="center"/>
            </w:pPr>
            <w:r>
              <w:rPr>
                <w:sz w:val="20"/>
              </w:rPr>
              <w:t xml:space="preserve">0,4</w:t>
            </w:r>
          </w:p>
        </w:tc>
        <w:tc>
          <w:tcPr>
            <w:tcW w:w="964" w:type="dxa"/>
            <w:vAlign w:val="center"/>
          </w:tcPr>
          <w:p>
            <w:pPr>
              <w:pStyle w:val="0"/>
              <w:jc w:val="center"/>
            </w:pPr>
            <w:r>
              <w:rPr>
                <w:sz w:val="20"/>
              </w:rPr>
              <w:t xml:space="preserve">10</w:t>
            </w:r>
          </w:p>
        </w:tc>
        <w:tc>
          <w:tcPr>
            <w:tcW w:w="1020" w:type="dxa"/>
            <w:vAlign w:val="center"/>
          </w:tcPr>
          <w:p>
            <w:pPr>
              <w:pStyle w:val="0"/>
              <w:jc w:val="center"/>
            </w:pPr>
            <w:r>
              <w:rPr>
                <w:sz w:val="20"/>
              </w:rPr>
              <w:t xml:space="preserve">0,3</w:t>
            </w:r>
          </w:p>
        </w:tc>
        <w:tc>
          <w:tcPr>
            <w:tcW w:w="680" w:type="dxa"/>
            <w:vAlign w:val="center"/>
          </w:tcPr>
          <w:p>
            <w:pPr>
              <w:pStyle w:val="0"/>
              <w:jc w:val="center"/>
            </w:pPr>
            <w:r>
              <w:rPr>
                <w:sz w:val="20"/>
              </w:rPr>
              <w:t xml:space="preserve">3,0</w:t>
            </w:r>
          </w:p>
        </w:tc>
        <w:tc>
          <w:tcPr>
            <w:tcW w:w="737" w:type="dxa"/>
            <w:vAlign w:val="center"/>
          </w:tcPr>
          <w:p>
            <w:pPr>
              <w:pStyle w:val="0"/>
              <w:jc w:val="center"/>
            </w:pPr>
            <w:r>
              <w:rPr>
                <w:sz w:val="20"/>
              </w:rPr>
              <w:t xml:space="preserve">0,3</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2,0 до 2,5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0,4</w:t>
            </w:r>
          </w:p>
        </w:tc>
        <w:tc>
          <w:tcPr>
            <w:tcW w:w="624" w:type="dxa"/>
            <w:vAlign w:val="center"/>
          </w:tcPr>
          <w:p>
            <w:pPr>
              <w:pStyle w:val="0"/>
              <w:jc w:val="center"/>
            </w:pPr>
            <w:r>
              <w:rPr>
                <w:sz w:val="20"/>
              </w:rPr>
              <w:t xml:space="preserve">0,6</w:t>
            </w:r>
          </w:p>
        </w:tc>
        <w:tc>
          <w:tcPr>
            <w:tcW w:w="964" w:type="dxa"/>
            <w:vAlign w:val="center"/>
          </w:tcPr>
          <w:p>
            <w:pPr>
              <w:pStyle w:val="0"/>
              <w:jc w:val="center"/>
            </w:pPr>
            <w:r>
              <w:rPr>
                <w:sz w:val="20"/>
              </w:rPr>
              <w:t xml:space="preserve">10</w:t>
            </w:r>
          </w:p>
        </w:tc>
        <w:tc>
          <w:tcPr>
            <w:tcW w:w="1020" w:type="dxa"/>
            <w:vAlign w:val="center"/>
          </w:tcPr>
          <w:p>
            <w:pPr>
              <w:pStyle w:val="0"/>
              <w:jc w:val="center"/>
            </w:pPr>
            <w:r>
              <w:rPr>
                <w:sz w:val="20"/>
              </w:rPr>
              <w:t xml:space="preserve">0,6</w:t>
            </w:r>
          </w:p>
        </w:tc>
        <w:tc>
          <w:tcPr>
            <w:tcW w:w="680" w:type="dxa"/>
            <w:vAlign w:val="center"/>
          </w:tcPr>
          <w:p>
            <w:pPr>
              <w:pStyle w:val="0"/>
              <w:jc w:val="center"/>
            </w:pPr>
            <w:r>
              <w:rPr>
                <w:sz w:val="20"/>
              </w:rPr>
              <w:t xml:space="preserve">3,0</w:t>
            </w:r>
          </w:p>
        </w:tc>
        <w:tc>
          <w:tcPr>
            <w:tcW w:w="737" w:type="dxa"/>
            <w:vAlign w:val="center"/>
          </w:tcPr>
          <w:p>
            <w:pPr>
              <w:pStyle w:val="0"/>
              <w:jc w:val="center"/>
            </w:pPr>
            <w:r>
              <w:rPr>
                <w:sz w:val="20"/>
              </w:rPr>
              <w:t xml:space="preserve">0,4</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2,5 до 3,0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0,5</w:t>
            </w:r>
          </w:p>
        </w:tc>
        <w:tc>
          <w:tcPr>
            <w:tcW w:w="624" w:type="dxa"/>
            <w:vAlign w:val="center"/>
          </w:tcPr>
          <w:p>
            <w:pPr>
              <w:pStyle w:val="0"/>
              <w:jc w:val="center"/>
            </w:pPr>
            <w:r>
              <w:rPr>
                <w:sz w:val="20"/>
              </w:rPr>
              <w:t xml:space="preserve">0,8</w:t>
            </w:r>
          </w:p>
        </w:tc>
        <w:tc>
          <w:tcPr>
            <w:tcW w:w="964" w:type="dxa"/>
            <w:vAlign w:val="center"/>
          </w:tcPr>
          <w:p>
            <w:pPr>
              <w:pStyle w:val="0"/>
              <w:jc w:val="center"/>
            </w:pPr>
            <w:r>
              <w:rPr>
                <w:sz w:val="20"/>
              </w:rPr>
              <w:t xml:space="preserve">10</w:t>
            </w:r>
          </w:p>
        </w:tc>
        <w:tc>
          <w:tcPr>
            <w:tcW w:w="1020" w:type="dxa"/>
            <w:vAlign w:val="center"/>
          </w:tcPr>
          <w:p>
            <w:pPr>
              <w:pStyle w:val="0"/>
              <w:jc w:val="center"/>
            </w:pPr>
            <w:r>
              <w:rPr>
                <w:sz w:val="20"/>
              </w:rPr>
              <w:t xml:space="preserve">1,0</w:t>
            </w:r>
          </w:p>
        </w:tc>
        <w:tc>
          <w:tcPr>
            <w:tcW w:w="680" w:type="dxa"/>
            <w:vAlign w:val="center"/>
          </w:tcPr>
          <w:p>
            <w:pPr>
              <w:pStyle w:val="0"/>
              <w:jc w:val="center"/>
            </w:pPr>
            <w:r>
              <w:rPr>
                <w:sz w:val="20"/>
              </w:rPr>
              <w:t xml:space="preserve">3,0</w:t>
            </w:r>
          </w:p>
        </w:tc>
        <w:tc>
          <w:tcPr>
            <w:tcW w:w="737" w:type="dxa"/>
            <w:vAlign w:val="center"/>
          </w:tcPr>
          <w:p>
            <w:pPr>
              <w:pStyle w:val="0"/>
              <w:jc w:val="center"/>
            </w:pPr>
            <w:r>
              <w:rPr>
                <w:sz w:val="20"/>
              </w:rPr>
              <w:t xml:space="preserve">0,5</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3,0 до 4,5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0,6</w:t>
            </w:r>
          </w:p>
        </w:tc>
        <w:tc>
          <w:tcPr>
            <w:tcW w:w="624" w:type="dxa"/>
            <w:vAlign w:val="center"/>
          </w:tcPr>
          <w:p>
            <w:pPr>
              <w:pStyle w:val="0"/>
              <w:jc w:val="center"/>
            </w:pPr>
            <w:r>
              <w:rPr>
                <w:sz w:val="20"/>
              </w:rPr>
              <w:t xml:space="preserve">1,0</w:t>
            </w:r>
          </w:p>
        </w:tc>
        <w:tc>
          <w:tcPr>
            <w:tcW w:w="964" w:type="dxa"/>
            <w:vAlign w:val="center"/>
          </w:tcPr>
          <w:p>
            <w:pPr>
              <w:pStyle w:val="0"/>
              <w:jc w:val="center"/>
            </w:pPr>
            <w:r>
              <w:rPr>
                <w:sz w:val="20"/>
              </w:rPr>
              <w:t xml:space="preserve">10</w:t>
            </w:r>
          </w:p>
        </w:tc>
        <w:tc>
          <w:tcPr>
            <w:tcW w:w="1020" w:type="dxa"/>
            <w:vAlign w:val="center"/>
          </w:tcPr>
          <w:p>
            <w:pPr>
              <w:pStyle w:val="0"/>
              <w:jc w:val="center"/>
            </w:pPr>
            <w:r>
              <w:rPr>
                <w:sz w:val="20"/>
              </w:rPr>
              <w:t xml:space="preserve">1,4</w:t>
            </w:r>
          </w:p>
        </w:tc>
        <w:tc>
          <w:tcPr>
            <w:tcW w:w="680" w:type="dxa"/>
            <w:vAlign w:val="center"/>
          </w:tcPr>
          <w:p>
            <w:pPr>
              <w:pStyle w:val="0"/>
              <w:jc w:val="center"/>
            </w:pPr>
            <w:r>
              <w:rPr>
                <w:sz w:val="20"/>
              </w:rPr>
              <w:t xml:space="preserve">3,0</w:t>
            </w:r>
          </w:p>
        </w:tc>
        <w:tc>
          <w:tcPr>
            <w:tcW w:w="737" w:type="dxa"/>
            <w:vAlign w:val="center"/>
          </w:tcPr>
          <w:p>
            <w:pPr>
              <w:pStyle w:val="0"/>
              <w:jc w:val="center"/>
            </w:pPr>
            <w:r>
              <w:rPr>
                <w:sz w:val="20"/>
              </w:rPr>
              <w:t xml:space="preserve">0,6</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4,5 до 6,0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0,8</w:t>
            </w:r>
          </w:p>
        </w:tc>
        <w:tc>
          <w:tcPr>
            <w:tcW w:w="624" w:type="dxa"/>
            <w:vAlign w:val="center"/>
          </w:tcPr>
          <w:p>
            <w:pPr>
              <w:pStyle w:val="0"/>
              <w:jc w:val="center"/>
            </w:pPr>
            <w:r>
              <w:rPr>
                <w:sz w:val="20"/>
              </w:rPr>
              <w:t xml:space="preserve">1,2</w:t>
            </w:r>
          </w:p>
        </w:tc>
        <w:tc>
          <w:tcPr>
            <w:tcW w:w="964" w:type="dxa"/>
            <w:vAlign w:val="center"/>
          </w:tcPr>
          <w:p>
            <w:pPr>
              <w:pStyle w:val="0"/>
              <w:jc w:val="center"/>
            </w:pPr>
            <w:r>
              <w:rPr>
                <w:sz w:val="20"/>
              </w:rPr>
              <w:t xml:space="preserve">11</w:t>
            </w:r>
          </w:p>
        </w:tc>
        <w:tc>
          <w:tcPr>
            <w:tcW w:w="1020" w:type="dxa"/>
            <w:vAlign w:val="center"/>
          </w:tcPr>
          <w:p>
            <w:pPr>
              <w:pStyle w:val="0"/>
              <w:jc w:val="center"/>
            </w:pPr>
            <w:r>
              <w:rPr>
                <w:sz w:val="20"/>
              </w:rPr>
              <w:t xml:space="preserve">2,5</w:t>
            </w:r>
          </w:p>
        </w:tc>
        <w:tc>
          <w:tcPr>
            <w:tcW w:w="680" w:type="dxa"/>
            <w:vAlign w:val="center"/>
          </w:tcPr>
          <w:p>
            <w:pPr>
              <w:pStyle w:val="0"/>
              <w:jc w:val="center"/>
            </w:pPr>
            <w:r>
              <w:rPr>
                <w:sz w:val="20"/>
              </w:rPr>
              <w:t xml:space="preserve">3,0</w:t>
            </w:r>
          </w:p>
        </w:tc>
        <w:tc>
          <w:tcPr>
            <w:tcW w:w="737" w:type="dxa"/>
            <w:vAlign w:val="center"/>
          </w:tcPr>
          <w:p>
            <w:pPr>
              <w:pStyle w:val="0"/>
              <w:jc w:val="center"/>
            </w:pPr>
            <w:r>
              <w:rPr>
                <w:sz w:val="20"/>
              </w:rPr>
              <w:t xml:space="preserve">0,8</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6,0 до 7,5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1,0</w:t>
            </w:r>
          </w:p>
        </w:tc>
        <w:tc>
          <w:tcPr>
            <w:tcW w:w="624" w:type="dxa"/>
            <w:vAlign w:val="center"/>
          </w:tcPr>
          <w:p>
            <w:pPr>
              <w:pStyle w:val="0"/>
              <w:jc w:val="center"/>
            </w:pPr>
            <w:r>
              <w:rPr>
                <w:sz w:val="20"/>
              </w:rPr>
              <w:t xml:space="preserve">1,5</w:t>
            </w:r>
          </w:p>
        </w:tc>
        <w:tc>
          <w:tcPr>
            <w:tcW w:w="964" w:type="dxa"/>
            <w:vAlign w:val="center"/>
          </w:tcPr>
          <w:p>
            <w:pPr>
              <w:pStyle w:val="0"/>
              <w:jc w:val="center"/>
            </w:pPr>
            <w:r>
              <w:rPr>
                <w:sz w:val="20"/>
              </w:rPr>
              <w:t xml:space="preserve">11</w:t>
            </w:r>
          </w:p>
        </w:tc>
        <w:tc>
          <w:tcPr>
            <w:tcW w:w="1020" w:type="dxa"/>
            <w:vAlign w:val="center"/>
          </w:tcPr>
          <w:p>
            <w:pPr>
              <w:pStyle w:val="0"/>
              <w:jc w:val="center"/>
            </w:pPr>
            <w:r>
              <w:rPr>
                <w:sz w:val="20"/>
              </w:rPr>
              <w:t xml:space="preserve">4,0</w:t>
            </w:r>
          </w:p>
        </w:tc>
        <w:tc>
          <w:tcPr>
            <w:tcW w:w="680" w:type="dxa"/>
            <w:vAlign w:val="center"/>
          </w:tcPr>
          <w:p>
            <w:pPr>
              <w:pStyle w:val="0"/>
              <w:jc w:val="center"/>
            </w:pPr>
            <w:r>
              <w:rPr>
                <w:sz w:val="20"/>
              </w:rPr>
              <w:t xml:space="preserve">3,0</w:t>
            </w:r>
          </w:p>
        </w:tc>
        <w:tc>
          <w:tcPr>
            <w:tcW w:w="737" w:type="dxa"/>
            <w:vAlign w:val="center"/>
          </w:tcPr>
          <w:p>
            <w:pPr>
              <w:pStyle w:val="0"/>
              <w:jc w:val="center"/>
            </w:pPr>
            <w:r>
              <w:rPr>
                <w:sz w:val="20"/>
              </w:rPr>
              <w:t xml:space="preserve">1,0</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7,5 до 10,0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1,2</w:t>
            </w:r>
          </w:p>
        </w:tc>
        <w:tc>
          <w:tcPr>
            <w:tcW w:w="624" w:type="dxa"/>
            <w:vAlign w:val="center"/>
          </w:tcPr>
          <w:p>
            <w:pPr>
              <w:pStyle w:val="0"/>
              <w:jc w:val="center"/>
            </w:pPr>
            <w:r>
              <w:rPr>
                <w:sz w:val="20"/>
              </w:rPr>
              <w:t xml:space="preserve">2,0</w:t>
            </w:r>
          </w:p>
        </w:tc>
        <w:tc>
          <w:tcPr>
            <w:tcW w:w="964" w:type="dxa"/>
            <w:vAlign w:val="center"/>
          </w:tcPr>
          <w:p>
            <w:pPr>
              <w:pStyle w:val="0"/>
              <w:jc w:val="center"/>
            </w:pPr>
            <w:r>
              <w:rPr>
                <w:sz w:val="20"/>
              </w:rPr>
              <w:t xml:space="preserve">12</w:t>
            </w:r>
          </w:p>
        </w:tc>
        <w:tc>
          <w:tcPr>
            <w:tcW w:w="1020" w:type="dxa"/>
            <w:vAlign w:val="center"/>
          </w:tcPr>
          <w:p>
            <w:pPr>
              <w:pStyle w:val="0"/>
              <w:jc w:val="center"/>
            </w:pPr>
            <w:r>
              <w:rPr>
                <w:sz w:val="20"/>
              </w:rPr>
              <w:t xml:space="preserve">5,5</w:t>
            </w:r>
          </w:p>
        </w:tc>
        <w:tc>
          <w:tcPr>
            <w:tcW w:w="680" w:type="dxa"/>
            <w:vAlign w:val="center"/>
          </w:tcPr>
          <w:p>
            <w:pPr>
              <w:pStyle w:val="0"/>
              <w:jc w:val="center"/>
            </w:pPr>
            <w:r>
              <w:rPr>
                <w:sz w:val="20"/>
              </w:rPr>
              <w:t xml:space="preserve">3,5</w:t>
            </w:r>
          </w:p>
        </w:tc>
        <w:tc>
          <w:tcPr>
            <w:tcW w:w="737" w:type="dxa"/>
            <w:vAlign w:val="center"/>
          </w:tcPr>
          <w:p>
            <w:pPr>
              <w:pStyle w:val="0"/>
              <w:jc w:val="center"/>
            </w:pPr>
            <w:r>
              <w:rPr>
                <w:sz w:val="20"/>
              </w:rPr>
              <w:t xml:space="preserve">1,2</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10,0 до 12,0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1,5</w:t>
            </w:r>
          </w:p>
        </w:tc>
        <w:tc>
          <w:tcPr>
            <w:tcW w:w="624" w:type="dxa"/>
            <w:vAlign w:val="center"/>
          </w:tcPr>
          <w:p>
            <w:pPr>
              <w:pStyle w:val="0"/>
              <w:jc w:val="center"/>
            </w:pPr>
            <w:r>
              <w:rPr>
                <w:sz w:val="20"/>
              </w:rPr>
              <w:t xml:space="preserve">2,5</w:t>
            </w:r>
          </w:p>
        </w:tc>
        <w:tc>
          <w:tcPr>
            <w:tcW w:w="964" w:type="dxa"/>
            <w:vAlign w:val="center"/>
          </w:tcPr>
          <w:p>
            <w:pPr>
              <w:pStyle w:val="0"/>
              <w:jc w:val="center"/>
            </w:pPr>
            <w:r>
              <w:rPr>
                <w:sz w:val="20"/>
              </w:rPr>
              <w:t xml:space="preserve">12</w:t>
            </w:r>
          </w:p>
        </w:tc>
        <w:tc>
          <w:tcPr>
            <w:tcW w:w="1020" w:type="dxa"/>
            <w:vAlign w:val="center"/>
          </w:tcPr>
          <w:p>
            <w:pPr>
              <w:pStyle w:val="0"/>
              <w:jc w:val="center"/>
            </w:pPr>
            <w:r>
              <w:rPr>
                <w:sz w:val="20"/>
              </w:rPr>
              <w:t xml:space="preserve">7,5</w:t>
            </w:r>
          </w:p>
        </w:tc>
        <w:tc>
          <w:tcPr>
            <w:tcW w:w="680" w:type="dxa"/>
            <w:vAlign w:val="center"/>
          </w:tcPr>
          <w:p>
            <w:pPr>
              <w:pStyle w:val="0"/>
              <w:jc w:val="center"/>
            </w:pPr>
            <w:r>
              <w:rPr>
                <w:sz w:val="20"/>
              </w:rPr>
              <w:t xml:space="preserve">3,5</w:t>
            </w:r>
          </w:p>
        </w:tc>
        <w:tc>
          <w:tcPr>
            <w:tcW w:w="737" w:type="dxa"/>
            <w:vAlign w:val="center"/>
          </w:tcPr>
          <w:p>
            <w:pPr>
              <w:pStyle w:val="0"/>
              <w:jc w:val="center"/>
            </w:pPr>
            <w:r>
              <w:rPr>
                <w:sz w:val="20"/>
              </w:rPr>
              <w:t xml:space="preserve">1,5</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12,0 до 14,0 включительно</w:t>
            </w:r>
          </w:p>
        </w:tc>
        <w:tc>
          <w:tcPr>
            <w:tcW w:w="794" w:type="dxa"/>
            <w:vAlign w:val="center"/>
          </w:tcPr>
          <w:p>
            <w:pPr>
              <w:pStyle w:val="0"/>
              <w:jc w:val="center"/>
            </w:pPr>
            <w:r>
              <w:rPr>
                <w:sz w:val="20"/>
              </w:rPr>
              <w:t xml:space="preserve">0,30</w:t>
            </w:r>
          </w:p>
        </w:tc>
        <w:tc>
          <w:tcPr>
            <w:tcW w:w="710" w:type="dxa"/>
            <w:vAlign w:val="center"/>
          </w:tcPr>
          <w:p>
            <w:pPr>
              <w:pStyle w:val="0"/>
              <w:jc w:val="center"/>
            </w:pPr>
            <w:r>
              <w:rPr>
                <w:sz w:val="20"/>
              </w:rPr>
              <w:t xml:space="preserve">1,5</w:t>
            </w:r>
          </w:p>
        </w:tc>
        <w:tc>
          <w:tcPr>
            <w:tcW w:w="624" w:type="dxa"/>
            <w:vAlign w:val="center"/>
          </w:tcPr>
          <w:p>
            <w:pPr>
              <w:pStyle w:val="0"/>
              <w:jc w:val="center"/>
            </w:pPr>
            <w:r>
              <w:rPr>
                <w:sz w:val="20"/>
              </w:rPr>
              <w:t xml:space="preserve">2,5</w:t>
            </w:r>
          </w:p>
        </w:tc>
        <w:tc>
          <w:tcPr>
            <w:tcW w:w="964" w:type="dxa"/>
            <w:vAlign w:val="center"/>
          </w:tcPr>
          <w:p>
            <w:pPr>
              <w:pStyle w:val="0"/>
              <w:jc w:val="center"/>
            </w:pPr>
            <w:r>
              <w:rPr>
                <w:sz w:val="20"/>
              </w:rPr>
              <w:t xml:space="preserve">13</w:t>
            </w:r>
          </w:p>
        </w:tc>
        <w:tc>
          <w:tcPr>
            <w:tcW w:w="1020" w:type="dxa"/>
            <w:vAlign w:val="center"/>
          </w:tcPr>
          <w:p>
            <w:pPr>
              <w:pStyle w:val="0"/>
              <w:jc w:val="center"/>
            </w:pPr>
            <w:r>
              <w:rPr>
                <w:sz w:val="20"/>
              </w:rPr>
              <w:t xml:space="preserve">9,0</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1,5</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14,0 до 18,0 включительно</w:t>
            </w:r>
          </w:p>
        </w:tc>
        <w:tc>
          <w:tcPr>
            <w:tcW w:w="794" w:type="dxa"/>
            <w:vAlign w:val="center"/>
          </w:tcPr>
          <w:p>
            <w:pPr>
              <w:pStyle w:val="0"/>
              <w:jc w:val="center"/>
            </w:pPr>
            <w:r>
              <w:rPr>
                <w:sz w:val="20"/>
              </w:rPr>
              <w:t xml:space="preserve">0,30</w:t>
            </w:r>
          </w:p>
        </w:tc>
        <w:tc>
          <w:tcPr>
            <w:tcW w:w="710" w:type="dxa"/>
            <w:vAlign w:val="center"/>
          </w:tcPr>
          <w:p>
            <w:pPr>
              <w:pStyle w:val="0"/>
              <w:jc w:val="center"/>
            </w:pPr>
            <w:r>
              <w:rPr>
                <w:sz w:val="20"/>
              </w:rPr>
              <w:t xml:space="preserve">2,0</w:t>
            </w:r>
          </w:p>
        </w:tc>
        <w:tc>
          <w:tcPr>
            <w:tcW w:w="624" w:type="dxa"/>
            <w:vAlign w:val="center"/>
          </w:tcPr>
          <w:p>
            <w:pPr>
              <w:pStyle w:val="0"/>
              <w:jc w:val="center"/>
            </w:pPr>
            <w:r>
              <w:rPr>
                <w:sz w:val="20"/>
              </w:rPr>
              <w:t xml:space="preserve">3,0</w:t>
            </w:r>
          </w:p>
        </w:tc>
        <w:tc>
          <w:tcPr>
            <w:tcW w:w="964" w:type="dxa"/>
            <w:vAlign w:val="center"/>
          </w:tcPr>
          <w:p>
            <w:pPr>
              <w:pStyle w:val="0"/>
              <w:jc w:val="center"/>
            </w:pPr>
            <w:r>
              <w:rPr>
                <w:sz w:val="20"/>
              </w:rPr>
              <w:t xml:space="preserve">13</w:t>
            </w:r>
          </w:p>
        </w:tc>
        <w:tc>
          <w:tcPr>
            <w:tcW w:w="1020" w:type="dxa"/>
            <w:vAlign w:val="center"/>
          </w:tcPr>
          <w:p>
            <w:pPr>
              <w:pStyle w:val="0"/>
              <w:jc w:val="center"/>
            </w:pPr>
            <w:r>
              <w:rPr>
                <w:sz w:val="20"/>
              </w:rPr>
              <w:t xml:space="preserve">11,0</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2,0</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18,0 до 21,0 включительно</w:t>
            </w:r>
          </w:p>
        </w:tc>
        <w:tc>
          <w:tcPr>
            <w:tcW w:w="794" w:type="dxa"/>
            <w:vAlign w:val="center"/>
          </w:tcPr>
          <w:p>
            <w:pPr>
              <w:pStyle w:val="0"/>
              <w:jc w:val="center"/>
            </w:pPr>
            <w:r>
              <w:rPr>
                <w:sz w:val="20"/>
              </w:rPr>
              <w:t xml:space="preserve">0,30</w:t>
            </w:r>
          </w:p>
        </w:tc>
        <w:tc>
          <w:tcPr>
            <w:tcW w:w="710" w:type="dxa"/>
            <w:vAlign w:val="center"/>
          </w:tcPr>
          <w:p>
            <w:pPr>
              <w:pStyle w:val="0"/>
              <w:jc w:val="center"/>
            </w:pPr>
            <w:r>
              <w:rPr>
                <w:sz w:val="20"/>
              </w:rPr>
              <w:t xml:space="preserve">2,0</w:t>
            </w:r>
          </w:p>
        </w:tc>
        <w:tc>
          <w:tcPr>
            <w:tcW w:w="624" w:type="dxa"/>
            <w:vAlign w:val="center"/>
          </w:tcPr>
          <w:p>
            <w:pPr>
              <w:pStyle w:val="0"/>
              <w:jc w:val="center"/>
            </w:pPr>
            <w:r>
              <w:rPr>
                <w:sz w:val="20"/>
              </w:rPr>
              <w:t xml:space="preserve">3,0</w:t>
            </w:r>
          </w:p>
        </w:tc>
        <w:tc>
          <w:tcPr>
            <w:tcW w:w="964" w:type="dxa"/>
            <w:vAlign w:val="center"/>
          </w:tcPr>
          <w:p>
            <w:pPr>
              <w:pStyle w:val="0"/>
              <w:jc w:val="center"/>
            </w:pPr>
            <w:r>
              <w:rPr>
                <w:sz w:val="20"/>
              </w:rPr>
              <w:t xml:space="preserve">14</w:t>
            </w:r>
          </w:p>
        </w:tc>
        <w:tc>
          <w:tcPr>
            <w:tcW w:w="1020" w:type="dxa"/>
            <w:vAlign w:val="center"/>
          </w:tcPr>
          <w:p>
            <w:pPr>
              <w:pStyle w:val="0"/>
              <w:jc w:val="center"/>
            </w:pPr>
            <w:r>
              <w:rPr>
                <w:sz w:val="20"/>
              </w:rPr>
              <w:t xml:space="preserve">14,0</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2,0</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21,0 до 24,0 включительно</w:t>
            </w:r>
          </w:p>
        </w:tc>
        <w:tc>
          <w:tcPr>
            <w:tcW w:w="794" w:type="dxa"/>
            <w:vAlign w:val="center"/>
          </w:tcPr>
          <w:p>
            <w:pPr>
              <w:pStyle w:val="0"/>
              <w:jc w:val="center"/>
            </w:pPr>
            <w:r>
              <w:rPr>
                <w:sz w:val="20"/>
              </w:rPr>
              <w:t xml:space="preserve">0,40</w:t>
            </w:r>
          </w:p>
        </w:tc>
        <w:tc>
          <w:tcPr>
            <w:tcW w:w="710" w:type="dxa"/>
            <w:vAlign w:val="center"/>
          </w:tcPr>
          <w:p>
            <w:pPr>
              <w:pStyle w:val="0"/>
              <w:jc w:val="center"/>
            </w:pPr>
            <w:r>
              <w:rPr>
                <w:sz w:val="20"/>
              </w:rPr>
              <w:t xml:space="preserve">2,0</w:t>
            </w:r>
          </w:p>
        </w:tc>
        <w:tc>
          <w:tcPr>
            <w:tcW w:w="624" w:type="dxa"/>
            <w:vAlign w:val="center"/>
          </w:tcPr>
          <w:p>
            <w:pPr>
              <w:pStyle w:val="0"/>
              <w:jc w:val="center"/>
            </w:pPr>
            <w:r>
              <w:rPr>
                <w:sz w:val="20"/>
              </w:rPr>
              <w:t xml:space="preserve">3,0</w:t>
            </w:r>
          </w:p>
        </w:tc>
        <w:tc>
          <w:tcPr>
            <w:tcW w:w="964" w:type="dxa"/>
            <w:vAlign w:val="center"/>
          </w:tcPr>
          <w:p>
            <w:pPr>
              <w:pStyle w:val="0"/>
              <w:jc w:val="center"/>
            </w:pPr>
            <w:r>
              <w:rPr>
                <w:sz w:val="20"/>
              </w:rPr>
              <w:t xml:space="preserve">14</w:t>
            </w:r>
          </w:p>
        </w:tc>
        <w:tc>
          <w:tcPr>
            <w:tcW w:w="1020" w:type="dxa"/>
            <w:vAlign w:val="center"/>
          </w:tcPr>
          <w:p>
            <w:pPr>
              <w:pStyle w:val="0"/>
              <w:jc w:val="center"/>
            </w:pPr>
            <w:r>
              <w:rPr>
                <w:sz w:val="20"/>
              </w:rPr>
              <w:t xml:space="preserve">17,5</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2,0</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24,0 до 27,0 включительно</w:t>
            </w:r>
          </w:p>
        </w:tc>
        <w:tc>
          <w:tcPr>
            <w:tcW w:w="794" w:type="dxa"/>
            <w:vAlign w:val="center"/>
          </w:tcPr>
          <w:p>
            <w:pPr>
              <w:pStyle w:val="0"/>
              <w:jc w:val="center"/>
            </w:pPr>
            <w:r>
              <w:rPr>
                <w:sz w:val="20"/>
              </w:rPr>
              <w:t xml:space="preserve">0,40</w:t>
            </w:r>
          </w:p>
        </w:tc>
        <w:tc>
          <w:tcPr>
            <w:tcW w:w="710" w:type="dxa"/>
            <w:vAlign w:val="center"/>
          </w:tcPr>
          <w:p>
            <w:pPr>
              <w:pStyle w:val="0"/>
              <w:jc w:val="center"/>
            </w:pPr>
            <w:r>
              <w:rPr>
                <w:sz w:val="20"/>
              </w:rPr>
              <w:t xml:space="preserve">2,5</w:t>
            </w:r>
          </w:p>
        </w:tc>
        <w:tc>
          <w:tcPr>
            <w:tcW w:w="624" w:type="dxa"/>
            <w:vAlign w:val="center"/>
          </w:tcPr>
          <w:p>
            <w:pPr>
              <w:pStyle w:val="0"/>
              <w:jc w:val="center"/>
            </w:pPr>
            <w:r>
              <w:rPr>
                <w:sz w:val="20"/>
              </w:rPr>
              <w:t xml:space="preserve">3,5</w:t>
            </w:r>
          </w:p>
        </w:tc>
        <w:tc>
          <w:tcPr>
            <w:tcW w:w="964" w:type="dxa"/>
            <w:vAlign w:val="center"/>
          </w:tcPr>
          <w:p>
            <w:pPr>
              <w:pStyle w:val="0"/>
              <w:jc w:val="center"/>
            </w:pPr>
            <w:r>
              <w:rPr>
                <w:sz w:val="20"/>
              </w:rPr>
              <w:t xml:space="preserve">15</w:t>
            </w:r>
          </w:p>
        </w:tc>
        <w:tc>
          <w:tcPr>
            <w:tcW w:w="1020" w:type="dxa"/>
            <w:vAlign w:val="center"/>
          </w:tcPr>
          <w:p>
            <w:pPr>
              <w:pStyle w:val="0"/>
              <w:jc w:val="center"/>
            </w:pPr>
            <w:r>
              <w:rPr>
                <w:sz w:val="20"/>
              </w:rPr>
              <w:t xml:space="preserve">20,0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2,5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27,0 до 30,0 включительно</w:t>
            </w:r>
          </w:p>
        </w:tc>
        <w:tc>
          <w:tcPr>
            <w:tcW w:w="794" w:type="dxa"/>
            <w:vAlign w:val="center"/>
          </w:tcPr>
          <w:p>
            <w:pPr>
              <w:pStyle w:val="0"/>
              <w:jc w:val="center"/>
            </w:pPr>
            <w:r>
              <w:rPr>
                <w:sz w:val="20"/>
              </w:rPr>
              <w:t xml:space="preserve">0,40</w:t>
            </w:r>
          </w:p>
        </w:tc>
        <w:tc>
          <w:tcPr>
            <w:tcW w:w="710" w:type="dxa"/>
            <w:vAlign w:val="center"/>
          </w:tcPr>
          <w:p>
            <w:pPr>
              <w:pStyle w:val="0"/>
              <w:jc w:val="center"/>
            </w:pPr>
            <w:r>
              <w:rPr>
                <w:sz w:val="20"/>
              </w:rPr>
              <w:t xml:space="preserve">2,5</w:t>
            </w:r>
          </w:p>
        </w:tc>
        <w:tc>
          <w:tcPr>
            <w:tcW w:w="624" w:type="dxa"/>
            <w:vAlign w:val="center"/>
          </w:tcPr>
          <w:p>
            <w:pPr>
              <w:pStyle w:val="0"/>
              <w:jc w:val="center"/>
            </w:pPr>
            <w:r>
              <w:rPr>
                <w:sz w:val="20"/>
              </w:rPr>
              <w:t xml:space="preserve">3,5</w:t>
            </w:r>
          </w:p>
        </w:tc>
        <w:tc>
          <w:tcPr>
            <w:tcW w:w="964" w:type="dxa"/>
            <w:vAlign w:val="center"/>
          </w:tcPr>
          <w:p>
            <w:pPr>
              <w:pStyle w:val="0"/>
              <w:jc w:val="center"/>
            </w:pPr>
            <w:r>
              <w:rPr>
                <w:sz w:val="20"/>
              </w:rPr>
              <w:t xml:space="preserve">15</w:t>
            </w:r>
          </w:p>
        </w:tc>
        <w:tc>
          <w:tcPr>
            <w:tcW w:w="1020" w:type="dxa"/>
            <w:vAlign w:val="center"/>
          </w:tcPr>
          <w:p>
            <w:pPr>
              <w:pStyle w:val="0"/>
              <w:jc w:val="center"/>
            </w:pPr>
            <w:r>
              <w:rPr>
                <w:sz w:val="20"/>
              </w:rPr>
              <w:t xml:space="preserve">23,0</w:t>
            </w:r>
          </w:p>
        </w:tc>
        <w:tc>
          <w:tcPr>
            <w:tcW w:w="680" w:type="dxa"/>
            <w:vAlign w:val="center"/>
          </w:tcPr>
          <w:p>
            <w:pPr>
              <w:pStyle w:val="0"/>
              <w:jc w:val="center"/>
            </w:pPr>
            <w:r>
              <w:rPr>
                <w:sz w:val="20"/>
              </w:rPr>
              <w:t xml:space="preserve">6,0</w:t>
            </w:r>
          </w:p>
        </w:tc>
        <w:tc>
          <w:tcPr>
            <w:tcW w:w="737" w:type="dxa"/>
            <w:vAlign w:val="center"/>
          </w:tcPr>
          <w:p>
            <w:pPr>
              <w:pStyle w:val="0"/>
              <w:jc w:val="center"/>
            </w:pPr>
            <w:r>
              <w:rPr>
                <w:sz w:val="20"/>
              </w:rPr>
              <w:t xml:space="preserve">2,5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30,0 до 35,0 включительно</w:t>
            </w:r>
          </w:p>
        </w:tc>
        <w:tc>
          <w:tcPr>
            <w:tcW w:w="794" w:type="dxa"/>
            <w:vAlign w:val="center"/>
          </w:tcPr>
          <w:p>
            <w:pPr>
              <w:pStyle w:val="0"/>
              <w:jc w:val="center"/>
            </w:pPr>
            <w:r>
              <w:rPr>
                <w:sz w:val="20"/>
              </w:rPr>
              <w:t xml:space="preserve">0,50</w:t>
            </w:r>
          </w:p>
        </w:tc>
        <w:tc>
          <w:tcPr>
            <w:tcW w:w="710" w:type="dxa"/>
            <w:vAlign w:val="center"/>
          </w:tcPr>
          <w:p>
            <w:pPr>
              <w:pStyle w:val="0"/>
              <w:jc w:val="center"/>
            </w:pPr>
            <w:r>
              <w:rPr>
                <w:sz w:val="20"/>
              </w:rPr>
              <w:t xml:space="preserve">2,5</w:t>
            </w:r>
          </w:p>
        </w:tc>
        <w:tc>
          <w:tcPr>
            <w:tcW w:w="624" w:type="dxa"/>
            <w:vAlign w:val="center"/>
          </w:tcPr>
          <w:p>
            <w:pPr>
              <w:pStyle w:val="0"/>
              <w:jc w:val="center"/>
            </w:pPr>
            <w:r>
              <w:rPr>
                <w:sz w:val="20"/>
              </w:rPr>
              <w:t xml:space="preserve">4,0</w:t>
            </w:r>
          </w:p>
        </w:tc>
        <w:tc>
          <w:tcPr>
            <w:tcW w:w="964" w:type="dxa"/>
            <w:vAlign w:val="center"/>
          </w:tcPr>
          <w:p>
            <w:pPr>
              <w:pStyle w:val="0"/>
              <w:jc w:val="center"/>
            </w:pPr>
            <w:r>
              <w:rPr>
                <w:sz w:val="20"/>
              </w:rPr>
              <w:t xml:space="preserve">16</w:t>
            </w:r>
          </w:p>
        </w:tc>
        <w:tc>
          <w:tcPr>
            <w:tcW w:w="1020" w:type="dxa"/>
            <w:vAlign w:val="center"/>
          </w:tcPr>
          <w:p>
            <w:pPr>
              <w:pStyle w:val="0"/>
              <w:jc w:val="center"/>
            </w:pPr>
            <w:r>
              <w:rPr>
                <w:sz w:val="20"/>
              </w:rPr>
              <w:t xml:space="preserve">26,0</w:t>
            </w:r>
          </w:p>
        </w:tc>
        <w:tc>
          <w:tcPr>
            <w:tcW w:w="680" w:type="dxa"/>
            <w:vAlign w:val="center"/>
          </w:tcPr>
          <w:p>
            <w:pPr>
              <w:pStyle w:val="0"/>
              <w:jc w:val="center"/>
            </w:pPr>
            <w:r>
              <w:rPr>
                <w:sz w:val="20"/>
              </w:rPr>
              <w:t xml:space="preserve">6,0</w:t>
            </w:r>
          </w:p>
        </w:tc>
        <w:tc>
          <w:tcPr>
            <w:tcW w:w="737" w:type="dxa"/>
            <w:vAlign w:val="center"/>
          </w:tcPr>
          <w:p>
            <w:pPr>
              <w:pStyle w:val="0"/>
              <w:jc w:val="center"/>
            </w:pPr>
            <w:r>
              <w:rPr>
                <w:sz w:val="20"/>
              </w:rPr>
              <w:t xml:space="preserve">2,5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35,0 до 40,0 включительно</w:t>
            </w:r>
          </w:p>
        </w:tc>
        <w:tc>
          <w:tcPr>
            <w:tcW w:w="794" w:type="dxa"/>
            <w:vAlign w:val="center"/>
          </w:tcPr>
          <w:p>
            <w:pPr>
              <w:pStyle w:val="0"/>
              <w:jc w:val="center"/>
            </w:pPr>
            <w:r>
              <w:rPr>
                <w:sz w:val="20"/>
              </w:rPr>
              <w:t xml:space="preserve">0,50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4,5</w:t>
            </w:r>
          </w:p>
        </w:tc>
        <w:tc>
          <w:tcPr>
            <w:tcW w:w="964" w:type="dxa"/>
            <w:vAlign w:val="center"/>
          </w:tcPr>
          <w:p>
            <w:pPr>
              <w:pStyle w:val="0"/>
              <w:jc w:val="center"/>
            </w:pPr>
            <w:r>
              <w:rPr>
                <w:sz w:val="20"/>
              </w:rPr>
              <w:t xml:space="preserve">17</w:t>
            </w:r>
          </w:p>
        </w:tc>
        <w:tc>
          <w:tcPr>
            <w:tcW w:w="1020" w:type="dxa"/>
            <w:vAlign w:val="center"/>
          </w:tcPr>
          <w:p>
            <w:pPr>
              <w:pStyle w:val="0"/>
              <w:jc w:val="center"/>
            </w:pPr>
            <w:r>
              <w:rPr>
                <w:sz w:val="20"/>
              </w:rPr>
              <w:t xml:space="preserve">30,0</w:t>
            </w:r>
          </w:p>
        </w:tc>
        <w:tc>
          <w:tcPr>
            <w:tcW w:w="680" w:type="dxa"/>
            <w:vAlign w:val="center"/>
          </w:tcPr>
          <w:p>
            <w:pPr>
              <w:pStyle w:val="0"/>
              <w:jc w:val="center"/>
            </w:pPr>
            <w:r>
              <w:rPr>
                <w:sz w:val="20"/>
              </w:rPr>
              <w:t xml:space="preserve">7,0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40,0 до 45,0 включительно</w:t>
            </w:r>
          </w:p>
        </w:tc>
        <w:tc>
          <w:tcPr>
            <w:tcW w:w="794" w:type="dxa"/>
            <w:vAlign w:val="center"/>
          </w:tcPr>
          <w:p>
            <w:pPr>
              <w:pStyle w:val="0"/>
              <w:jc w:val="center"/>
            </w:pPr>
            <w:r>
              <w:rPr>
                <w:sz w:val="20"/>
              </w:rPr>
              <w:t xml:space="preserve">0,60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4,5</w:t>
            </w:r>
          </w:p>
        </w:tc>
        <w:tc>
          <w:tcPr>
            <w:tcW w:w="964" w:type="dxa"/>
            <w:vAlign w:val="center"/>
          </w:tcPr>
          <w:p>
            <w:pPr>
              <w:pStyle w:val="0"/>
              <w:jc w:val="center"/>
            </w:pPr>
            <w:r>
              <w:rPr>
                <w:sz w:val="20"/>
              </w:rPr>
              <w:t xml:space="preserve">18</w:t>
            </w:r>
          </w:p>
        </w:tc>
        <w:tc>
          <w:tcPr>
            <w:tcW w:w="1020" w:type="dxa"/>
            <w:vAlign w:val="center"/>
          </w:tcPr>
          <w:p>
            <w:pPr>
              <w:pStyle w:val="0"/>
              <w:jc w:val="center"/>
            </w:pPr>
            <w:r>
              <w:rPr>
                <w:sz w:val="20"/>
              </w:rPr>
              <w:t xml:space="preserve">34,0</w:t>
            </w:r>
          </w:p>
        </w:tc>
        <w:tc>
          <w:tcPr>
            <w:tcW w:w="680" w:type="dxa"/>
            <w:vAlign w:val="center"/>
          </w:tcPr>
          <w:p>
            <w:pPr>
              <w:pStyle w:val="0"/>
              <w:jc w:val="center"/>
            </w:pPr>
            <w:r>
              <w:rPr>
                <w:sz w:val="20"/>
              </w:rPr>
              <w:t xml:space="preserve">8,0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45,0 до 50,0 включительно</w:t>
            </w:r>
          </w:p>
        </w:tc>
        <w:tc>
          <w:tcPr>
            <w:tcW w:w="794" w:type="dxa"/>
            <w:vAlign w:val="center"/>
          </w:tcPr>
          <w:p>
            <w:pPr>
              <w:pStyle w:val="0"/>
              <w:jc w:val="center"/>
            </w:pPr>
            <w:r>
              <w:rPr>
                <w:sz w:val="20"/>
              </w:rPr>
              <w:t xml:space="preserve">0,60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4,5</w:t>
            </w:r>
          </w:p>
        </w:tc>
        <w:tc>
          <w:tcPr>
            <w:tcW w:w="964" w:type="dxa"/>
            <w:vAlign w:val="center"/>
          </w:tcPr>
          <w:p>
            <w:pPr>
              <w:pStyle w:val="0"/>
              <w:jc w:val="center"/>
            </w:pPr>
            <w:r>
              <w:rPr>
                <w:sz w:val="20"/>
              </w:rPr>
              <w:t xml:space="preserve">19</w:t>
            </w:r>
          </w:p>
        </w:tc>
        <w:tc>
          <w:tcPr>
            <w:tcW w:w="1020" w:type="dxa"/>
            <w:vAlign w:val="center"/>
          </w:tcPr>
          <w:p>
            <w:pPr>
              <w:pStyle w:val="0"/>
              <w:jc w:val="center"/>
            </w:pPr>
            <w:r>
              <w:rPr>
                <w:sz w:val="20"/>
              </w:rPr>
              <w:t xml:space="preserve">38,0</w:t>
            </w:r>
          </w:p>
        </w:tc>
        <w:tc>
          <w:tcPr>
            <w:tcW w:w="680" w:type="dxa"/>
            <w:vAlign w:val="center"/>
          </w:tcPr>
          <w:p>
            <w:pPr>
              <w:pStyle w:val="0"/>
              <w:jc w:val="center"/>
            </w:pPr>
            <w:r>
              <w:rPr>
                <w:sz w:val="20"/>
              </w:rPr>
              <w:t xml:space="preserve">9,0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50,0 до 55,0 включительно</w:t>
            </w:r>
          </w:p>
        </w:tc>
        <w:tc>
          <w:tcPr>
            <w:tcW w:w="794" w:type="dxa"/>
            <w:vAlign w:val="center"/>
          </w:tcPr>
          <w:p>
            <w:pPr>
              <w:pStyle w:val="0"/>
              <w:jc w:val="center"/>
            </w:pPr>
            <w:r>
              <w:rPr>
                <w:sz w:val="20"/>
              </w:rPr>
              <w:t xml:space="preserve">0,60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4,5</w:t>
            </w:r>
          </w:p>
        </w:tc>
        <w:tc>
          <w:tcPr>
            <w:tcW w:w="964" w:type="dxa"/>
            <w:vAlign w:val="center"/>
          </w:tcPr>
          <w:p>
            <w:pPr>
              <w:pStyle w:val="0"/>
              <w:jc w:val="center"/>
            </w:pPr>
            <w:r>
              <w:rPr>
                <w:sz w:val="20"/>
              </w:rPr>
              <w:t xml:space="preserve">20</w:t>
            </w:r>
          </w:p>
        </w:tc>
        <w:tc>
          <w:tcPr>
            <w:tcW w:w="1020" w:type="dxa"/>
            <w:vAlign w:val="center"/>
          </w:tcPr>
          <w:p>
            <w:pPr>
              <w:pStyle w:val="0"/>
              <w:jc w:val="center"/>
            </w:pPr>
            <w:r>
              <w:rPr>
                <w:sz w:val="20"/>
              </w:rPr>
              <w:t xml:space="preserve">42,0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55,0 до 65,0 включительно</w:t>
            </w:r>
          </w:p>
        </w:tc>
        <w:tc>
          <w:tcPr>
            <w:tcW w:w="794" w:type="dxa"/>
            <w:vAlign w:val="center"/>
          </w:tcPr>
          <w:p>
            <w:pPr>
              <w:pStyle w:val="0"/>
              <w:jc w:val="center"/>
            </w:pPr>
            <w:r>
              <w:rPr>
                <w:sz w:val="20"/>
              </w:rPr>
              <w:t xml:space="preserve">0,75</w:t>
            </w:r>
          </w:p>
        </w:tc>
        <w:tc>
          <w:tcPr>
            <w:tcW w:w="710" w:type="dxa"/>
            <w:vAlign w:val="center"/>
          </w:tcPr>
          <w:p>
            <w:pPr>
              <w:pStyle w:val="0"/>
              <w:jc w:val="center"/>
            </w:pPr>
            <w:r>
              <w:rPr>
                <w:sz w:val="20"/>
              </w:rPr>
              <w:t xml:space="preserve">3,5</w:t>
            </w:r>
          </w:p>
        </w:tc>
        <w:tc>
          <w:tcPr>
            <w:tcW w:w="624" w:type="dxa"/>
            <w:vAlign w:val="center"/>
          </w:tcPr>
          <w:p>
            <w:pPr>
              <w:pStyle w:val="0"/>
              <w:jc w:val="center"/>
            </w:pPr>
            <w:r>
              <w:rPr>
                <w:sz w:val="20"/>
              </w:rPr>
              <w:t xml:space="preserve">5,0</w:t>
            </w:r>
          </w:p>
        </w:tc>
        <w:tc>
          <w:tcPr>
            <w:tcW w:w="964" w:type="dxa"/>
            <w:vAlign w:val="center"/>
          </w:tcPr>
          <w:p>
            <w:pPr>
              <w:pStyle w:val="0"/>
              <w:jc w:val="center"/>
            </w:pPr>
            <w:r>
              <w:rPr>
                <w:sz w:val="20"/>
              </w:rPr>
              <w:t xml:space="preserve">21</w:t>
            </w:r>
          </w:p>
        </w:tc>
        <w:tc>
          <w:tcPr>
            <w:tcW w:w="1020" w:type="dxa"/>
            <w:vAlign w:val="center"/>
          </w:tcPr>
          <w:p>
            <w:pPr>
              <w:pStyle w:val="0"/>
              <w:jc w:val="center"/>
            </w:pPr>
            <w:r>
              <w:rPr>
                <w:sz w:val="20"/>
              </w:rPr>
              <w:t xml:space="preserve">48,0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3,5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65,0 до 75,0 включительно</w:t>
            </w:r>
          </w:p>
        </w:tc>
        <w:tc>
          <w:tcPr>
            <w:tcW w:w="794" w:type="dxa"/>
            <w:vAlign w:val="center"/>
          </w:tcPr>
          <w:p>
            <w:pPr>
              <w:pStyle w:val="0"/>
              <w:jc w:val="center"/>
            </w:pPr>
            <w:r>
              <w:rPr>
                <w:sz w:val="20"/>
              </w:rPr>
              <w:t xml:space="preserve">0,75</w:t>
            </w:r>
          </w:p>
        </w:tc>
        <w:tc>
          <w:tcPr>
            <w:tcW w:w="710" w:type="dxa"/>
            <w:vAlign w:val="center"/>
          </w:tcPr>
          <w:p>
            <w:pPr>
              <w:pStyle w:val="0"/>
              <w:jc w:val="center"/>
            </w:pPr>
            <w:r>
              <w:rPr>
                <w:sz w:val="20"/>
              </w:rPr>
              <w:t xml:space="preserve">3,5</w:t>
            </w:r>
          </w:p>
        </w:tc>
        <w:tc>
          <w:tcPr>
            <w:tcW w:w="624" w:type="dxa"/>
            <w:vAlign w:val="center"/>
          </w:tcPr>
          <w:p>
            <w:pPr>
              <w:pStyle w:val="0"/>
              <w:jc w:val="center"/>
            </w:pPr>
            <w:r>
              <w:rPr>
                <w:sz w:val="20"/>
              </w:rPr>
              <w:t xml:space="preserve">5,0</w:t>
            </w:r>
          </w:p>
        </w:tc>
        <w:tc>
          <w:tcPr>
            <w:tcW w:w="964" w:type="dxa"/>
            <w:vAlign w:val="center"/>
          </w:tcPr>
          <w:p>
            <w:pPr>
              <w:pStyle w:val="0"/>
              <w:jc w:val="center"/>
            </w:pPr>
            <w:r>
              <w:rPr>
                <w:sz w:val="20"/>
              </w:rPr>
              <w:t xml:space="preserve">22</w:t>
            </w:r>
          </w:p>
        </w:tc>
        <w:tc>
          <w:tcPr>
            <w:tcW w:w="1020" w:type="dxa"/>
            <w:vAlign w:val="center"/>
          </w:tcPr>
          <w:p>
            <w:pPr>
              <w:pStyle w:val="0"/>
              <w:jc w:val="center"/>
            </w:pPr>
            <w:r>
              <w:rPr>
                <w:sz w:val="20"/>
              </w:rPr>
              <w:t xml:space="preserve">56,0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3,5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75,0 до 85,0 включительно</w:t>
            </w:r>
          </w:p>
        </w:tc>
        <w:tc>
          <w:tcPr>
            <w:tcW w:w="794" w:type="dxa"/>
            <w:vAlign w:val="center"/>
          </w:tcPr>
          <w:p>
            <w:pPr>
              <w:pStyle w:val="0"/>
              <w:jc w:val="center"/>
            </w:pPr>
            <w:r>
              <w:rPr>
                <w:sz w:val="20"/>
              </w:rPr>
              <w:t xml:space="preserve">1,00</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23</w:t>
            </w:r>
          </w:p>
        </w:tc>
        <w:tc>
          <w:tcPr>
            <w:tcW w:w="1020" w:type="dxa"/>
            <w:vAlign w:val="center"/>
          </w:tcPr>
          <w:p>
            <w:pPr>
              <w:pStyle w:val="0"/>
              <w:jc w:val="center"/>
            </w:pPr>
            <w:r>
              <w:rPr>
                <w:sz w:val="20"/>
              </w:rPr>
              <w:t xml:space="preserve">64,0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85,0 до 100,0 включительно</w:t>
            </w:r>
          </w:p>
        </w:tc>
        <w:tc>
          <w:tcPr>
            <w:tcW w:w="794" w:type="dxa"/>
            <w:vAlign w:val="center"/>
          </w:tcPr>
          <w:p>
            <w:pPr>
              <w:pStyle w:val="0"/>
              <w:jc w:val="center"/>
            </w:pPr>
            <w:r>
              <w:rPr>
                <w:sz w:val="20"/>
              </w:rPr>
              <w:t xml:space="preserve">1,00</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24</w:t>
            </w:r>
          </w:p>
        </w:tc>
        <w:tc>
          <w:tcPr>
            <w:tcW w:w="1020" w:type="dxa"/>
            <w:vAlign w:val="center"/>
          </w:tcPr>
          <w:p>
            <w:pPr>
              <w:pStyle w:val="0"/>
              <w:jc w:val="center"/>
            </w:pPr>
            <w:r>
              <w:rPr>
                <w:sz w:val="20"/>
              </w:rPr>
              <w:t xml:space="preserve">72,0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100,0 до 115,0 включительно</w:t>
            </w:r>
          </w:p>
        </w:tc>
        <w:tc>
          <w:tcPr>
            <w:tcW w:w="794" w:type="dxa"/>
            <w:vAlign w:val="center"/>
          </w:tcPr>
          <w:p>
            <w:pPr>
              <w:pStyle w:val="0"/>
              <w:jc w:val="center"/>
            </w:pPr>
            <w:r>
              <w:rPr>
                <w:sz w:val="20"/>
              </w:rPr>
              <w:t xml:space="preserve">1,25</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25</w:t>
            </w:r>
          </w:p>
        </w:tc>
        <w:tc>
          <w:tcPr>
            <w:tcW w:w="1020" w:type="dxa"/>
            <w:vAlign w:val="center"/>
          </w:tcPr>
          <w:p>
            <w:pPr>
              <w:pStyle w:val="0"/>
              <w:jc w:val="center"/>
            </w:pPr>
            <w:r>
              <w:rPr>
                <w:sz w:val="20"/>
              </w:rPr>
              <w:t xml:space="preserve">85,0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115,0 до 125,0 включительно</w:t>
            </w:r>
          </w:p>
        </w:tc>
        <w:tc>
          <w:tcPr>
            <w:tcW w:w="794" w:type="dxa"/>
            <w:vAlign w:val="center"/>
          </w:tcPr>
          <w:p>
            <w:pPr>
              <w:pStyle w:val="0"/>
              <w:jc w:val="center"/>
            </w:pPr>
            <w:r>
              <w:rPr>
                <w:sz w:val="20"/>
              </w:rPr>
              <w:t xml:space="preserve">1,25</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7,0</w:t>
            </w:r>
          </w:p>
        </w:tc>
        <w:tc>
          <w:tcPr>
            <w:tcW w:w="964" w:type="dxa"/>
            <w:vAlign w:val="center"/>
          </w:tcPr>
          <w:p>
            <w:pPr>
              <w:pStyle w:val="0"/>
              <w:jc w:val="center"/>
            </w:pPr>
            <w:r>
              <w:rPr>
                <w:sz w:val="20"/>
              </w:rPr>
              <w:t xml:space="preserve">25</w:t>
            </w:r>
          </w:p>
        </w:tc>
        <w:tc>
          <w:tcPr>
            <w:tcW w:w="1020" w:type="dxa"/>
            <w:vAlign w:val="center"/>
          </w:tcPr>
          <w:p>
            <w:pPr>
              <w:pStyle w:val="0"/>
              <w:jc w:val="center"/>
            </w:pPr>
            <w:r>
              <w:rPr>
                <w:sz w:val="20"/>
              </w:rPr>
              <w:t xml:space="preserve">100,0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125,0 до 135,0 включительно</w:t>
            </w:r>
          </w:p>
        </w:tc>
        <w:tc>
          <w:tcPr>
            <w:tcW w:w="794" w:type="dxa"/>
            <w:vAlign w:val="center"/>
          </w:tcPr>
          <w:p>
            <w:pPr>
              <w:pStyle w:val="0"/>
              <w:jc w:val="center"/>
            </w:pPr>
            <w:r>
              <w:rPr>
                <w:sz w:val="20"/>
              </w:rPr>
              <w:t xml:space="preserve">1,50</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7,0</w:t>
            </w:r>
          </w:p>
        </w:tc>
        <w:tc>
          <w:tcPr>
            <w:tcW w:w="964" w:type="dxa"/>
            <w:vAlign w:val="center"/>
          </w:tcPr>
          <w:p>
            <w:pPr>
              <w:pStyle w:val="0"/>
              <w:jc w:val="center"/>
            </w:pPr>
            <w:r>
              <w:rPr>
                <w:sz w:val="20"/>
              </w:rPr>
              <w:t xml:space="preserve">24</w:t>
            </w:r>
          </w:p>
        </w:tc>
        <w:tc>
          <w:tcPr>
            <w:tcW w:w="1020" w:type="dxa"/>
            <w:vAlign w:val="center"/>
          </w:tcPr>
          <w:p>
            <w:pPr>
              <w:pStyle w:val="0"/>
              <w:jc w:val="center"/>
            </w:pPr>
            <w:r>
              <w:rPr>
                <w:sz w:val="20"/>
              </w:rPr>
              <w:t xml:space="preserve">100,0</w:t>
            </w:r>
          </w:p>
        </w:tc>
        <w:tc>
          <w:tcPr>
            <w:tcW w:w="680" w:type="dxa"/>
            <w:vAlign w:val="center"/>
          </w:tcPr>
          <w:p>
            <w:pPr>
              <w:pStyle w:val="0"/>
              <w:jc w:val="center"/>
            </w:pPr>
            <w:r>
              <w:rPr>
                <w:sz w:val="20"/>
              </w:rPr>
              <w:t xml:space="preserve">11,0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135,0 до 150,0 включительно</w:t>
            </w:r>
          </w:p>
        </w:tc>
        <w:tc>
          <w:tcPr>
            <w:tcW w:w="794" w:type="dxa"/>
            <w:vAlign w:val="center"/>
          </w:tcPr>
          <w:p>
            <w:pPr>
              <w:pStyle w:val="0"/>
              <w:jc w:val="center"/>
            </w:pPr>
            <w:r>
              <w:rPr>
                <w:sz w:val="20"/>
              </w:rPr>
              <w:t xml:space="preserve">1,50</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7,0</w:t>
            </w:r>
          </w:p>
        </w:tc>
        <w:tc>
          <w:tcPr>
            <w:tcW w:w="964" w:type="dxa"/>
            <w:vAlign w:val="center"/>
          </w:tcPr>
          <w:p>
            <w:pPr>
              <w:pStyle w:val="0"/>
              <w:jc w:val="center"/>
            </w:pPr>
            <w:r>
              <w:rPr>
                <w:sz w:val="20"/>
              </w:rPr>
              <w:t xml:space="preserve">24</w:t>
            </w:r>
          </w:p>
        </w:tc>
        <w:tc>
          <w:tcPr>
            <w:tcW w:w="1020" w:type="dxa"/>
            <w:vAlign w:val="center"/>
          </w:tcPr>
          <w:p>
            <w:pPr>
              <w:pStyle w:val="0"/>
              <w:jc w:val="center"/>
            </w:pPr>
            <w:r>
              <w:rPr>
                <w:sz w:val="20"/>
              </w:rPr>
              <w:t xml:space="preserve">115,0</w:t>
            </w:r>
          </w:p>
        </w:tc>
        <w:tc>
          <w:tcPr>
            <w:tcW w:w="680" w:type="dxa"/>
            <w:vAlign w:val="center"/>
          </w:tcPr>
          <w:p>
            <w:pPr>
              <w:pStyle w:val="0"/>
              <w:jc w:val="center"/>
            </w:pPr>
            <w:r>
              <w:rPr>
                <w:sz w:val="20"/>
              </w:rPr>
              <w:t xml:space="preserve">11,0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150,0 до 175,0 включительно</w:t>
            </w:r>
          </w:p>
        </w:tc>
        <w:tc>
          <w:tcPr>
            <w:tcW w:w="794" w:type="dxa"/>
            <w:vAlign w:val="center"/>
          </w:tcPr>
          <w:p>
            <w:pPr>
              <w:pStyle w:val="0"/>
              <w:jc w:val="center"/>
            </w:pPr>
            <w:r>
              <w:rPr>
                <w:sz w:val="20"/>
              </w:rPr>
              <w:t xml:space="preserve">2,00</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7,0</w:t>
            </w:r>
          </w:p>
        </w:tc>
        <w:tc>
          <w:tcPr>
            <w:tcW w:w="964" w:type="dxa"/>
            <w:vAlign w:val="center"/>
          </w:tcPr>
          <w:p>
            <w:pPr>
              <w:pStyle w:val="0"/>
              <w:jc w:val="center"/>
            </w:pPr>
            <w:r>
              <w:rPr>
                <w:sz w:val="20"/>
              </w:rPr>
              <w:t xml:space="preserve">23</w:t>
            </w:r>
          </w:p>
        </w:tc>
        <w:tc>
          <w:tcPr>
            <w:tcW w:w="1020" w:type="dxa"/>
            <w:vAlign w:val="center"/>
          </w:tcPr>
          <w:p>
            <w:pPr>
              <w:pStyle w:val="0"/>
              <w:jc w:val="center"/>
            </w:pPr>
            <w:r>
              <w:rPr>
                <w:sz w:val="20"/>
              </w:rPr>
              <w:t xml:space="preserve">130,0</w:t>
            </w:r>
          </w:p>
        </w:tc>
        <w:tc>
          <w:tcPr>
            <w:tcW w:w="680" w:type="dxa"/>
            <w:vAlign w:val="center"/>
          </w:tcPr>
          <w:p>
            <w:pPr>
              <w:pStyle w:val="0"/>
              <w:jc w:val="center"/>
            </w:pPr>
            <w:r>
              <w:rPr>
                <w:sz w:val="20"/>
              </w:rPr>
              <w:t xml:space="preserve">11,0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175,0 до 200,0 включительно</w:t>
            </w:r>
          </w:p>
        </w:tc>
        <w:tc>
          <w:tcPr>
            <w:tcW w:w="794" w:type="dxa"/>
            <w:vAlign w:val="center"/>
          </w:tcPr>
          <w:p>
            <w:pPr>
              <w:pStyle w:val="0"/>
              <w:jc w:val="center"/>
            </w:pPr>
            <w:r>
              <w:rPr>
                <w:sz w:val="20"/>
              </w:rPr>
              <w:t xml:space="preserve">2,00</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8,0</w:t>
            </w:r>
          </w:p>
        </w:tc>
        <w:tc>
          <w:tcPr>
            <w:tcW w:w="964" w:type="dxa"/>
            <w:vAlign w:val="center"/>
          </w:tcPr>
          <w:p>
            <w:pPr>
              <w:pStyle w:val="0"/>
              <w:jc w:val="center"/>
            </w:pPr>
            <w:r>
              <w:rPr>
                <w:sz w:val="20"/>
              </w:rPr>
              <w:t xml:space="preserve">23</w:t>
            </w:r>
          </w:p>
        </w:tc>
        <w:tc>
          <w:tcPr>
            <w:tcW w:w="1020" w:type="dxa"/>
            <w:vAlign w:val="center"/>
          </w:tcPr>
          <w:p>
            <w:pPr>
              <w:pStyle w:val="0"/>
              <w:jc w:val="center"/>
            </w:pPr>
            <w:r>
              <w:rPr>
                <w:sz w:val="20"/>
              </w:rPr>
              <w:t xml:space="preserve">150,0</w:t>
            </w:r>
          </w:p>
        </w:tc>
        <w:tc>
          <w:tcPr>
            <w:tcW w:w="680" w:type="dxa"/>
            <w:vAlign w:val="center"/>
          </w:tcPr>
          <w:p>
            <w:pPr>
              <w:pStyle w:val="0"/>
              <w:jc w:val="center"/>
            </w:pPr>
            <w:r>
              <w:rPr>
                <w:sz w:val="20"/>
              </w:rPr>
              <w:t xml:space="preserve">11,0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200,0 до 250,0 включительно</w:t>
            </w:r>
          </w:p>
        </w:tc>
        <w:tc>
          <w:tcPr>
            <w:tcW w:w="794" w:type="dxa"/>
            <w:vAlign w:val="center"/>
          </w:tcPr>
          <w:p>
            <w:pPr>
              <w:pStyle w:val="0"/>
              <w:jc w:val="center"/>
            </w:pPr>
            <w:r>
              <w:rPr>
                <w:sz w:val="20"/>
              </w:rPr>
              <w:t xml:space="preserve">2,50</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8,0</w:t>
            </w:r>
          </w:p>
        </w:tc>
        <w:tc>
          <w:tcPr>
            <w:tcW w:w="964" w:type="dxa"/>
            <w:vAlign w:val="center"/>
          </w:tcPr>
          <w:p>
            <w:pPr>
              <w:pStyle w:val="0"/>
              <w:jc w:val="center"/>
            </w:pPr>
            <w:r>
              <w:rPr>
                <w:sz w:val="20"/>
              </w:rPr>
              <w:t xml:space="preserve">22</w:t>
            </w:r>
          </w:p>
        </w:tc>
        <w:tc>
          <w:tcPr>
            <w:tcW w:w="1020" w:type="dxa"/>
            <w:vAlign w:val="center"/>
          </w:tcPr>
          <w:p>
            <w:pPr>
              <w:pStyle w:val="0"/>
              <w:jc w:val="center"/>
            </w:pPr>
            <w:r>
              <w:rPr>
                <w:sz w:val="20"/>
              </w:rPr>
              <w:t xml:space="preserve">180,0</w:t>
            </w:r>
          </w:p>
        </w:tc>
        <w:tc>
          <w:tcPr>
            <w:tcW w:w="680" w:type="dxa"/>
            <w:vAlign w:val="center"/>
          </w:tcPr>
          <w:p>
            <w:pPr>
              <w:pStyle w:val="0"/>
              <w:jc w:val="center"/>
            </w:pPr>
            <w:r>
              <w:rPr>
                <w:sz w:val="20"/>
              </w:rPr>
              <w:t xml:space="preserve">12,0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250,0 до 300,0 включительно</w:t>
            </w:r>
          </w:p>
        </w:tc>
        <w:tc>
          <w:tcPr>
            <w:tcW w:w="794" w:type="dxa"/>
            <w:vAlign w:val="center"/>
          </w:tcPr>
          <w:p>
            <w:pPr>
              <w:pStyle w:val="0"/>
              <w:jc w:val="center"/>
            </w:pPr>
            <w:r>
              <w:rPr>
                <w:sz w:val="20"/>
              </w:rPr>
              <w:t xml:space="preserve">3,00</w:t>
            </w:r>
          </w:p>
        </w:tc>
        <w:tc>
          <w:tcPr>
            <w:tcW w:w="710" w:type="dxa"/>
            <w:vAlign w:val="center"/>
          </w:tcPr>
          <w:p>
            <w:pPr>
              <w:pStyle w:val="0"/>
              <w:jc w:val="center"/>
            </w:pPr>
            <w:r>
              <w:rPr>
                <w:sz w:val="20"/>
              </w:rPr>
              <w:t xml:space="preserve">6,0</w:t>
            </w:r>
          </w:p>
        </w:tc>
        <w:tc>
          <w:tcPr>
            <w:tcW w:w="624" w:type="dxa"/>
            <w:vAlign w:val="center"/>
          </w:tcPr>
          <w:p>
            <w:pPr>
              <w:pStyle w:val="0"/>
              <w:jc w:val="center"/>
            </w:pPr>
            <w:r>
              <w:rPr>
                <w:sz w:val="20"/>
              </w:rPr>
              <w:t xml:space="preserve">9,0</w:t>
            </w:r>
          </w:p>
        </w:tc>
        <w:tc>
          <w:tcPr>
            <w:tcW w:w="964" w:type="dxa"/>
            <w:vAlign w:val="center"/>
          </w:tcPr>
          <w:p>
            <w:pPr>
              <w:pStyle w:val="0"/>
              <w:jc w:val="center"/>
            </w:pPr>
            <w:r>
              <w:rPr>
                <w:sz w:val="20"/>
              </w:rPr>
              <w:t xml:space="preserve">21</w:t>
            </w:r>
          </w:p>
        </w:tc>
        <w:tc>
          <w:tcPr>
            <w:tcW w:w="1020" w:type="dxa"/>
            <w:vAlign w:val="center"/>
          </w:tcPr>
          <w:p>
            <w:pPr>
              <w:pStyle w:val="0"/>
              <w:jc w:val="center"/>
            </w:pPr>
            <w:r>
              <w:rPr>
                <w:sz w:val="20"/>
              </w:rPr>
              <w:t xml:space="preserve">220,0</w:t>
            </w:r>
          </w:p>
        </w:tc>
        <w:tc>
          <w:tcPr>
            <w:tcW w:w="680" w:type="dxa"/>
            <w:vAlign w:val="center"/>
          </w:tcPr>
          <w:p>
            <w:pPr>
              <w:pStyle w:val="0"/>
              <w:jc w:val="center"/>
            </w:pPr>
            <w:r>
              <w:rPr>
                <w:sz w:val="20"/>
              </w:rPr>
              <w:t xml:space="preserve">12,0</w:t>
            </w:r>
          </w:p>
        </w:tc>
        <w:tc>
          <w:tcPr>
            <w:tcW w:w="737" w:type="dxa"/>
            <w:vAlign w:val="center"/>
          </w:tcPr>
          <w:p>
            <w:pPr>
              <w:pStyle w:val="0"/>
              <w:jc w:val="center"/>
            </w:pPr>
            <w:r>
              <w:rPr>
                <w:sz w:val="20"/>
              </w:rPr>
              <w:t xml:space="preserve">6,0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300,0 до 350,0 включительно</w:t>
            </w:r>
          </w:p>
        </w:tc>
        <w:tc>
          <w:tcPr>
            <w:tcW w:w="794" w:type="dxa"/>
            <w:vAlign w:val="center"/>
          </w:tcPr>
          <w:p>
            <w:pPr>
              <w:pStyle w:val="0"/>
              <w:jc w:val="center"/>
            </w:pPr>
            <w:r>
              <w:rPr>
                <w:sz w:val="20"/>
              </w:rPr>
              <w:t xml:space="preserve">3,50</w:t>
            </w:r>
          </w:p>
        </w:tc>
        <w:tc>
          <w:tcPr>
            <w:tcW w:w="710" w:type="dxa"/>
            <w:vAlign w:val="center"/>
          </w:tcPr>
          <w:p>
            <w:pPr>
              <w:pStyle w:val="0"/>
              <w:jc w:val="center"/>
            </w:pPr>
            <w:r>
              <w:rPr>
                <w:sz w:val="20"/>
              </w:rPr>
              <w:t xml:space="preserve">7,0</w:t>
            </w:r>
          </w:p>
        </w:tc>
        <w:tc>
          <w:tcPr>
            <w:tcW w:w="624" w:type="dxa"/>
            <w:vAlign w:val="center"/>
          </w:tcPr>
          <w:p>
            <w:pPr>
              <w:pStyle w:val="0"/>
              <w:jc w:val="center"/>
            </w:pPr>
            <w:r>
              <w:rPr>
                <w:sz w:val="20"/>
              </w:rPr>
              <w:t xml:space="preserve">10,0</w:t>
            </w:r>
          </w:p>
        </w:tc>
        <w:tc>
          <w:tcPr>
            <w:tcW w:w="964" w:type="dxa"/>
            <w:vAlign w:val="center"/>
          </w:tcPr>
          <w:p>
            <w:pPr>
              <w:pStyle w:val="0"/>
              <w:jc w:val="center"/>
            </w:pPr>
            <w:r>
              <w:rPr>
                <w:sz w:val="20"/>
              </w:rPr>
              <w:t xml:space="preserve">20</w:t>
            </w:r>
          </w:p>
        </w:tc>
        <w:tc>
          <w:tcPr>
            <w:tcW w:w="1020" w:type="dxa"/>
            <w:vAlign w:val="center"/>
          </w:tcPr>
          <w:p>
            <w:pPr>
              <w:pStyle w:val="0"/>
              <w:jc w:val="center"/>
            </w:pPr>
            <w:r>
              <w:rPr>
                <w:sz w:val="20"/>
              </w:rPr>
              <w:t xml:space="preserve">260,0</w:t>
            </w:r>
          </w:p>
        </w:tc>
        <w:tc>
          <w:tcPr>
            <w:tcW w:w="680" w:type="dxa"/>
            <w:vAlign w:val="center"/>
          </w:tcPr>
          <w:p>
            <w:pPr>
              <w:pStyle w:val="0"/>
              <w:jc w:val="center"/>
            </w:pPr>
            <w:r>
              <w:rPr>
                <w:sz w:val="20"/>
              </w:rPr>
              <w:t xml:space="preserve">13,0</w:t>
            </w:r>
          </w:p>
        </w:tc>
        <w:tc>
          <w:tcPr>
            <w:tcW w:w="737" w:type="dxa"/>
            <w:vAlign w:val="center"/>
          </w:tcPr>
          <w:p>
            <w:pPr>
              <w:pStyle w:val="0"/>
              <w:jc w:val="center"/>
            </w:pPr>
            <w:r>
              <w:rPr>
                <w:sz w:val="20"/>
              </w:rPr>
              <w:t xml:space="preserve">7,0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350,0 до 400,0 включительно</w:t>
            </w:r>
          </w:p>
        </w:tc>
        <w:tc>
          <w:tcPr>
            <w:tcW w:w="794" w:type="dxa"/>
            <w:vAlign w:val="center"/>
          </w:tcPr>
          <w:p>
            <w:pPr>
              <w:pStyle w:val="0"/>
              <w:jc w:val="center"/>
            </w:pPr>
            <w:r>
              <w:rPr>
                <w:sz w:val="20"/>
              </w:rPr>
              <w:t xml:space="preserve">4,00</w:t>
            </w:r>
          </w:p>
        </w:tc>
        <w:tc>
          <w:tcPr>
            <w:tcW w:w="710" w:type="dxa"/>
            <w:vAlign w:val="center"/>
          </w:tcPr>
          <w:p>
            <w:pPr>
              <w:pStyle w:val="0"/>
              <w:jc w:val="center"/>
            </w:pPr>
            <w:r>
              <w:rPr>
                <w:sz w:val="20"/>
              </w:rPr>
              <w:t xml:space="preserve">8,0</w:t>
            </w:r>
          </w:p>
        </w:tc>
        <w:tc>
          <w:tcPr>
            <w:tcW w:w="624" w:type="dxa"/>
            <w:vAlign w:val="center"/>
          </w:tcPr>
          <w:p>
            <w:pPr>
              <w:pStyle w:val="0"/>
              <w:jc w:val="center"/>
            </w:pPr>
            <w:r>
              <w:rPr>
                <w:sz w:val="20"/>
              </w:rPr>
              <w:t xml:space="preserve">12,0</w:t>
            </w:r>
          </w:p>
        </w:tc>
        <w:tc>
          <w:tcPr>
            <w:tcW w:w="964" w:type="dxa"/>
            <w:vAlign w:val="center"/>
          </w:tcPr>
          <w:p>
            <w:pPr>
              <w:pStyle w:val="0"/>
              <w:jc w:val="center"/>
            </w:pPr>
            <w:r>
              <w:rPr>
                <w:sz w:val="20"/>
              </w:rPr>
              <w:t xml:space="preserve">19</w:t>
            </w:r>
          </w:p>
        </w:tc>
        <w:tc>
          <w:tcPr>
            <w:tcW w:w="1020" w:type="dxa"/>
            <w:vAlign w:val="center"/>
          </w:tcPr>
          <w:p>
            <w:pPr>
              <w:pStyle w:val="0"/>
              <w:jc w:val="center"/>
            </w:pPr>
            <w:r>
              <w:rPr>
                <w:sz w:val="20"/>
              </w:rPr>
              <w:t xml:space="preserve">300,0</w:t>
            </w:r>
          </w:p>
        </w:tc>
        <w:tc>
          <w:tcPr>
            <w:tcW w:w="680" w:type="dxa"/>
            <w:vAlign w:val="center"/>
          </w:tcPr>
          <w:p>
            <w:pPr>
              <w:pStyle w:val="0"/>
              <w:jc w:val="center"/>
            </w:pPr>
            <w:r>
              <w:rPr>
                <w:sz w:val="20"/>
              </w:rPr>
              <w:t xml:space="preserve">13,0</w:t>
            </w:r>
          </w:p>
        </w:tc>
        <w:tc>
          <w:tcPr>
            <w:tcW w:w="737" w:type="dxa"/>
            <w:vAlign w:val="center"/>
          </w:tcPr>
          <w:p>
            <w:pPr>
              <w:pStyle w:val="0"/>
              <w:jc w:val="center"/>
            </w:pPr>
            <w:r>
              <w:rPr>
                <w:sz w:val="20"/>
              </w:rPr>
              <w:t xml:space="preserve">8,0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400,0 до 450,0 включительно</w:t>
            </w:r>
          </w:p>
        </w:tc>
        <w:tc>
          <w:tcPr>
            <w:tcW w:w="794" w:type="dxa"/>
            <w:vAlign w:val="center"/>
          </w:tcPr>
          <w:p>
            <w:pPr>
              <w:pStyle w:val="0"/>
              <w:jc w:val="center"/>
            </w:pPr>
            <w:r>
              <w:rPr>
                <w:sz w:val="20"/>
              </w:rPr>
              <w:t xml:space="preserve">4,50</w:t>
            </w:r>
          </w:p>
        </w:tc>
        <w:tc>
          <w:tcPr>
            <w:tcW w:w="710" w:type="dxa"/>
            <w:vAlign w:val="center"/>
          </w:tcPr>
          <w:p>
            <w:pPr>
              <w:pStyle w:val="0"/>
              <w:jc w:val="center"/>
            </w:pPr>
            <w:r>
              <w:rPr>
                <w:sz w:val="20"/>
              </w:rPr>
              <w:t xml:space="preserve">9,0</w:t>
            </w:r>
          </w:p>
        </w:tc>
        <w:tc>
          <w:tcPr>
            <w:tcW w:w="624" w:type="dxa"/>
            <w:vAlign w:val="center"/>
          </w:tcPr>
          <w:p>
            <w:pPr>
              <w:pStyle w:val="0"/>
              <w:jc w:val="center"/>
            </w:pPr>
            <w:r>
              <w:rPr>
                <w:sz w:val="20"/>
              </w:rPr>
              <w:t xml:space="preserve">14,0</w:t>
            </w:r>
          </w:p>
        </w:tc>
        <w:tc>
          <w:tcPr>
            <w:tcW w:w="964" w:type="dxa"/>
            <w:vAlign w:val="center"/>
          </w:tcPr>
          <w:p>
            <w:pPr>
              <w:pStyle w:val="0"/>
              <w:jc w:val="center"/>
            </w:pPr>
            <w:r>
              <w:rPr>
                <w:sz w:val="20"/>
              </w:rPr>
              <w:t xml:space="preserve">18</w:t>
            </w:r>
          </w:p>
        </w:tc>
        <w:tc>
          <w:tcPr>
            <w:tcW w:w="1020" w:type="dxa"/>
            <w:vAlign w:val="center"/>
          </w:tcPr>
          <w:p>
            <w:pPr>
              <w:pStyle w:val="0"/>
              <w:jc w:val="center"/>
            </w:pPr>
            <w:r>
              <w:rPr>
                <w:sz w:val="20"/>
              </w:rPr>
              <w:t xml:space="preserve">340,0</w:t>
            </w:r>
          </w:p>
        </w:tc>
        <w:tc>
          <w:tcPr>
            <w:tcW w:w="680" w:type="dxa"/>
            <w:vAlign w:val="center"/>
          </w:tcPr>
          <w:p>
            <w:pPr>
              <w:pStyle w:val="0"/>
              <w:jc w:val="center"/>
            </w:pPr>
            <w:r>
              <w:rPr>
                <w:sz w:val="20"/>
              </w:rPr>
              <w:t xml:space="preserve">13,0</w:t>
            </w:r>
          </w:p>
        </w:tc>
        <w:tc>
          <w:tcPr>
            <w:tcW w:w="737" w:type="dxa"/>
            <w:vAlign w:val="center"/>
          </w:tcPr>
          <w:p>
            <w:pPr>
              <w:pStyle w:val="0"/>
              <w:jc w:val="center"/>
            </w:pPr>
            <w:r>
              <w:rPr>
                <w:sz w:val="20"/>
              </w:rPr>
              <w:t xml:space="preserve">9,0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450,0 до 500,0 включительно</w:t>
            </w:r>
          </w:p>
        </w:tc>
        <w:tc>
          <w:tcPr>
            <w:tcW w:w="794" w:type="dxa"/>
            <w:vAlign w:val="center"/>
          </w:tcPr>
          <w:p>
            <w:pPr>
              <w:pStyle w:val="0"/>
              <w:jc w:val="center"/>
            </w:pPr>
            <w:r>
              <w:rPr>
                <w:sz w:val="20"/>
              </w:rPr>
              <w:t xml:space="preserve">5,00</w:t>
            </w:r>
          </w:p>
        </w:tc>
        <w:tc>
          <w:tcPr>
            <w:tcW w:w="710" w:type="dxa"/>
            <w:vAlign w:val="center"/>
          </w:tcPr>
          <w:p>
            <w:pPr>
              <w:pStyle w:val="0"/>
              <w:jc w:val="center"/>
            </w:pPr>
            <w:r>
              <w:rPr>
                <w:sz w:val="20"/>
              </w:rPr>
              <w:t xml:space="preserve">10,0</w:t>
            </w:r>
          </w:p>
        </w:tc>
        <w:tc>
          <w:tcPr>
            <w:tcW w:w="624" w:type="dxa"/>
            <w:vAlign w:val="center"/>
          </w:tcPr>
          <w:p>
            <w:pPr>
              <w:pStyle w:val="0"/>
              <w:jc w:val="center"/>
            </w:pPr>
            <w:r>
              <w:rPr>
                <w:sz w:val="20"/>
              </w:rPr>
              <w:t xml:space="preserve">15,0</w:t>
            </w:r>
          </w:p>
        </w:tc>
        <w:tc>
          <w:tcPr>
            <w:tcW w:w="964" w:type="dxa"/>
            <w:vAlign w:val="center"/>
          </w:tcPr>
          <w:p>
            <w:pPr>
              <w:pStyle w:val="0"/>
              <w:jc w:val="center"/>
            </w:pPr>
            <w:r>
              <w:rPr>
                <w:sz w:val="20"/>
              </w:rPr>
              <w:t xml:space="preserve">17</w:t>
            </w:r>
          </w:p>
        </w:tc>
        <w:tc>
          <w:tcPr>
            <w:tcW w:w="1020" w:type="dxa"/>
            <w:vAlign w:val="center"/>
          </w:tcPr>
          <w:p>
            <w:pPr>
              <w:pStyle w:val="0"/>
              <w:jc w:val="center"/>
            </w:pPr>
            <w:r>
              <w:rPr>
                <w:sz w:val="20"/>
              </w:rPr>
              <w:t xml:space="preserve">380,0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10,0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500,0 до 550,0 включительно</w:t>
            </w:r>
          </w:p>
        </w:tc>
        <w:tc>
          <w:tcPr>
            <w:tcW w:w="794" w:type="dxa"/>
            <w:vAlign w:val="center"/>
          </w:tcPr>
          <w:p>
            <w:pPr>
              <w:pStyle w:val="0"/>
              <w:jc w:val="center"/>
            </w:pPr>
            <w:r>
              <w:rPr>
                <w:sz w:val="20"/>
              </w:rPr>
              <w:t xml:space="preserve">5,50</w:t>
            </w:r>
          </w:p>
        </w:tc>
        <w:tc>
          <w:tcPr>
            <w:tcW w:w="710" w:type="dxa"/>
            <w:vAlign w:val="center"/>
          </w:tcPr>
          <w:p>
            <w:pPr>
              <w:pStyle w:val="0"/>
              <w:jc w:val="center"/>
            </w:pPr>
            <w:r>
              <w:rPr>
                <w:sz w:val="20"/>
              </w:rPr>
              <w:t xml:space="preserve">11,0</w:t>
            </w:r>
          </w:p>
        </w:tc>
        <w:tc>
          <w:tcPr>
            <w:tcW w:w="624" w:type="dxa"/>
            <w:vAlign w:val="center"/>
          </w:tcPr>
          <w:p>
            <w:pPr>
              <w:pStyle w:val="0"/>
              <w:jc w:val="center"/>
            </w:pPr>
            <w:r>
              <w:rPr>
                <w:sz w:val="20"/>
              </w:rPr>
              <w:t xml:space="preserve">16,0</w:t>
            </w:r>
          </w:p>
        </w:tc>
        <w:tc>
          <w:tcPr>
            <w:tcW w:w="964" w:type="dxa"/>
            <w:vAlign w:val="center"/>
          </w:tcPr>
          <w:p>
            <w:pPr>
              <w:pStyle w:val="0"/>
              <w:jc w:val="center"/>
            </w:pPr>
            <w:r>
              <w:rPr>
                <w:sz w:val="20"/>
              </w:rPr>
              <w:t xml:space="preserve">16</w:t>
            </w:r>
          </w:p>
        </w:tc>
        <w:tc>
          <w:tcPr>
            <w:tcW w:w="1020" w:type="dxa"/>
            <w:vAlign w:val="center"/>
          </w:tcPr>
          <w:p>
            <w:pPr>
              <w:pStyle w:val="0"/>
              <w:jc w:val="center"/>
            </w:pPr>
            <w:r>
              <w:rPr>
                <w:sz w:val="20"/>
              </w:rPr>
              <w:t xml:space="preserve">420,0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11,0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550,0</w:t>
            </w:r>
          </w:p>
        </w:tc>
        <w:tc>
          <w:tcPr>
            <w:tcW w:w="794" w:type="dxa"/>
            <w:vAlign w:val="center"/>
          </w:tcPr>
          <w:p>
            <w:pPr>
              <w:pStyle w:val="0"/>
              <w:jc w:val="center"/>
            </w:pPr>
            <w:r>
              <w:rPr>
                <w:sz w:val="20"/>
              </w:rPr>
              <w:t xml:space="preserve">6,00</w:t>
            </w:r>
          </w:p>
        </w:tc>
        <w:tc>
          <w:tcPr>
            <w:tcW w:w="710" w:type="dxa"/>
            <w:vAlign w:val="center"/>
          </w:tcPr>
          <w:p>
            <w:pPr>
              <w:pStyle w:val="0"/>
              <w:jc w:val="center"/>
            </w:pPr>
            <w:r>
              <w:rPr>
                <w:sz w:val="20"/>
              </w:rPr>
              <w:t xml:space="preserve">12,0</w:t>
            </w:r>
          </w:p>
        </w:tc>
        <w:tc>
          <w:tcPr>
            <w:tcW w:w="624" w:type="dxa"/>
            <w:vAlign w:val="center"/>
          </w:tcPr>
          <w:p>
            <w:pPr>
              <w:pStyle w:val="0"/>
              <w:jc w:val="center"/>
            </w:pPr>
            <w:r>
              <w:rPr>
                <w:sz w:val="20"/>
              </w:rPr>
              <w:t xml:space="preserve">18,0</w:t>
            </w:r>
          </w:p>
        </w:tc>
        <w:tc>
          <w:tcPr>
            <w:tcW w:w="964" w:type="dxa"/>
            <w:vAlign w:val="center"/>
          </w:tcPr>
          <w:p>
            <w:pPr>
              <w:pStyle w:val="0"/>
              <w:jc w:val="center"/>
            </w:pPr>
            <w:r>
              <w:rPr>
                <w:sz w:val="20"/>
              </w:rPr>
              <w:t xml:space="preserve">15</w:t>
            </w:r>
          </w:p>
        </w:tc>
        <w:tc>
          <w:tcPr>
            <w:tcW w:w="1020" w:type="dxa"/>
            <w:vAlign w:val="center"/>
          </w:tcPr>
          <w:p>
            <w:pPr>
              <w:pStyle w:val="0"/>
              <w:jc w:val="center"/>
            </w:pPr>
            <w:r>
              <w:rPr>
                <w:sz w:val="20"/>
              </w:rPr>
              <w:t xml:space="preserve">460,0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12,0</w:t>
            </w:r>
          </w:p>
        </w:tc>
        <w:tc>
          <w:tcPr>
            <w:tcW w:w="859" w:type="dxa"/>
            <w:vAlign w:val="center"/>
          </w:tcPr>
          <w:p>
            <w:pPr>
              <w:pStyle w:val="0"/>
              <w:jc w:val="center"/>
            </w:pPr>
            <w:r>
              <w:rPr>
                <w:sz w:val="20"/>
              </w:rPr>
              <w:t xml:space="preserve">2</w:t>
            </w:r>
          </w:p>
        </w:tc>
      </w:tr>
      <w:tr>
        <w:tc>
          <w:tcPr>
            <w:gridSpan w:val="9"/>
            <w:tcW w:w="9053" w:type="dxa"/>
          </w:tcPr>
          <w:p>
            <w:pPr>
              <w:pStyle w:val="0"/>
              <w:outlineLvl w:val="4"/>
              <w:jc w:val="center"/>
            </w:pPr>
            <w:r>
              <w:rPr>
                <w:sz w:val="20"/>
              </w:rPr>
              <w:t xml:space="preserve">Сварные соединения II категории</w:t>
            </w:r>
          </w:p>
        </w:tc>
      </w:tr>
      <w:tr>
        <w:tc>
          <w:tcPr>
            <w:tcW w:w="2665" w:type="dxa"/>
            <w:vAlign w:val="center"/>
          </w:tcPr>
          <w:p>
            <w:pPr>
              <w:pStyle w:val="0"/>
              <w:jc w:val="center"/>
            </w:pPr>
            <w:r>
              <w:rPr>
                <w:sz w:val="20"/>
              </w:rPr>
              <w:t xml:space="preserve">Более 1,0 до 1,5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0,3</w:t>
            </w:r>
          </w:p>
        </w:tc>
        <w:tc>
          <w:tcPr>
            <w:tcW w:w="624" w:type="dxa"/>
            <w:vAlign w:val="center"/>
          </w:tcPr>
          <w:p>
            <w:pPr>
              <w:pStyle w:val="0"/>
              <w:jc w:val="center"/>
            </w:pPr>
            <w:r>
              <w:rPr>
                <w:sz w:val="20"/>
              </w:rPr>
              <w:t xml:space="preserve">0,4</w:t>
            </w:r>
          </w:p>
        </w:tc>
        <w:tc>
          <w:tcPr>
            <w:tcW w:w="964" w:type="dxa"/>
            <w:vAlign w:val="center"/>
          </w:tcPr>
          <w:p>
            <w:pPr>
              <w:pStyle w:val="0"/>
              <w:jc w:val="center"/>
            </w:pPr>
            <w:r>
              <w:rPr>
                <w:sz w:val="20"/>
              </w:rPr>
              <w:t xml:space="preserve">11</w:t>
            </w:r>
          </w:p>
        </w:tc>
        <w:tc>
          <w:tcPr>
            <w:tcW w:w="1020" w:type="dxa"/>
            <w:vAlign w:val="center"/>
          </w:tcPr>
          <w:p>
            <w:pPr>
              <w:pStyle w:val="0"/>
              <w:jc w:val="center"/>
            </w:pPr>
            <w:r>
              <w:rPr>
                <w:sz w:val="20"/>
              </w:rPr>
              <w:t xml:space="preserve">0,4</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0,3</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1,5 до 2,0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0,4</w:t>
            </w:r>
          </w:p>
        </w:tc>
        <w:tc>
          <w:tcPr>
            <w:tcW w:w="624" w:type="dxa"/>
            <w:vAlign w:val="center"/>
          </w:tcPr>
          <w:p>
            <w:pPr>
              <w:pStyle w:val="0"/>
              <w:jc w:val="center"/>
            </w:pPr>
            <w:r>
              <w:rPr>
                <w:sz w:val="20"/>
              </w:rPr>
              <w:t xml:space="preserve">0,6</w:t>
            </w:r>
          </w:p>
        </w:tc>
        <w:tc>
          <w:tcPr>
            <w:tcW w:w="964" w:type="dxa"/>
            <w:vAlign w:val="center"/>
          </w:tcPr>
          <w:p>
            <w:pPr>
              <w:pStyle w:val="0"/>
              <w:jc w:val="center"/>
            </w:pPr>
            <w:r>
              <w:rPr>
                <w:sz w:val="20"/>
              </w:rPr>
              <w:t xml:space="preserve">11</w:t>
            </w:r>
          </w:p>
        </w:tc>
        <w:tc>
          <w:tcPr>
            <w:tcW w:w="1020" w:type="dxa"/>
            <w:vAlign w:val="center"/>
          </w:tcPr>
          <w:p>
            <w:pPr>
              <w:pStyle w:val="0"/>
              <w:jc w:val="center"/>
            </w:pPr>
            <w:r>
              <w:rPr>
                <w:sz w:val="20"/>
              </w:rPr>
              <w:t xml:space="preserve">0,6</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0,4</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2,0 до 2,5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0,5</w:t>
            </w:r>
          </w:p>
        </w:tc>
        <w:tc>
          <w:tcPr>
            <w:tcW w:w="624" w:type="dxa"/>
            <w:vAlign w:val="center"/>
          </w:tcPr>
          <w:p>
            <w:pPr>
              <w:pStyle w:val="0"/>
              <w:jc w:val="center"/>
            </w:pPr>
            <w:r>
              <w:rPr>
                <w:sz w:val="20"/>
              </w:rPr>
              <w:t xml:space="preserve">0,8</w:t>
            </w:r>
          </w:p>
        </w:tc>
        <w:tc>
          <w:tcPr>
            <w:tcW w:w="964" w:type="dxa"/>
            <w:vAlign w:val="center"/>
          </w:tcPr>
          <w:p>
            <w:pPr>
              <w:pStyle w:val="0"/>
              <w:jc w:val="center"/>
            </w:pPr>
            <w:r>
              <w:rPr>
                <w:sz w:val="20"/>
              </w:rPr>
              <w:t xml:space="preserve">11</w:t>
            </w:r>
          </w:p>
        </w:tc>
        <w:tc>
          <w:tcPr>
            <w:tcW w:w="1020" w:type="dxa"/>
            <w:vAlign w:val="center"/>
          </w:tcPr>
          <w:p>
            <w:pPr>
              <w:pStyle w:val="0"/>
              <w:jc w:val="center"/>
            </w:pPr>
            <w:r>
              <w:rPr>
                <w:sz w:val="20"/>
              </w:rPr>
              <w:t xml:space="preserve">1,2</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0,5</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2,5 до 3,5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0,6</w:t>
            </w:r>
          </w:p>
        </w:tc>
        <w:tc>
          <w:tcPr>
            <w:tcW w:w="624" w:type="dxa"/>
            <w:vAlign w:val="center"/>
          </w:tcPr>
          <w:p>
            <w:pPr>
              <w:pStyle w:val="0"/>
              <w:jc w:val="center"/>
            </w:pPr>
            <w:r>
              <w:rPr>
                <w:sz w:val="20"/>
              </w:rPr>
              <w:t xml:space="preserve">1,0</w:t>
            </w:r>
          </w:p>
        </w:tc>
        <w:tc>
          <w:tcPr>
            <w:tcW w:w="964" w:type="dxa"/>
            <w:vAlign w:val="center"/>
          </w:tcPr>
          <w:p>
            <w:pPr>
              <w:pStyle w:val="0"/>
              <w:jc w:val="center"/>
            </w:pPr>
            <w:r>
              <w:rPr>
                <w:sz w:val="20"/>
              </w:rPr>
              <w:t xml:space="preserve">11</w:t>
            </w:r>
          </w:p>
        </w:tc>
        <w:tc>
          <w:tcPr>
            <w:tcW w:w="1020" w:type="dxa"/>
            <w:vAlign w:val="center"/>
          </w:tcPr>
          <w:p>
            <w:pPr>
              <w:pStyle w:val="0"/>
              <w:jc w:val="center"/>
            </w:pPr>
            <w:r>
              <w:rPr>
                <w:sz w:val="20"/>
              </w:rPr>
              <w:t xml:space="preserve">1,7</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0,6</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3,5 до 5,0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0,8</w:t>
            </w:r>
          </w:p>
        </w:tc>
        <w:tc>
          <w:tcPr>
            <w:tcW w:w="624" w:type="dxa"/>
            <w:vAlign w:val="center"/>
          </w:tcPr>
          <w:p>
            <w:pPr>
              <w:pStyle w:val="0"/>
              <w:jc w:val="center"/>
            </w:pPr>
            <w:r>
              <w:rPr>
                <w:sz w:val="20"/>
              </w:rPr>
              <w:t xml:space="preserve">1,2</w:t>
            </w:r>
          </w:p>
        </w:tc>
        <w:tc>
          <w:tcPr>
            <w:tcW w:w="964" w:type="dxa"/>
            <w:vAlign w:val="center"/>
          </w:tcPr>
          <w:p>
            <w:pPr>
              <w:pStyle w:val="0"/>
              <w:jc w:val="center"/>
            </w:pPr>
            <w:r>
              <w:rPr>
                <w:sz w:val="20"/>
              </w:rPr>
              <w:t xml:space="preserve">11</w:t>
            </w:r>
          </w:p>
        </w:tc>
        <w:tc>
          <w:tcPr>
            <w:tcW w:w="1020" w:type="dxa"/>
            <w:vAlign w:val="center"/>
          </w:tcPr>
          <w:p>
            <w:pPr>
              <w:pStyle w:val="0"/>
              <w:jc w:val="center"/>
            </w:pPr>
            <w:r>
              <w:rPr>
                <w:sz w:val="20"/>
              </w:rPr>
              <w:t xml:space="preserve">3,0</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0,8</w:t>
            </w:r>
          </w:p>
        </w:tc>
        <w:tc>
          <w:tcPr>
            <w:tcW w:w="859" w:type="dxa"/>
            <w:vAlign w:val="center"/>
          </w:tcPr>
          <w:p>
            <w:pPr>
              <w:pStyle w:val="0"/>
              <w:jc w:val="center"/>
            </w:pPr>
            <w:r>
              <w:rPr>
                <w:sz w:val="20"/>
              </w:rPr>
              <w:t xml:space="preserve">1</w:t>
            </w:r>
          </w:p>
        </w:tc>
      </w:tr>
      <w:tr>
        <w:tc>
          <w:tcPr>
            <w:tcW w:w="2665" w:type="dxa"/>
            <w:vAlign w:val="center"/>
          </w:tcPr>
          <w:p>
            <w:pPr>
              <w:pStyle w:val="0"/>
              <w:jc w:val="center"/>
            </w:pPr>
            <w:r>
              <w:rPr>
                <w:sz w:val="20"/>
              </w:rPr>
              <w:t xml:space="preserve">Более 5,0 до 6,5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1,0</w:t>
            </w:r>
          </w:p>
        </w:tc>
        <w:tc>
          <w:tcPr>
            <w:tcW w:w="624" w:type="dxa"/>
            <w:vAlign w:val="center"/>
          </w:tcPr>
          <w:p>
            <w:pPr>
              <w:pStyle w:val="0"/>
              <w:jc w:val="center"/>
            </w:pPr>
            <w:r>
              <w:rPr>
                <w:sz w:val="20"/>
              </w:rPr>
              <w:t xml:space="preserve">1,5</w:t>
            </w:r>
          </w:p>
        </w:tc>
        <w:tc>
          <w:tcPr>
            <w:tcW w:w="964" w:type="dxa"/>
            <w:vAlign w:val="center"/>
          </w:tcPr>
          <w:p>
            <w:pPr>
              <w:pStyle w:val="0"/>
              <w:jc w:val="center"/>
            </w:pPr>
            <w:r>
              <w:rPr>
                <w:sz w:val="20"/>
              </w:rPr>
              <w:t xml:space="preserve">12</w:t>
            </w:r>
          </w:p>
        </w:tc>
        <w:tc>
          <w:tcPr>
            <w:tcW w:w="1020" w:type="dxa"/>
            <w:vAlign w:val="center"/>
          </w:tcPr>
          <w:p>
            <w:pPr>
              <w:pStyle w:val="0"/>
              <w:jc w:val="center"/>
            </w:pPr>
            <w:r>
              <w:rPr>
                <w:sz w:val="20"/>
              </w:rPr>
              <w:t xml:space="preserve">4,5</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1,0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6,5 до 8,5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1,2</w:t>
            </w:r>
          </w:p>
        </w:tc>
        <w:tc>
          <w:tcPr>
            <w:tcW w:w="624" w:type="dxa"/>
            <w:vAlign w:val="center"/>
          </w:tcPr>
          <w:p>
            <w:pPr>
              <w:pStyle w:val="0"/>
              <w:jc w:val="center"/>
            </w:pPr>
            <w:r>
              <w:rPr>
                <w:sz w:val="20"/>
              </w:rPr>
              <w:t xml:space="preserve">2,0</w:t>
            </w:r>
          </w:p>
        </w:tc>
        <w:tc>
          <w:tcPr>
            <w:tcW w:w="964" w:type="dxa"/>
            <w:vAlign w:val="center"/>
          </w:tcPr>
          <w:p>
            <w:pPr>
              <w:pStyle w:val="0"/>
              <w:jc w:val="center"/>
            </w:pPr>
            <w:r>
              <w:rPr>
                <w:sz w:val="20"/>
              </w:rPr>
              <w:t xml:space="preserve">12</w:t>
            </w:r>
          </w:p>
        </w:tc>
        <w:tc>
          <w:tcPr>
            <w:tcW w:w="1020" w:type="dxa"/>
            <w:vAlign w:val="center"/>
          </w:tcPr>
          <w:p>
            <w:pPr>
              <w:pStyle w:val="0"/>
              <w:jc w:val="center"/>
            </w:pPr>
            <w:r>
              <w:rPr>
                <w:sz w:val="20"/>
              </w:rPr>
              <w:t xml:space="preserve">6,5</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1,2</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8,5 до 10,0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1,5</w:t>
            </w:r>
          </w:p>
        </w:tc>
        <w:tc>
          <w:tcPr>
            <w:tcW w:w="624" w:type="dxa"/>
            <w:vAlign w:val="center"/>
          </w:tcPr>
          <w:p>
            <w:pPr>
              <w:pStyle w:val="0"/>
              <w:jc w:val="center"/>
            </w:pPr>
            <w:r>
              <w:rPr>
                <w:sz w:val="20"/>
              </w:rPr>
              <w:t xml:space="preserve">2,5</w:t>
            </w:r>
          </w:p>
        </w:tc>
        <w:tc>
          <w:tcPr>
            <w:tcW w:w="964" w:type="dxa"/>
            <w:vAlign w:val="center"/>
          </w:tcPr>
          <w:p>
            <w:pPr>
              <w:pStyle w:val="0"/>
              <w:jc w:val="center"/>
            </w:pPr>
            <w:r>
              <w:rPr>
                <w:sz w:val="20"/>
              </w:rPr>
              <w:t xml:space="preserve">13</w:t>
            </w:r>
          </w:p>
        </w:tc>
        <w:tc>
          <w:tcPr>
            <w:tcW w:w="1020" w:type="dxa"/>
            <w:vAlign w:val="center"/>
          </w:tcPr>
          <w:p>
            <w:pPr>
              <w:pStyle w:val="0"/>
              <w:jc w:val="center"/>
            </w:pPr>
            <w:r>
              <w:rPr>
                <w:sz w:val="20"/>
              </w:rPr>
              <w:t xml:space="preserve">8,5</w:t>
            </w:r>
          </w:p>
        </w:tc>
        <w:tc>
          <w:tcPr>
            <w:tcW w:w="680" w:type="dxa"/>
            <w:vAlign w:val="center"/>
          </w:tcPr>
          <w:p>
            <w:pPr>
              <w:pStyle w:val="0"/>
              <w:jc w:val="center"/>
            </w:pPr>
            <w:r>
              <w:rPr>
                <w:sz w:val="20"/>
              </w:rPr>
              <w:t xml:space="preserve">4,0</w:t>
            </w:r>
          </w:p>
        </w:tc>
        <w:tc>
          <w:tcPr>
            <w:tcW w:w="737" w:type="dxa"/>
            <w:vAlign w:val="center"/>
          </w:tcPr>
          <w:p>
            <w:pPr>
              <w:pStyle w:val="0"/>
              <w:jc w:val="center"/>
            </w:pPr>
            <w:r>
              <w:rPr>
                <w:sz w:val="20"/>
              </w:rPr>
              <w:t xml:space="preserve">1,5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10,0 до 12,0 включительно</w:t>
            </w:r>
          </w:p>
        </w:tc>
        <w:tc>
          <w:tcPr>
            <w:tcW w:w="794" w:type="dxa"/>
            <w:vAlign w:val="center"/>
          </w:tcPr>
          <w:p>
            <w:pPr>
              <w:pStyle w:val="0"/>
              <w:jc w:val="center"/>
            </w:pPr>
            <w:r>
              <w:rPr>
                <w:sz w:val="20"/>
              </w:rPr>
              <w:t xml:space="preserve">0,30</w:t>
            </w:r>
          </w:p>
        </w:tc>
        <w:tc>
          <w:tcPr>
            <w:tcW w:w="710" w:type="dxa"/>
            <w:vAlign w:val="center"/>
          </w:tcPr>
          <w:p>
            <w:pPr>
              <w:pStyle w:val="0"/>
              <w:jc w:val="center"/>
            </w:pPr>
            <w:r>
              <w:rPr>
                <w:sz w:val="20"/>
              </w:rPr>
              <w:t xml:space="preserve">1,5</w:t>
            </w:r>
          </w:p>
        </w:tc>
        <w:tc>
          <w:tcPr>
            <w:tcW w:w="624" w:type="dxa"/>
            <w:vAlign w:val="center"/>
          </w:tcPr>
          <w:p>
            <w:pPr>
              <w:pStyle w:val="0"/>
              <w:jc w:val="center"/>
            </w:pPr>
            <w:r>
              <w:rPr>
                <w:sz w:val="20"/>
              </w:rPr>
              <w:t xml:space="preserve">2,5</w:t>
            </w:r>
          </w:p>
        </w:tc>
        <w:tc>
          <w:tcPr>
            <w:tcW w:w="964" w:type="dxa"/>
            <w:vAlign w:val="center"/>
          </w:tcPr>
          <w:p>
            <w:pPr>
              <w:pStyle w:val="0"/>
              <w:jc w:val="center"/>
            </w:pPr>
            <w:r>
              <w:rPr>
                <w:sz w:val="20"/>
              </w:rPr>
              <w:t xml:space="preserve">13</w:t>
            </w:r>
          </w:p>
        </w:tc>
        <w:tc>
          <w:tcPr>
            <w:tcW w:w="1020" w:type="dxa"/>
            <w:vAlign w:val="center"/>
          </w:tcPr>
          <w:p>
            <w:pPr>
              <w:pStyle w:val="0"/>
              <w:jc w:val="center"/>
            </w:pPr>
            <w:r>
              <w:rPr>
                <w:sz w:val="20"/>
              </w:rPr>
              <w:t xml:space="preserve">10,0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1,5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12,0 до 15,0 включительно</w:t>
            </w:r>
          </w:p>
        </w:tc>
        <w:tc>
          <w:tcPr>
            <w:tcW w:w="794" w:type="dxa"/>
            <w:vAlign w:val="center"/>
          </w:tcPr>
          <w:p>
            <w:pPr>
              <w:pStyle w:val="0"/>
              <w:jc w:val="center"/>
            </w:pPr>
            <w:r>
              <w:rPr>
                <w:sz w:val="20"/>
              </w:rPr>
              <w:t xml:space="preserve">0,30</w:t>
            </w:r>
          </w:p>
        </w:tc>
        <w:tc>
          <w:tcPr>
            <w:tcW w:w="710" w:type="dxa"/>
            <w:vAlign w:val="center"/>
          </w:tcPr>
          <w:p>
            <w:pPr>
              <w:pStyle w:val="0"/>
              <w:jc w:val="center"/>
            </w:pPr>
            <w:r>
              <w:rPr>
                <w:sz w:val="20"/>
              </w:rPr>
              <w:t xml:space="preserve">2,0</w:t>
            </w:r>
          </w:p>
        </w:tc>
        <w:tc>
          <w:tcPr>
            <w:tcW w:w="624" w:type="dxa"/>
            <w:vAlign w:val="center"/>
          </w:tcPr>
          <w:p>
            <w:pPr>
              <w:pStyle w:val="0"/>
              <w:jc w:val="center"/>
            </w:pPr>
            <w:r>
              <w:rPr>
                <w:sz w:val="20"/>
              </w:rPr>
              <w:t xml:space="preserve">3,0</w:t>
            </w:r>
          </w:p>
        </w:tc>
        <w:tc>
          <w:tcPr>
            <w:tcW w:w="964" w:type="dxa"/>
            <w:vAlign w:val="center"/>
          </w:tcPr>
          <w:p>
            <w:pPr>
              <w:pStyle w:val="0"/>
              <w:jc w:val="center"/>
            </w:pPr>
            <w:r>
              <w:rPr>
                <w:sz w:val="20"/>
              </w:rPr>
              <w:t xml:space="preserve">14</w:t>
            </w:r>
          </w:p>
        </w:tc>
        <w:tc>
          <w:tcPr>
            <w:tcW w:w="1020" w:type="dxa"/>
            <w:vAlign w:val="center"/>
          </w:tcPr>
          <w:p>
            <w:pPr>
              <w:pStyle w:val="0"/>
              <w:jc w:val="center"/>
            </w:pPr>
            <w:r>
              <w:rPr>
                <w:sz w:val="20"/>
              </w:rPr>
              <w:t xml:space="preserve">12,0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2,0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15,0 до 18,0 включительно</w:t>
            </w:r>
          </w:p>
        </w:tc>
        <w:tc>
          <w:tcPr>
            <w:tcW w:w="794" w:type="dxa"/>
            <w:vAlign w:val="center"/>
          </w:tcPr>
          <w:p>
            <w:pPr>
              <w:pStyle w:val="0"/>
              <w:jc w:val="center"/>
            </w:pPr>
            <w:r>
              <w:rPr>
                <w:sz w:val="20"/>
              </w:rPr>
              <w:t xml:space="preserve">0,30</w:t>
            </w:r>
          </w:p>
        </w:tc>
        <w:tc>
          <w:tcPr>
            <w:tcW w:w="710" w:type="dxa"/>
            <w:vAlign w:val="center"/>
          </w:tcPr>
          <w:p>
            <w:pPr>
              <w:pStyle w:val="0"/>
              <w:jc w:val="center"/>
            </w:pPr>
            <w:r>
              <w:rPr>
                <w:sz w:val="20"/>
              </w:rPr>
              <w:t xml:space="preserve">2,0</w:t>
            </w:r>
          </w:p>
        </w:tc>
        <w:tc>
          <w:tcPr>
            <w:tcW w:w="624" w:type="dxa"/>
            <w:vAlign w:val="center"/>
          </w:tcPr>
          <w:p>
            <w:pPr>
              <w:pStyle w:val="0"/>
              <w:jc w:val="center"/>
            </w:pPr>
            <w:r>
              <w:rPr>
                <w:sz w:val="20"/>
              </w:rPr>
              <w:t xml:space="preserve">3,0</w:t>
            </w:r>
          </w:p>
        </w:tc>
        <w:tc>
          <w:tcPr>
            <w:tcW w:w="964" w:type="dxa"/>
            <w:vAlign w:val="center"/>
          </w:tcPr>
          <w:p>
            <w:pPr>
              <w:pStyle w:val="0"/>
              <w:jc w:val="center"/>
            </w:pPr>
            <w:r>
              <w:rPr>
                <w:sz w:val="20"/>
              </w:rPr>
              <w:t xml:space="preserve">14</w:t>
            </w:r>
          </w:p>
        </w:tc>
        <w:tc>
          <w:tcPr>
            <w:tcW w:w="1020" w:type="dxa"/>
            <w:vAlign w:val="center"/>
          </w:tcPr>
          <w:p>
            <w:pPr>
              <w:pStyle w:val="0"/>
              <w:jc w:val="center"/>
            </w:pPr>
            <w:r>
              <w:rPr>
                <w:sz w:val="20"/>
              </w:rPr>
              <w:t xml:space="preserve">15,0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2,0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18,0 до 21,0 включительно</w:t>
            </w:r>
          </w:p>
        </w:tc>
        <w:tc>
          <w:tcPr>
            <w:tcW w:w="794" w:type="dxa"/>
            <w:vAlign w:val="center"/>
          </w:tcPr>
          <w:p>
            <w:pPr>
              <w:pStyle w:val="0"/>
              <w:jc w:val="center"/>
            </w:pPr>
            <w:r>
              <w:rPr>
                <w:sz w:val="20"/>
              </w:rPr>
              <w:t xml:space="preserve">0,40</w:t>
            </w:r>
          </w:p>
        </w:tc>
        <w:tc>
          <w:tcPr>
            <w:tcW w:w="710" w:type="dxa"/>
            <w:vAlign w:val="center"/>
          </w:tcPr>
          <w:p>
            <w:pPr>
              <w:pStyle w:val="0"/>
              <w:jc w:val="center"/>
            </w:pPr>
            <w:r>
              <w:rPr>
                <w:sz w:val="20"/>
              </w:rPr>
              <w:t xml:space="preserve">2,5</w:t>
            </w:r>
          </w:p>
        </w:tc>
        <w:tc>
          <w:tcPr>
            <w:tcW w:w="624" w:type="dxa"/>
            <w:vAlign w:val="center"/>
          </w:tcPr>
          <w:p>
            <w:pPr>
              <w:pStyle w:val="0"/>
              <w:jc w:val="center"/>
            </w:pPr>
            <w:r>
              <w:rPr>
                <w:sz w:val="20"/>
              </w:rPr>
              <w:t xml:space="preserve">3,5</w:t>
            </w:r>
          </w:p>
        </w:tc>
        <w:tc>
          <w:tcPr>
            <w:tcW w:w="964" w:type="dxa"/>
            <w:vAlign w:val="center"/>
          </w:tcPr>
          <w:p>
            <w:pPr>
              <w:pStyle w:val="0"/>
              <w:jc w:val="center"/>
            </w:pPr>
            <w:r>
              <w:rPr>
                <w:sz w:val="20"/>
              </w:rPr>
              <w:t xml:space="preserve">15</w:t>
            </w:r>
          </w:p>
        </w:tc>
        <w:tc>
          <w:tcPr>
            <w:tcW w:w="1020" w:type="dxa"/>
            <w:vAlign w:val="center"/>
          </w:tcPr>
          <w:p>
            <w:pPr>
              <w:pStyle w:val="0"/>
              <w:jc w:val="center"/>
            </w:pPr>
            <w:r>
              <w:rPr>
                <w:sz w:val="20"/>
              </w:rPr>
              <w:t xml:space="preserve">18,0</w:t>
            </w:r>
          </w:p>
        </w:tc>
        <w:tc>
          <w:tcPr>
            <w:tcW w:w="680" w:type="dxa"/>
            <w:vAlign w:val="center"/>
          </w:tcPr>
          <w:p>
            <w:pPr>
              <w:pStyle w:val="0"/>
              <w:jc w:val="center"/>
            </w:pPr>
            <w:r>
              <w:rPr>
                <w:sz w:val="20"/>
              </w:rPr>
              <w:t xml:space="preserve">6,0</w:t>
            </w:r>
          </w:p>
        </w:tc>
        <w:tc>
          <w:tcPr>
            <w:tcW w:w="737" w:type="dxa"/>
            <w:vAlign w:val="center"/>
          </w:tcPr>
          <w:p>
            <w:pPr>
              <w:pStyle w:val="0"/>
              <w:jc w:val="center"/>
            </w:pPr>
            <w:r>
              <w:rPr>
                <w:sz w:val="20"/>
              </w:rPr>
              <w:t xml:space="preserve">2,5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21,0 до 24,0 включительно</w:t>
            </w:r>
          </w:p>
        </w:tc>
        <w:tc>
          <w:tcPr>
            <w:tcW w:w="794" w:type="dxa"/>
            <w:vAlign w:val="center"/>
          </w:tcPr>
          <w:p>
            <w:pPr>
              <w:pStyle w:val="0"/>
              <w:jc w:val="center"/>
            </w:pPr>
            <w:r>
              <w:rPr>
                <w:sz w:val="20"/>
              </w:rPr>
              <w:t xml:space="preserve">0,40</w:t>
            </w:r>
          </w:p>
        </w:tc>
        <w:tc>
          <w:tcPr>
            <w:tcW w:w="710" w:type="dxa"/>
            <w:vAlign w:val="center"/>
          </w:tcPr>
          <w:p>
            <w:pPr>
              <w:pStyle w:val="0"/>
              <w:jc w:val="center"/>
            </w:pPr>
            <w:r>
              <w:rPr>
                <w:sz w:val="20"/>
              </w:rPr>
              <w:t xml:space="preserve">2,5</w:t>
            </w:r>
          </w:p>
        </w:tc>
        <w:tc>
          <w:tcPr>
            <w:tcW w:w="624" w:type="dxa"/>
            <w:vAlign w:val="center"/>
          </w:tcPr>
          <w:p>
            <w:pPr>
              <w:pStyle w:val="0"/>
              <w:jc w:val="center"/>
            </w:pPr>
            <w:r>
              <w:rPr>
                <w:sz w:val="20"/>
              </w:rPr>
              <w:t xml:space="preserve">4,0</w:t>
            </w:r>
          </w:p>
        </w:tc>
        <w:tc>
          <w:tcPr>
            <w:tcW w:w="964" w:type="dxa"/>
            <w:vAlign w:val="center"/>
          </w:tcPr>
          <w:p>
            <w:pPr>
              <w:pStyle w:val="0"/>
              <w:jc w:val="center"/>
            </w:pPr>
            <w:r>
              <w:rPr>
                <w:sz w:val="20"/>
              </w:rPr>
              <w:t xml:space="preserve">15</w:t>
            </w:r>
          </w:p>
        </w:tc>
        <w:tc>
          <w:tcPr>
            <w:tcW w:w="1020" w:type="dxa"/>
            <w:vAlign w:val="center"/>
          </w:tcPr>
          <w:p>
            <w:pPr>
              <w:pStyle w:val="0"/>
              <w:jc w:val="center"/>
            </w:pPr>
            <w:r>
              <w:rPr>
                <w:sz w:val="20"/>
              </w:rPr>
              <w:t xml:space="preserve">21,0</w:t>
            </w:r>
          </w:p>
        </w:tc>
        <w:tc>
          <w:tcPr>
            <w:tcW w:w="680" w:type="dxa"/>
            <w:vAlign w:val="center"/>
          </w:tcPr>
          <w:p>
            <w:pPr>
              <w:pStyle w:val="0"/>
              <w:jc w:val="center"/>
            </w:pPr>
            <w:r>
              <w:rPr>
                <w:sz w:val="20"/>
              </w:rPr>
              <w:t xml:space="preserve">6,0</w:t>
            </w:r>
          </w:p>
        </w:tc>
        <w:tc>
          <w:tcPr>
            <w:tcW w:w="737" w:type="dxa"/>
            <w:vAlign w:val="center"/>
          </w:tcPr>
          <w:p>
            <w:pPr>
              <w:pStyle w:val="0"/>
              <w:jc w:val="center"/>
            </w:pPr>
            <w:r>
              <w:rPr>
                <w:sz w:val="20"/>
              </w:rPr>
              <w:t xml:space="preserve">2,5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24,0 до 28,0 включительно</w:t>
            </w:r>
          </w:p>
        </w:tc>
        <w:tc>
          <w:tcPr>
            <w:tcW w:w="794" w:type="dxa"/>
            <w:vAlign w:val="center"/>
          </w:tcPr>
          <w:p>
            <w:pPr>
              <w:pStyle w:val="0"/>
              <w:jc w:val="center"/>
            </w:pPr>
            <w:r>
              <w:rPr>
                <w:sz w:val="20"/>
              </w:rPr>
              <w:t xml:space="preserve">0,50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4,5</w:t>
            </w:r>
          </w:p>
        </w:tc>
        <w:tc>
          <w:tcPr>
            <w:tcW w:w="964" w:type="dxa"/>
            <w:vAlign w:val="center"/>
          </w:tcPr>
          <w:p>
            <w:pPr>
              <w:pStyle w:val="0"/>
              <w:jc w:val="center"/>
            </w:pPr>
            <w:r>
              <w:rPr>
                <w:sz w:val="20"/>
              </w:rPr>
              <w:t xml:space="preserve">16</w:t>
            </w:r>
          </w:p>
        </w:tc>
        <w:tc>
          <w:tcPr>
            <w:tcW w:w="1020" w:type="dxa"/>
            <w:vAlign w:val="center"/>
          </w:tcPr>
          <w:p>
            <w:pPr>
              <w:pStyle w:val="0"/>
              <w:jc w:val="center"/>
            </w:pPr>
            <w:r>
              <w:rPr>
                <w:sz w:val="20"/>
              </w:rPr>
              <w:t xml:space="preserve">24,0</w:t>
            </w:r>
          </w:p>
        </w:tc>
        <w:tc>
          <w:tcPr>
            <w:tcW w:w="680" w:type="dxa"/>
            <w:vAlign w:val="center"/>
          </w:tcPr>
          <w:p>
            <w:pPr>
              <w:pStyle w:val="0"/>
              <w:jc w:val="center"/>
            </w:pPr>
            <w:r>
              <w:rPr>
                <w:sz w:val="20"/>
              </w:rPr>
              <w:t xml:space="preserve">7,0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28,0 до 32,0 включительно</w:t>
            </w:r>
          </w:p>
        </w:tc>
        <w:tc>
          <w:tcPr>
            <w:tcW w:w="794" w:type="dxa"/>
            <w:vAlign w:val="center"/>
          </w:tcPr>
          <w:p>
            <w:pPr>
              <w:pStyle w:val="0"/>
              <w:jc w:val="center"/>
            </w:pPr>
            <w:r>
              <w:rPr>
                <w:sz w:val="20"/>
              </w:rPr>
              <w:t xml:space="preserve">0,50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4,5</w:t>
            </w:r>
          </w:p>
        </w:tc>
        <w:tc>
          <w:tcPr>
            <w:tcW w:w="964" w:type="dxa"/>
            <w:vAlign w:val="center"/>
          </w:tcPr>
          <w:p>
            <w:pPr>
              <w:pStyle w:val="0"/>
              <w:jc w:val="center"/>
            </w:pPr>
            <w:r>
              <w:rPr>
                <w:sz w:val="20"/>
              </w:rPr>
              <w:t xml:space="preserve">16</w:t>
            </w:r>
          </w:p>
        </w:tc>
        <w:tc>
          <w:tcPr>
            <w:tcW w:w="1020" w:type="dxa"/>
            <w:vAlign w:val="center"/>
          </w:tcPr>
          <w:p>
            <w:pPr>
              <w:pStyle w:val="0"/>
              <w:jc w:val="center"/>
            </w:pPr>
            <w:r>
              <w:rPr>
                <w:sz w:val="20"/>
              </w:rPr>
              <w:t xml:space="preserve">28,0</w:t>
            </w:r>
          </w:p>
        </w:tc>
        <w:tc>
          <w:tcPr>
            <w:tcW w:w="680" w:type="dxa"/>
            <w:vAlign w:val="center"/>
          </w:tcPr>
          <w:p>
            <w:pPr>
              <w:pStyle w:val="0"/>
              <w:jc w:val="center"/>
            </w:pPr>
            <w:r>
              <w:rPr>
                <w:sz w:val="20"/>
              </w:rPr>
              <w:t xml:space="preserve">7,0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32,0 до 38,0 включительно</w:t>
            </w:r>
          </w:p>
        </w:tc>
        <w:tc>
          <w:tcPr>
            <w:tcW w:w="794" w:type="dxa"/>
            <w:vAlign w:val="center"/>
          </w:tcPr>
          <w:p>
            <w:pPr>
              <w:pStyle w:val="0"/>
              <w:jc w:val="center"/>
            </w:pPr>
            <w:r>
              <w:rPr>
                <w:sz w:val="20"/>
              </w:rPr>
              <w:t xml:space="preserve">0,60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4,5</w:t>
            </w:r>
          </w:p>
        </w:tc>
        <w:tc>
          <w:tcPr>
            <w:tcW w:w="964" w:type="dxa"/>
            <w:vAlign w:val="center"/>
          </w:tcPr>
          <w:p>
            <w:pPr>
              <w:pStyle w:val="0"/>
              <w:jc w:val="center"/>
            </w:pPr>
            <w:r>
              <w:rPr>
                <w:sz w:val="20"/>
              </w:rPr>
              <w:t xml:space="preserve">18</w:t>
            </w:r>
          </w:p>
        </w:tc>
        <w:tc>
          <w:tcPr>
            <w:tcW w:w="1020" w:type="dxa"/>
            <w:vAlign w:val="center"/>
          </w:tcPr>
          <w:p>
            <w:pPr>
              <w:pStyle w:val="0"/>
              <w:jc w:val="center"/>
            </w:pPr>
            <w:r>
              <w:rPr>
                <w:sz w:val="20"/>
              </w:rPr>
              <w:t xml:space="preserve">32,0</w:t>
            </w:r>
          </w:p>
        </w:tc>
        <w:tc>
          <w:tcPr>
            <w:tcW w:w="680" w:type="dxa"/>
            <w:vAlign w:val="center"/>
          </w:tcPr>
          <w:p>
            <w:pPr>
              <w:pStyle w:val="0"/>
              <w:jc w:val="center"/>
            </w:pPr>
            <w:r>
              <w:rPr>
                <w:sz w:val="20"/>
              </w:rPr>
              <w:t xml:space="preserve">8,0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38,0 до 44,0 включительно</w:t>
            </w:r>
          </w:p>
        </w:tc>
        <w:tc>
          <w:tcPr>
            <w:tcW w:w="794" w:type="dxa"/>
            <w:vAlign w:val="center"/>
          </w:tcPr>
          <w:p>
            <w:pPr>
              <w:pStyle w:val="0"/>
              <w:jc w:val="center"/>
            </w:pPr>
            <w:r>
              <w:rPr>
                <w:sz w:val="20"/>
              </w:rPr>
              <w:t xml:space="preserve">0,60</w:t>
            </w:r>
          </w:p>
        </w:tc>
        <w:tc>
          <w:tcPr>
            <w:tcW w:w="710" w:type="dxa"/>
            <w:vAlign w:val="center"/>
          </w:tcPr>
          <w:p>
            <w:pPr>
              <w:pStyle w:val="0"/>
              <w:jc w:val="center"/>
            </w:pPr>
            <w:r>
              <w:rPr>
                <w:sz w:val="20"/>
              </w:rPr>
              <w:t xml:space="preserve">3,5</w:t>
            </w:r>
          </w:p>
        </w:tc>
        <w:tc>
          <w:tcPr>
            <w:tcW w:w="624" w:type="dxa"/>
            <w:vAlign w:val="center"/>
          </w:tcPr>
          <w:p>
            <w:pPr>
              <w:pStyle w:val="0"/>
              <w:jc w:val="center"/>
            </w:pPr>
            <w:r>
              <w:rPr>
                <w:sz w:val="20"/>
              </w:rPr>
              <w:t xml:space="preserve">5,0</w:t>
            </w:r>
          </w:p>
        </w:tc>
        <w:tc>
          <w:tcPr>
            <w:tcW w:w="964" w:type="dxa"/>
            <w:vAlign w:val="center"/>
          </w:tcPr>
          <w:p>
            <w:pPr>
              <w:pStyle w:val="0"/>
              <w:jc w:val="center"/>
            </w:pPr>
            <w:r>
              <w:rPr>
                <w:sz w:val="20"/>
              </w:rPr>
              <w:t xml:space="preserve">20</w:t>
            </w:r>
          </w:p>
        </w:tc>
        <w:tc>
          <w:tcPr>
            <w:tcW w:w="1020" w:type="dxa"/>
            <w:vAlign w:val="center"/>
          </w:tcPr>
          <w:p>
            <w:pPr>
              <w:pStyle w:val="0"/>
              <w:jc w:val="center"/>
            </w:pPr>
            <w:r>
              <w:rPr>
                <w:sz w:val="20"/>
              </w:rPr>
              <w:t xml:space="preserve">37,0</w:t>
            </w:r>
          </w:p>
        </w:tc>
        <w:tc>
          <w:tcPr>
            <w:tcW w:w="680" w:type="dxa"/>
            <w:vAlign w:val="center"/>
          </w:tcPr>
          <w:p>
            <w:pPr>
              <w:pStyle w:val="0"/>
              <w:jc w:val="center"/>
            </w:pPr>
            <w:r>
              <w:rPr>
                <w:sz w:val="20"/>
              </w:rPr>
              <w:t xml:space="preserve">9,0</w:t>
            </w:r>
          </w:p>
        </w:tc>
        <w:tc>
          <w:tcPr>
            <w:tcW w:w="737" w:type="dxa"/>
            <w:vAlign w:val="center"/>
          </w:tcPr>
          <w:p>
            <w:pPr>
              <w:pStyle w:val="0"/>
              <w:jc w:val="center"/>
            </w:pPr>
            <w:r>
              <w:rPr>
                <w:sz w:val="20"/>
              </w:rPr>
              <w:t xml:space="preserve">3,5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44,0 до 52,0 включительно</w:t>
            </w:r>
          </w:p>
        </w:tc>
        <w:tc>
          <w:tcPr>
            <w:tcW w:w="794" w:type="dxa"/>
            <w:vAlign w:val="center"/>
          </w:tcPr>
          <w:p>
            <w:pPr>
              <w:pStyle w:val="0"/>
              <w:jc w:val="center"/>
            </w:pPr>
            <w:r>
              <w:rPr>
                <w:sz w:val="20"/>
              </w:rPr>
              <w:t xml:space="preserve">0,75</w:t>
            </w:r>
          </w:p>
        </w:tc>
        <w:tc>
          <w:tcPr>
            <w:tcW w:w="710" w:type="dxa"/>
            <w:vAlign w:val="center"/>
          </w:tcPr>
          <w:p>
            <w:pPr>
              <w:pStyle w:val="0"/>
              <w:jc w:val="center"/>
            </w:pPr>
            <w:r>
              <w:rPr>
                <w:sz w:val="20"/>
              </w:rPr>
              <w:t xml:space="preserve">3,5</w:t>
            </w:r>
          </w:p>
        </w:tc>
        <w:tc>
          <w:tcPr>
            <w:tcW w:w="624" w:type="dxa"/>
            <w:vAlign w:val="center"/>
          </w:tcPr>
          <w:p>
            <w:pPr>
              <w:pStyle w:val="0"/>
              <w:jc w:val="center"/>
            </w:pPr>
            <w:r>
              <w:rPr>
                <w:sz w:val="20"/>
              </w:rPr>
              <w:t xml:space="preserve">5,0</w:t>
            </w:r>
          </w:p>
        </w:tc>
        <w:tc>
          <w:tcPr>
            <w:tcW w:w="964" w:type="dxa"/>
            <w:vAlign w:val="center"/>
          </w:tcPr>
          <w:p>
            <w:pPr>
              <w:pStyle w:val="0"/>
              <w:jc w:val="center"/>
            </w:pPr>
            <w:r>
              <w:rPr>
                <w:sz w:val="20"/>
              </w:rPr>
              <w:t xml:space="preserve">21</w:t>
            </w:r>
          </w:p>
        </w:tc>
        <w:tc>
          <w:tcPr>
            <w:tcW w:w="1020" w:type="dxa"/>
            <w:vAlign w:val="center"/>
          </w:tcPr>
          <w:p>
            <w:pPr>
              <w:pStyle w:val="0"/>
              <w:jc w:val="center"/>
            </w:pPr>
            <w:r>
              <w:rPr>
                <w:sz w:val="20"/>
              </w:rPr>
              <w:t xml:space="preserve">43,0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3,5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52,0 до 60,0 включительно</w:t>
            </w:r>
          </w:p>
        </w:tc>
        <w:tc>
          <w:tcPr>
            <w:tcW w:w="794" w:type="dxa"/>
            <w:vAlign w:val="center"/>
          </w:tcPr>
          <w:p>
            <w:pPr>
              <w:pStyle w:val="0"/>
              <w:jc w:val="center"/>
            </w:pPr>
            <w:r>
              <w:rPr>
                <w:sz w:val="20"/>
              </w:rPr>
              <w:t xml:space="preserve">0,75</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22</w:t>
            </w:r>
          </w:p>
        </w:tc>
        <w:tc>
          <w:tcPr>
            <w:tcW w:w="1020" w:type="dxa"/>
            <w:vAlign w:val="center"/>
          </w:tcPr>
          <w:p>
            <w:pPr>
              <w:pStyle w:val="0"/>
              <w:jc w:val="center"/>
            </w:pPr>
            <w:r>
              <w:rPr>
                <w:sz w:val="20"/>
              </w:rPr>
              <w:t xml:space="preserve">50,0</w:t>
            </w:r>
          </w:p>
        </w:tc>
        <w:tc>
          <w:tcPr>
            <w:tcW w:w="680" w:type="dxa"/>
            <w:vAlign w:val="center"/>
          </w:tcPr>
          <w:p>
            <w:pPr>
              <w:pStyle w:val="0"/>
              <w:jc w:val="center"/>
            </w:pPr>
            <w:r>
              <w:rPr>
                <w:sz w:val="20"/>
              </w:rPr>
              <w:t xml:space="preserve">12,0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60,0 до 70,0 включительно</w:t>
            </w:r>
          </w:p>
        </w:tc>
        <w:tc>
          <w:tcPr>
            <w:tcW w:w="794" w:type="dxa"/>
            <w:vAlign w:val="center"/>
          </w:tcPr>
          <w:p>
            <w:pPr>
              <w:pStyle w:val="0"/>
              <w:jc w:val="center"/>
            </w:pPr>
            <w:r>
              <w:rPr>
                <w:sz w:val="20"/>
              </w:rPr>
              <w:t xml:space="preserve">1,00</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23</w:t>
            </w:r>
          </w:p>
        </w:tc>
        <w:tc>
          <w:tcPr>
            <w:tcW w:w="1020" w:type="dxa"/>
            <w:vAlign w:val="center"/>
          </w:tcPr>
          <w:p>
            <w:pPr>
              <w:pStyle w:val="0"/>
              <w:jc w:val="center"/>
            </w:pPr>
            <w:r>
              <w:rPr>
                <w:sz w:val="20"/>
              </w:rPr>
              <w:t xml:space="preserve">58,0</w:t>
            </w:r>
          </w:p>
        </w:tc>
        <w:tc>
          <w:tcPr>
            <w:tcW w:w="680" w:type="dxa"/>
            <w:vAlign w:val="center"/>
          </w:tcPr>
          <w:p>
            <w:pPr>
              <w:pStyle w:val="0"/>
              <w:jc w:val="center"/>
            </w:pPr>
            <w:r>
              <w:rPr>
                <w:sz w:val="20"/>
              </w:rPr>
              <w:t xml:space="preserve">12,0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70,0 до 80,0 включительно</w:t>
            </w:r>
          </w:p>
        </w:tc>
        <w:tc>
          <w:tcPr>
            <w:tcW w:w="794" w:type="dxa"/>
            <w:vAlign w:val="center"/>
          </w:tcPr>
          <w:p>
            <w:pPr>
              <w:pStyle w:val="0"/>
              <w:jc w:val="center"/>
            </w:pPr>
            <w:r>
              <w:rPr>
                <w:sz w:val="20"/>
              </w:rPr>
              <w:t xml:space="preserve">1,00</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6,9</w:t>
            </w:r>
          </w:p>
        </w:tc>
        <w:tc>
          <w:tcPr>
            <w:tcW w:w="964" w:type="dxa"/>
            <w:vAlign w:val="center"/>
          </w:tcPr>
          <w:p>
            <w:pPr>
              <w:pStyle w:val="0"/>
              <w:jc w:val="center"/>
            </w:pPr>
            <w:r>
              <w:rPr>
                <w:sz w:val="20"/>
              </w:rPr>
              <w:t xml:space="preserve">24</w:t>
            </w:r>
          </w:p>
        </w:tc>
        <w:tc>
          <w:tcPr>
            <w:tcW w:w="1020" w:type="dxa"/>
            <w:vAlign w:val="center"/>
          </w:tcPr>
          <w:p>
            <w:pPr>
              <w:pStyle w:val="0"/>
              <w:jc w:val="center"/>
            </w:pPr>
            <w:r>
              <w:rPr>
                <w:sz w:val="20"/>
              </w:rPr>
              <w:t xml:space="preserve">67,0</w:t>
            </w:r>
          </w:p>
        </w:tc>
        <w:tc>
          <w:tcPr>
            <w:tcW w:w="680" w:type="dxa"/>
            <w:vAlign w:val="center"/>
          </w:tcPr>
          <w:p>
            <w:pPr>
              <w:pStyle w:val="0"/>
              <w:jc w:val="center"/>
            </w:pPr>
            <w:r>
              <w:rPr>
                <w:sz w:val="20"/>
              </w:rPr>
              <w:t xml:space="preserve">12,0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80,0 до 100,0 включительно</w:t>
            </w:r>
          </w:p>
        </w:tc>
        <w:tc>
          <w:tcPr>
            <w:tcW w:w="794" w:type="dxa"/>
            <w:vAlign w:val="center"/>
          </w:tcPr>
          <w:p>
            <w:pPr>
              <w:pStyle w:val="0"/>
              <w:jc w:val="center"/>
            </w:pPr>
            <w:r>
              <w:rPr>
                <w:sz w:val="20"/>
              </w:rPr>
              <w:t xml:space="preserve">1,25</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25</w:t>
            </w:r>
          </w:p>
        </w:tc>
        <w:tc>
          <w:tcPr>
            <w:tcW w:w="1020" w:type="dxa"/>
            <w:vAlign w:val="center"/>
          </w:tcPr>
          <w:p>
            <w:pPr>
              <w:pStyle w:val="0"/>
              <w:jc w:val="center"/>
            </w:pPr>
            <w:r>
              <w:rPr>
                <w:sz w:val="20"/>
              </w:rPr>
              <w:t xml:space="preserve">81,0</w:t>
            </w:r>
          </w:p>
        </w:tc>
        <w:tc>
          <w:tcPr>
            <w:tcW w:w="680" w:type="dxa"/>
            <w:vAlign w:val="center"/>
          </w:tcPr>
          <w:p>
            <w:pPr>
              <w:pStyle w:val="0"/>
              <w:jc w:val="center"/>
            </w:pPr>
            <w:r>
              <w:rPr>
                <w:sz w:val="20"/>
              </w:rPr>
              <w:t xml:space="preserve">12,0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100,0 до 120,0 включительно</w:t>
            </w:r>
          </w:p>
        </w:tc>
        <w:tc>
          <w:tcPr>
            <w:tcW w:w="794" w:type="dxa"/>
            <w:vAlign w:val="center"/>
          </w:tcPr>
          <w:p>
            <w:pPr>
              <w:pStyle w:val="0"/>
              <w:jc w:val="center"/>
            </w:pPr>
            <w:r>
              <w:rPr>
                <w:sz w:val="20"/>
              </w:rPr>
              <w:t xml:space="preserve">1,50</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7,0</w:t>
            </w:r>
          </w:p>
        </w:tc>
        <w:tc>
          <w:tcPr>
            <w:tcW w:w="964" w:type="dxa"/>
            <w:vAlign w:val="center"/>
          </w:tcPr>
          <w:p>
            <w:pPr>
              <w:pStyle w:val="0"/>
              <w:jc w:val="center"/>
            </w:pPr>
            <w:r>
              <w:rPr>
                <w:sz w:val="20"/>
              </w:rPr>
              <w:t xml:space="preserve">26</w:t>
            </w:r>
          </w:p>
        </w:tc>
        <w:tc>
          <w:tcPr>
            <w:tcW w:w="1020" w:type="dxa"/>
            <w:vAlign w:val="center"/>
          </w:tcPr>
          <w:p>
            <w:pPr>
              <w:pStyle w:val="0"/>
              <w:jc w:val="center"/>
            </w:pPr>
            <w:r>
              <w:rPr>
                <w:sz w:val="20"/>
              </w:rPr>
              <w:t xml:space="preserve">100,0</w:t>
            </w:r>
          </w:p>
        </w:tc>
        <w:tc>
          <w:tcPr>
            <w:tcW w:w="680" w:type="dxa"/>
            <w:vAlign w:val="center"/>
          </w:tcPr>
          <w:p>
            <w:pPr>
              <w:pStyle w:val="0"/>
              <w:jc w:val="center"/>
            </w:pPr>
            <w:r>
              <w:rPr>
                <w:sz w:val="20"/>
              </w:rPr>
              <w:t xml:space="preserve">12,0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120,0 до 140,0 включительно</w:t>
            </w:r>
          </w:p>
        </w:tc>
        <w:tc>
          <w:tcPr>
            <w:tcW w:w="794" w:type="dxa"/>
            <w:vAlign w:val="center"/>
          </w:tcPr>
          <w:p>
            <w:pPr>
              <w:pStyle w:val="0"/>
              <w:jc w:val="center"/>
            </w:pPr>
            <w:r>
              <w:rPr>
                <w:sz w:val="20"/>
              </w:rPr>
              <w:t xml:space="preserve">1,75</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7,0</w:t>
            </w:r>
          </w:p>
        </w:tc>
        <w:tc>
          <w:tcPr>
            <w:tcW w:w="964" w:type="dxa"/>
            <w:vAlign w:val="center"/>
          </w:tcPr>
          <w:p>
            <w:pPr>
              <w:pStyle w:val="0"/>
              <w:jc w:val="center"/>
            </w:pPr>
            <w:r>
              <w:rPr>
                <w:sz w:val="20"/>
              </w:rPr>
              <w:t xml:space="preserve">25</w:t>
            </w:r>
          </w:p>
        </w:tc>
        <w:tc>
          <w:tcPr>
            <w:tcW w:w="1020" w:type="dxa"/>
            <w:vAlign w:val="center"/>
          </w:tcPr>
          <w:p>
            <w:pPr>
              <w:pStyle w:val="0"/>
              <w:jc w:val="center"/>
            </w:pPr>
            <w:r>
              <w:rPr>
                <w:sz w:val="20"/>
              </w:rPr>
              <w:t xml:space="preserve">115,0</w:t>
            </w:r>
          </w:p>
        </w:tc>
        <w:tc>
          <w:tcPr>
            <w:tcW w:w="680" w:type="dxa"/>
            <w:vAlign w:val="center"/>
          </w:tcPr>
          <w:p>
            <w:pPr>
              <w:pStyle w:val="0"/>
              <w:jc w:val="center"/>
            </w:pPr>
            <w:r>
              <w:rPr>
                <w:sz w:val="20"/>
              </w:rPr>
              <w:t xml:space="preserve">12,0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140,0 до 160,0 включительно</w:t>
            </w:r>
          </w:p>
        </w:tc>
        <w:tc>
          <w:tcPr>
            <w:tcW w:w="794" w:type="dxa"/>
            <w:vAlign w:val="center"/>
          </w:tcPr>
          <w:p>
            <w:pPr>
              <w:pStyle w:val="0"/>
              <w:jc w:val="center"/>
            </w:pPr>
            <w:r>
              <w:rPr>
                <w:sz w:val="20"/>
              </w:rPr>
              <w:t xml:space="preserve">2,00</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8,0</w:t>
            </w:r>
          </w:p>
        </w:tc>
        <w:tc>
          <w:tcPr>
            <w:tcW w:w="964" w:type="dxa"/>
            <w:vAlign w:val="center"/>
          </w:tcPr>
          <w:p>
            <w:pPr>
              <w:pStyle w:val="0"/>
              <w:jc w:val="center"/>
            </w:pPr>
            <w:r>
              <w:rPr>
                <w:sz w:val="20"/>
              </w:rPr>
              <w:t xml:space="preserve">24</w:t>
            </w:r>
          </w:p>
        </w:tc>
        <w:tc>
          <w:tcPr>
            <w:tcW w:w="1020" w:type="dxa"/>
            <w:vAlign w:val="center"/>
          </w:tcPr>
          <w:p>
            <w:pPr>
              <w:pStyle w:val="0"/>
              <w:jc w:val="center"/>
            </w:pPr>
            <w:r>
              <w:rPr>
                <w:sz w:val="20"/>
              </w:rPr>
              <w:t xml:space="preserve">135,0</w:t>
            </w:r>
          </w:p>
        </w:tc>
        <w:tc>
          <w:tcPr>
            <w:tcW w:w="680" w:type="dxa"/>
            <w:vAlign w:val="center"/>
          </w:tcPr>
          <w:p>
            <w:pPr>
              <w:pStyle w:val="0"/>
              <w:jc w:val="center"/>
            </w:pPr>
            <w:r>
              <w:rPr>
                <w:sz w:val="20"/>
              </w:rPr>
              <w:t xml:space="preserve">13,0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160,0 до 200,0 включительно</w:t>
            </w:r>
          </w:p>
        </w:tc>
        <w:tc>
          <w:tcPr>
            <w:tcW w:w="794" w:type="dxa"/>
            <w:vAlign w:val="center"/>
          </w:tcPr>
          <w:p>
            <w:pPr>
              <w:pStyle w:val="0"/>
              <w:jc w:val="center"/>
            </w:pPr>
            <w:r>
              <w:rPr>
                <w:sz w:val="20"/>
              </w:rPr>
              <w:t xml:space="preserve">2,50</w:t>
            </w:r>
          </w:p>
        </w:tc>
        <w:tc>
          <w:tcPr>
            <w:tcW w:w="710" w:type="dxa"/>
            <w:vAlign w:val="center"/>
          </w:tcPr>
          <w:p>
            <w:pPr>
              <w:pStyle w:val="0"/>
              <w:jc w:val="center"/>
            </w:pPr>
            <w:r>
              <w:rPr>
                <w:sz w:val="20"/>
              </w:rPr>
              <w:t xml:space="preserve">6,0</w:t>
            </w:r>
          </w:p>
        </w:tc>
        <w:tc>
          <w:tcPr>
            <w:tcW w:w="624" w:type="dxa"/>
            <w:vAlign w:val="center"/>
          </w:tcPr>
          <w:p>
            <w:pPr>
              <w:pStyle w:val="0"/>
              <w:jc w:val="center"/>
            </w:pPr>
            <w:r>
              <w:rPr>
                <w:sz w:val="20"/>
              </w:rPr>
              <w:t xml:space="preserve">9,0</w:t>
            </w:r>
          </w:p>
        </w:tc>
        <w:tc>
          <w:tcPr>
            <w:tcW w:w="964" w:type="dxa"/>
            <w:vAlign w:val="center"/>
          </w:tcPr>
          <w:p>
            <w:pPr>
              <w:pStyle w:val="0"/>
              <w:jc w:val="center"/>
            </w:pPr>
            <w:r>
              <w:rPr>
                <w:sz w:val="20"/>
              </w:rPr>
              <w:t xml:space="preserve">24</w:t>
            </w:r>
          </w:p>
        </w:tc>
        <w:tc>
          <w:tcPr>
            <w:tcW w:w="1020" w:type="dxa"/>
            <w:vAlign w:val="center"/>
          </w:tcPr>
          <w:p>
            <w:pPr>
              <w:pStyle w:val="0"/>
              <w:jc w:val="center"/>
            </w:pPr>
            <w:r>
              <w:rPr>
                <w:sz w:val="20"/>
              </w:rPr>
              <w:t xml:space="preserve">160,0</w:t>
            </w:r>
          </w:p>
        </w:tc>
        <w:tc>
          <w:tcPr>
            <w:tcW w:w="680" w:type="dxa"/>
            <w:vAlign w:val="center"/>
          </w:tcPr>
          <w:p>
            <w:pPr>
              <w:pStyle w:val="0"/>
              <w:jc w:val="center"/>
            </w:pPr>
            <w:r>
              <w:rPr>
                <w:sz w:val="20"/>
              </w:rPr>
              <w:t xml:space="preserve">13,0</w:t>
            </w:r>
          </w:p>
        </w:tc>
        <w:tc>
          <w:tcPr>
            <w:tcW w:w="737" w:type="dxa"/>
            <w:vAlign w:val="center"/>
          </w:tcPr>
          <w:p>
            <w:pPr>
              <w:pStyle w:val="0"/>
              <w:jc w:val="center"/>
            </w:pPr>
            <w:r>
              <w:rPr>
                <w:sz w:val="20"/>
              </w:rPr>
              <w:t xml:space="preserve">6,0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200,0 до 240,0 включительно</w:t>
            </w:r>
          </w:p>
        </w:tc>
        <w:tc>
          <w:tcPr>
            <w:tcW w:w="794" w:type="dxa"/>
            <w:vAlign w:val="center"/>
          </w:tcPr>
          <w:p>
            <w:pPr>
              <w:pStyle w:val="0"/>
              <w:jc w:val="center"/>
            </w:pPr>
            <w:r>
              <w:rPr>
                <w:sz w:val="20"/>
              </w:rPr>
              <w:t xml:space="preserve">3,00</w:t>
            </w:r>
          </w:p>
        </w:tc>
        <w:tc>
          <w:tcPr>
            <w:tcW w:w="710" w:type="dxa"/>
            <w:vAlign w:val="center"/>
          </w:tcPr>
          <w:p>
            <w:pPr>
              <w:pStyle w:val="0"/>
              <w:jc w:val="center"/>
            </w:pPr>
            <w:r>
              <w:rPr>
                <w:sz w:val="20"/>
              </w:rPr>
              <w:t xml:space="preserve">6,0</w:t>
            </w:r>
          </w:p>
        </w:tc>
        <w:tc>
          <w:tcPr>
            <w:tcW w:w="624" w:type="dxa"/>
            <w:vAlign w:val="center"/>
          </w:tcPr>
          <w:p>
            <w:pPr>
              <w:pStyle w:val="0"/>
              <w:jc w:val="center"/>
            </w:pPr>
            <w:r>
              <w:rPr>
                <w:sz w:val="20"/>
              </w:rPr>
              <w:t xml:space="preserve">9,0</w:t>
            </w:r>
          </w:p>
        </w:tc>
        <w:tc>
          <w:tcPr>
            <w:tcW w:w="964" w:type="dxa"/>
            <w:vAlign w:val="center"/>
          </w:tcPr>
          <w:p>
            <w:pPr>
              <w:pStyle w:val="0"/>
              <w:jc w:val="center"/>
            </w:pPr>
            <w:r>
              <w:rPr>
                <w:sz w:val="20"/>
              </w:rPr>
              <w:t xml:space="preserve">23</w:t>
            </w:r>
          </w:p>
        </w:tc>
        <w:tc>
          <w:tcPr>
            <w:tcW w:w="1020" w:type="dxa"/>
            <w:vAlign w:val="center"/>
          </w:tcPr>
          <w:p>
            <w:pPr>
              <w:pStyle w:val="0"/>
              <w:jc w:val="center"/>
            </w:pPr>
            <w:r>
              <w:rPr>
                <w:sz w:val="20"/>
              </w:rPr>
              <w:t xml:space="preserve">200,0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6,0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240,0 до 280,0 включительно</w:t>
            </w:r>
          </w:p>
        </w:tc>
        <w:tc>
          <w:tcPr>
            <w:tcW w:w="794" w:type="dxa"/>
            <w:vAlign w:val="center"/>
          </w:tcPr>
          <w:p>
            <w:pPr>
              <w:pStyle w:val="0"/>
              <w:jc w:val="center"/>
            </w:pPr>
            <w:r>
              <w:rPr>
                <w:sz w:val="20"/>
              </w:rPr>
              <w:t xml:space="preserve">3,50</w:t>
            </w:r>
          </w:p>
        </w:tc>
        <w:tc>
          <w:tcPr>
            <w:tcW w:w="710" w:type="dxa"/>
            <w:vAlign w:val="center"/>
          </w:tcPr>
          <w:p>
            <w:pPr>
              <w:pStyle w:val="0"/>
              <w:jc w:val="center"/>
            </w:pPr>
            <w:r>
              <w:rPr>
                <w:sz w:val="20"/>
              </w:rPr>
              <w:t xml:space="preserve">7,0</w:t>
            </w:r>
          </w:p>
        </w:tc>
        <w:tc>
          <w:tcPr>
            <w:tcW w:w="624" w:type="dxa"/>
            <w:vAlign w:val="center"/>
          </w:tcPr>
          <w:p>
            <w:pPr>
              <w:pStyle w:val="0"/>
              <w:jc w:val="center"/>
            </w:pPr>
            <w:r>
              <w:rPr>
                <w:sz w:val="20"/>
              </w:rPr>
              <w:t xml:space="preserve">10,0</w:t>
            </w:r>
          </w:p>
        </w:tc>
        <w:tc>
          <w:tcPr>
            <w:tcW w:w="964" w:type="dxa"/>
            <w:vAlign w:val="center"/>
          </w:tcPr>
          <w:p>
            <w:pPr>
              <w:pStyle w:val="0"/>
              <w:jc w:val="center"/>
            </w:pPr>
            <w:r>
              <w:rPr>
                <w:sz w:val="20"/>
              </w:rPr>
              <w:t xml:space="preserve">22</w:t>
            </w:r>
          </w:p>
        </w:tc>
        <w:tc>
          <w:tcPr>
            <w:tcW w:w="1020" w:type="dxa"/>
            <w:vAlign w:val="center"/>
          </w:tcPr>
          <w:p>
            <w:pPr>
              <w:pStyle w:val="0"/>
              <w:jc w:val="center"/>
            </w:pPr>
            <w:r>
              <w:rPr>
                <w:sz w:val="20"/>
              </w:rPr>
              <w:t xml:space="preserve">235,0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7,0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280,0</w:t>
            </w:r>
          </w:p>
        </w:tc>
        <w:tc>
          <w:tcPr>
            <w:tcW w:w="794" w:type="dxa"/>
            <w:vAlign w:val="center"/>
          </w:tcPr>
          <w:p>
            <w:pPr>
              <w:pStyle w:val="0"/>
              <w:jc w:val="center"/>
            </w:pPr>
            <w:r>
              <w:rPr>
                <w:sz w:val="20"/>
              </w:rPr>
              <w:t xml:space="preserve">4,00</w:t>
            </w:r>
          </w:p>
        </w:tc>
        <w:tc>
          <w:tcPr>
            <w:tcW w:w="710" w:type="dxa"/>
            <w:vAlign w:val="center"/>
          </w:tcPr>
          <w:p>
            <w:pPr>
              <w:pStyle w:val="0"/>
              <w:jc w:val="center"/>
            </w:pPr>
            <w:r>
              <w:rPr>
                <w:sz w:val="20"/>
              </w:rPr>
              <w:t xml:space="preserve">8,0</w:t>
            </w:r>
          </w:p>
        </w:tc>
        <w:tc>
          <w:tcPr>
            <w:tcW w:w="624" w:type="dxa"/>
            <w:vAlign w:val="center"/>
          </w:tcPr>
          <w:p>
            <w:pPr>
              <w:pStyle w:val="0"/>
              <w:jc w:val="center"/>
            </w:pPr>
            <w:r>
              <w:rPr>
                <w:sz w:val="20"/>
              </w:rPr>
              <w:t xml:space="preserve">12,0</w:t>
            </w:r>
          </w:p>
        </w:tc>
        <w:tc>
          <w:tcPr>
            <w:tcW w:w="964" w:type="dxa"/>
            <w:vAlign w:val="center"/>
          </w:tcPr>
          <w:p>
            <w:pPr>
              <w:pStyle w:val="0"/>
              <w:jc w:val="center"/>
            </w:pPr>
            <w:r>
              <w:rPr>
                <w:sz w:val="20"/>
              </w:rPr>
              <w:t xml:space="preserve">22</w:t>
            </w:r>
          </w:p>
        </w:tc>
        <w:tc>
          <w:tcPr>
            <w:tcW w:w="1020" w:type="dxa"/>
            <w:vAlign w:val="center"/>
          </w:tcPr>
          <w:p>
            <w:pPr>
              <w:pStyle w:val="0"/>
              <w:jc w:val="center"/>
            </w:pPr>
            <w:r>
              <w:rPr>
                <w:sz w:val="20"/>
              </w:rPr>
              <w:t xml:space="preserve">250,0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8,0</w:t>
            </w:r>
          </w:p>
        </w:tc>
        <w:tc>
          <w:tcPr>
            <w:tcW w:w="859" w:type="dxa"/>
            <w:vAlign w:val="center"/>
          </w:tcPr>
          <w:p>
            <w:pPr>
              <w:pStyle w:val="0"/>
              <w:jc w:val="center"/>
            </w:pPr>
            <w:r>
              <w:rPr>
                <w:sz w:val="20"/>
              </w:rPr>
              <w:t xml:space="preserve">3</w:t>
            </w:r>
          </w:p>
        </w:tc>
      </w:tr>
      <w:tr>
        <w:tc>
          <w:tcPr>
            <w:gridSpan w:val="9"/>
            <w:tcW w:w="9053" w:type="dxa"/>
          </w:tcPr>
          <w:p>
            <w:pPr>
              <w:pStyle w:val="0"/>
              <w:outlineLvl w:val="4"/>
              <w:jc w:val="center"/>
            </w:pPr>
            <w:r>
              <w:rPr>
                <w:sz w:val="20"/>
              </w:rPr>
              <w:t xml:space="preserve">Сварные соединения III категории</w:t>
            </w:r>
          </w:p>
        </w:tc>
      </w:tr>
      <w:tr>
        <w:tc>
          <w:tcPr>
            <w:tcW w:w="2665" w:type="dxa"/>
            <w:vAlign w:val="center"/>
          </w:tcPr>
          <w:p>
            <w:pPr>
              <w:pStyle w:val="0"/>
              <w:jc w:val="center"/>
            </w:pPr>
            <w:r>
              <w:rPr>
                <w:sz w:val="20"/>
              </w:rPr>
              <w:t xml:space="preserve">Более 1,0 до 2,0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0,4</w:t>
            </w:r>
          </w:p>
        </w:tc>
        <w:tc>
          <w:tcPr>
            <w:tcW w:w="624" w:type="dxa"/>
            <w:vAlign w:val="center"/>
          </w:tcPr>
          <w:p>
            <w:pPr>
              <w:pStyle w:val="0"/>
              <w:jc w:val="center"/>
            </w:pPr>
            <w:r>
              <w:rPr>
                <w:sz w:val="20"/>
              </w:rPr>
              <w:t xml:space="preserve">0,6</w:t>
            </w:r>
          </w:p>
        </w:tc>
        <w:tc>
          <w:tcPr>
            <w:tcW w:w="964" w:type="dxa"/>
            <w:vAlign w:val="center"/>
          </w:tcPr>
          <w:p>
            <w:pPr>
              <w:pStyle w:val="0"/>
              <w:jc w:val="center"/>
            </w:pPr>
            <w:r>
              <w:rPr>
                <w:sz w:val="20"/>
              </w:rPr>
              <w:t xml:space="preserve">12</w:t>
            </w:r>
          </w:p>
        </w:tc>
        <w:tc>
          <w:tcPr>
            <w:tcW w:w="1020" w:type="dxa"/>
            <w:vAlign w:val="center"/>
          </w:tcPr>
          <w:p>
            <w:pPr>
              <w:pStyle w:val="0"/>
              <w:jc w:val="center"/>
            </w:pPr>
            <w:r>
              <w:rPr>
                <w:sz w:val="20"/>
              </w:rPr>
              <w:t xml:space="preserve">0,8</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0,5</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2,0 до 3,0 включительно</w:t>
            </w:r>
          </w:p>
        </w:tc>
        <w:tc>
          <w:tcPr>
            <w:tcW w:w="794" w:type="dxa"/>
            <w:vAlign w:val="center"/>
          </w:tcPr>
          <w:p>
            <w:pPr>
              <w:pStyle w:val="0"/>
              <w:jc w:val="center"/>
            </w:pPr>
            <w:r>
              <w:rPr>
                <w:sz w:val="20"/>
              </w:rPr>
              <w:t xml:space="preserve">0,10</w:t>
            </w:r>
          </w:p>
        </w:tc>
        <w:tc>
          <w:tcPr>
            <w:tcW w:w="710" w:type="dxa"/>
            <w:vAlign w:val="center"/>
          </w:tcPr>
          <w:p>
            <w:pPr>
              <w:pStyle w:val="0"/>
              <w:jc w:val="center"/>
            </w:pPr>
            <w:r>
              <w:rPr>
                <w:sz w:val="20"/>
              </w:rPr>
              <w:t xml:space="preserve">0,6</w:t>
            </w:r>
          </w:p>
        </w:tc>
        <w:tc>
          <w:tcPr>
            <w:tcW w:w="624" w:type="dxa"/>
            <w:vAlign w:val="center"/>
          </w:tcPr>
          <w:p>
            <w:pPr>
              <w:pStyle w:val="0"/>
              <w:jc w:val="center"/>
            </w:pPr>
            <w:r>
              <w:rPr>
                <w:sz w:val="20"/>
              </w:rPr>
              <w:t xml:space="preserve">1,0</w:t>
            </w:r>
          </w:p>
        </w:tc>
        <w:tc>
          <w:tcPr>
            <w:tcW w:w="964" w:type="dxa"/>
            <w:vAlign w:val="center"/>
          </w:tcPr>
          <w:p>
            <w:pPr>
              <w:pStyle w:val="0"/>
              <w:jc w:val="center"/>
            </w:pPr>
            <w:r>
              <w:rPr>
                <w:sz w:val="20"/>
              </w:rPr>
              <w:t xml:space="preserve">12</w:t>
            </w:r>
          </w:p>
        </w:tc>
        <w:tc>
          <w:tcPr>
            <w:tcW w:w="1020" w:type="dxa"/>
            <w:vAlign w:val="center"/>
          </w:tcPr>
          <w:p>
            <w:pPr>
              <w:pStyle w:val="0"/>
              <w:jc w:val="center"/>
            </w:pPr>
            <w:r>
              <w:rPr>
                <w:sz w:val="20"/>
              </w:rPr>
              <w:t xml:space="preserve">2,0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0,6</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3,0 до 4,0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0,8</w:t>
            </w:r>
          </w:p>
        </w:tc>
        <w:tc>
          <w:tcPr>
            <w:tcW w:w="624" w:type="dxa"/>
            <w:vAlign w:val="center"/>
          </w:tcPr>
          <w:p>
            <w:pPr>
              <w:pStyle w:val="0"/>
              <w:jc w:val="center"/>
            </w:pPr>
            <w:r>
              <w:rPr>
                <w:sz w:val="20"/>
              </w:rPr>
              <w:t xml:space="preserve">1,2</w:t>
            </w:r>
          </w:p>
        </w:tc>
        <w:tc>
          <w:tcPr>
            <w:tcW w:w="964" w:type="dxa"/>
            <w:vAlign w:val="center"/>
          </w:tcPr>
          <w:p>
            <w:pPr>
              <w:pStyle w:val="0"/>
              <w:jc w:val="center"/>
            </w:pPr>
            <w:r>
              <w:rPr>
                <w:sz w:val="20"/>
              </w:rPr>
              <w:t xml:space="preserve">12</w:t>
            </w:r>
          </w:p>
        </w:tc>
        <w:tc>
          <w:tcPr>
            <w:tcW w:w="1020" w:type="dxa"/>
            <w:vAlign w:val="center"/>
          </w:tcPr>
          <w:p>
            <w:pPr>
              <w:pStyle w:val="0"/>
              <w:jc w:val="center"/>
            </w:pPr>
            <w:r>
              <w:rPr>
                <w:sz w:val="20"/>
              </w:rPr>
              <w:t xml:space="preserve">3,5</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0,8</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4,0 до 5,0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1,0</w:t>
            </w:r>
          </w:p>
        </w:tc>
        <w:tc>
          <w:tcPr>
            <w:tcW w:w="624" w:type="dxa"/>
            <w:vAlign w:val="center"/>
          </w:tcPr>
          <w:p>
            <w:pPr>
              <w:pStyle w:val="0"/>
              <w:jc w:val="center"/>
            </w:pPr>
            <w:r>
              <w:rPr>
                <w:sz w:val="20"/>
              </w:rPr>
              <w:t xml:space="preserve">1,5</w:t>
            </w:r>
          </w:p>
        </w:tc>
        <w:tc>
          <w:tcPr>
            <w:tcW w:w="964" w:type="dxa"/>
            <w:vAlign w:val="center"/>
          </w:tcPr>
          <w:p>
            <w:pPr>
              <w:pStyle w:val="0"/>
              <w:jc w:val="center"/>
            </w:pPr>
            <w:r>
              <w:rPr>
                <w:sz w:val="20"/>
              </w:rPr>
              <w:t xml:space="preserve">13</w:t>
            </w:r>
          </w:p>
        </w:tc>
        <w:tc>
          <w:tcPr>
            <w:tcW w:w="1020" w:type="dxa"/>
            <w:vAlign w:val="center"/>
          </w:tcPr>
          <w:p>
            <w:pPr>
              <w:pStyle w:val="0"/>
              <w:jc w:val="center"/>
            </w:pPr>
            <w:r>
              <w:rPr>
                <w:sz w:val="20"/>
              </w:rPr>
              <w:t xml:space="preserve">5,0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1,0</w:t>
            </w:r>
          </w:p>
        </w:tc>
        <w:tc>
          <w:tcPr>
            <w:tcW w:w="859" w:type="dxa"/>
            <w:vAlign w:val="center"/>
          </w:tcPr>
          <w:p>
            <w:pPr>
              <w:pStyle w:val="0"/>
              <w:jc w:val="center"/>
            </w:pPr>
            <w:r>
              <w:rPr>
                <w:sz w:val="20"/>
              </w:rPr>
              <w:t xml:space="preserve">2</w:t>
            </w:r>
          </w:p>
        </w:tc>
      </w:tr>
      <w:tr>
        <w:tc>
          <w:tcPr>
            <w:tcW w:w="2665" w:type="dxa"/>
            <w:vAlign w:val="center"/>
          </w:tcPr>
          <w:p>
            <w:pPr>
              <w:pStyle w:val="0"/>
              <w:jc w:val="center"/>
            </w:pPr>
            <w:r>
              <w:rPr>
                <w:sz w:val="20"/>
              </w:rPr>
              <w:t xml:space="preserve">Более 5,0 до 6,5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1,2</w:t>
            </w:r>
          </w:p>
        </w:tc>
        <w:tc>
          <w:tcPr>
            <w:tcW w:w="624" w:type="dxa"/>
            <w:vAlign w:val="center"/>
          </w:tcPr>
          <w:p>
            <w:pPr>
              <w:pStyle w:val="0"/>
              <w:jc w:val="center"/>
            </w:pPr>
            <w:r>
              <w:rPr>
                <w:sz w:val="20"/>
              </w:rPr>
              <w:t xml:space="preserve">2,0</w:t>
            </w:r>
          </w:p>
        </w:tc>
        <w:tc>
          <w:tcPr>
            <w:tcW w:w="964" w:type="dxa"/>
            <w:vAlign w:val="center"/>
          </w:tcPr>
          <w:p>
            <w:pPr>
              <w:pStyle w:val="0"/>
              <w:jc w:val="center"/>
            </w:pPr>
            <w:r>
              <w:rPr>
                <w:sz w:val="20"/>
              </w:rPr>
              <w:t xml:space="preserve">13</w:t>
            </w:r>
          </w:p>
        </w:tc>
        <w:tc>
          <w:tcPr>
            <w:tcW w:w="1020" w:type="dxa"/>
            <w:vAlign w:val="center"/>
          </w:tcPr>
          <w:p>
            <w:pPr>
              <w:pStyle w:val="0"/>
              <w:jc w:val="center"/>
            </w:pPr>
            <w:r>
              <w:rPr>
                <w:sz w:val="20"/>
              </w:rPr>
              <w:t xml:space="preserve">6,0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1,2</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6,5 до 8,0 включительно</w:t>
            </w:r>
          </w:p>
        </w:tc>
        <w:tc>
          <w:tcPr>
            <w:tcW w:w="794" w:type="dxa"/>
            <w:vAlign w:val="center"/>
          </w:tcPr>
          <w:p>
            <w:pPr>
              <w:pStyle w:val="0"/>
              <w:jc w:val="center"/>
            </w:pPr>
            <w:r>
              <w:rPr>
                <w:sz w:val="20"/>
              </w:rPr>
              <w:t xml:space="preserve">0,20</w:t>
            </w:r>
          </w:p>
        </w:tc>
        <w:tc>
          <w:tcPr>
            <w:tcW w:w="710" w:type="dxa"/>
            <w:vAlign w:val="center"/>
          </w:tcPr>
          <w:p>
            <w:pPr>
              <w:pStyle w:val="0"/>
              <w:jc w:val="center"/>
            </w:pPr>
            <w:r>
              <w:rPr>
                <w:sz w:val="20"/>
              </w:rPr>
              <w:t xml:space="preserve">1,5</w:t>
            </w:r>
          </w:p>
        </w:tc>
        <w:tc>
          <w:tcPr>
            <w:tcW w:w="624" w:type="dxa"/>
            <w:vAlign w:val="center"/>
          </w:tcPr>
          <w:p>
            <w:pPr>
              <w:pStyle w:val="0"/>
              <w:jc w:val="center"/>
            </w:pPr>
            <w:r>
              <w:rPr>
                <w:sz w:val="20"/>
              </w:rPr>
              <w:t xml:space="preserve">2,5</w:t>
            </w:r>
          </w:p>
        </w:tc>
        <w:tc>
          <w:tcPr>
            <w:tcW w:w="964" w:type="dxa"/>
            <w:vAlign w:val="center"/>
          </w:tcPr>
          <w:p>
            <w:pPr>
              <w:pStyle w:val="0"/>
              <w:jc w:val="center"/>
            </w:pPr>
            <w:r>
              <w:rPr>
                <w:sz w:val="20"/>
              </w:rPr>
              <w:t xml:space="preserve">13</w:t>
            </w:r>
          </w:p>
        </w:tc>
        <w:tc>
          <w:tcPr>
            <w:tcW w:w="1020" w:type="dxa"/>
            <w:vAlign w:val="center"/>
          </w:tcPr>
          <w:p>
            <w:pPr>
              <w:pStyle w:val="0"/>
              <w:jc w:val="center"/>
            </w:pPr>
            <w:r>
              <w:rPr>
                <w:sz w:val="20"/>
              </w:rPr>
              <w:t xml:space="preserve">8,0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1,5</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8,0 до 10,0 включительно</w:t>
            </w:r>
          </w:p>
        </w:tc>
        <w:tc>
          <w:tcPr>
            <w:tcW w:w="794" w:type="dxa"/>
            <w:vAlign w:val="center"/>
          </w:tcPr>
          <w:p>
            <w:pPr>
              <w:pStyle w:val="0"/>
              <w:jc w:val="center"/>
            </w:pPr>
            <w:r>
              <w:rPr>
                <w:sz w:val="20"/>
              </w:rPr>
              <w:t xml:space="preserve">0,30</w:t>
            </w:r>
          </w:p>
        </w:tc>
        <w:tc>
          <w:tcPr>
            <w:tcW w:w="710" w:type="dxa"/>
            <w:vAlign w:val="center"/>
          </w:tcPr>
          <w:p>
            <w:pPr>
              <w:pStyle w:val="0"/>
              <w:jc w:val="center"/>
            </w:pPr>
            <w:r>
              <w:rPr>
                <w:sz w:val="20"/>
              </w:rPr>
              <w:t xml:space="preserve">1,5</w:t>
            </w:r>
          </w:p>
        </w:tc>
        <w:tc>
          <w:tcPr>
            <w:tcW w:w="624" w:type="dxa"/>
            <w:vAlign w:val="center"/>
          </w:tcPr>
          <w:p>
            <w:pPr>
              <w:pStyle w:val="0"/>
              <w:jc w:val="center"/>
            </w:pPr>
            <w:r>
              <w:rPr>
                <w:sz w:val="20"/>
              </w:rPr>
              <w:t xml:space="preserve">2,5</w:t>
            </w:r>
          </w:p>
        </w:tc>
        <w:tc>
          <w:tcPr>
            <w:tcW w:w="964" w:type="dxa"/>
            <w:vAlign w:val="center"/>
          </w:tcPr>
          <w:p>
            <w:pPr>
              <w:pStyle w:val="0"/>
              <w:jc w:val="center"/>
            </w:pPr>
            <w:r>
              <w:rPr>
                <w:sz w:val="20"/>
              </w:rPr>
              <w:t xml:space="preserve">14</w:t>
            </w:r>
          </w:p>
        </w:tc>
        <w:tc>
          <w:tcPr>
            <w:tcW w:w="1020" w:type="dxa"/>
            <w:vAlign w:val="center"/>
          </w:tcPr>
          <w:p>
            <w:pPr>
              <w:pStyle w:val="0"/>
              <w:jc w:val="center"/>
            </w:pPr>
            <w:r>
              <w:rPr>
                <w:sz w:val="20"/>
              </w:rPr>
              <w:t xml:space="preserve">10,0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1,5</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10,0 до 12,0 включительно</w:t>
            </w:r>
          </w:p>
        </w:tc>
        <w:tc>
          <w:tcPr>
            <w:tcW w:w="794" w:type="dxa"/>
            <w:vAlign w:val="center"/>
          </w:tcPr>
          <w:p>
            <w:pPr>
              <w:pStyle w:val="0"/>
              <w:jc w:val="center"/>
            </w:pPr>
            <w:r>
              <w:rPr>
                <w:sz w:val="20"/>
              </w:rPr>
              <w:t xml:space="preserve">0,30</w:t>
            </w:r>
          </w:p>
        </w:tc>
        <w:tc>
          <w:tcPr>
            <w:tcW w:w="710" w:type="dxa"/>
            <w:vAlign w:val="center"/>
          </w:tcPr>
          <w:p>
            <w:pPr>
              <w:pStyle w:val="0"/>
              <w:jc w:val="center"/>
            </w:pPr>
            <w:r>
              <w:rPr>
                <w:sz w:val="20"/>
              </w:rPr>
              <w:t xml:space="preserve">2,0</w:t>
            </w:r>
          </w:p>
        </w:tc>
        <w:tc>
          <w:tcPr>
            <w:tcW w:w="624" w:type="dxa"/>
            <w:vAlign w:val="center"/>
          </w:tcPr>
          <w:p>
            <w:pPr>
              <w:pStyle w:val="0"/>
              <w:jc w:val="center"/>
            </w:pPr>
            <w:r>
              <w:rPr>
                <w:sz w:val="20"/>
              </w:rPr>
              <w:t xml:space="preserve">3,0</w:t>
            </w:r>
          </w:p>
        </w:tc>
        <w:tc>
          <w:tcPr>
            <w:tcW w:w="964" w:type="dxa"/>
            <w:vAlign w:val="center"/>
          </w:tcPr>
          <w:p>
            <w:pPr>
              <w:pStyle w:val="0"/>
              <w:jc w:val="center"/>
            </w:pPr>
            <w:r>
              <w:rPr>
                <w:sz w:val="20"/>
              </w:rPr>
              <w:t xml:space="preserve">14</w:t>
            </w:r>
          </w:p>
        </w:tc>
        <w:tc>
          <w:tcPr>
            <w:tcW w:w="1020" w:type="dxa"/>
            <w:vAlign w:val="center"/>
          </w:tcPr>
          <w:p>
            <w:pPr>
              <w:pStyle w:val="0"/>
              <w:jc w:val="center"/>
            </w:pPr>
            <w:r>
              <w:rPr>
                <w:sz w:val="20"/>
              </w:rPr>
              <w:t xml:space="preserve">12,0</w:t>
            </w:r>
          </w:p>
        </w:tc>
        <w:tc>
          <w:tcPr>
            <w:tcW w:w="680" w:type="dxa"/>
            <w:vAlign w:val="center"/>
          </w:tcPr>
          <w:p>
            <w:pPr>
              <w:pStyle w:val="0"/>
              <w:jc w:val="center"/>
            </w:pPr>
            <w:r>
              <w:rPr>
                <w:sz w:val="20"/>
              </w:rPr>
              <w:t xml:space="preserve">6,0</w:t>
            </w:r>
          </w:p>
        </w:tc>
        <w:tc>
          <w:tcPr>
            <w:tcW w:w="737" w:type="dxa"/>
            <w:vAlign w:val="center"/>
          </w:tcPr>
          <w:p>
            <w:pPr>
              <w:pStyle w:val="0"/>
              <w:jc w:val="center"/>
            </w:pPr>
            <w:r>
              <w:rPr>
                <w:sz w:val="20"/>
              </w:rPr>
              <w:t xml:space="preserve">2,0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12,0 до 14,0 включительно</w:t>
            </w:r>
          </w:p>
        </w:tc>
        <w:tc>
          <w:tcPr>
            <w:tcW w:w="794" w:type="dxa"/>
            <w:vAlign w:val="center"/>
          </w:tcPr>
          <w:p>
            <w:pPr>
              <w:pStyle w:val="0"/>
              <w:jc w:val="center"/>
            </w:pPr>
            <w:r>
              <w:rPr>
                <w:sz w:val="20"/>
              </w:rPr>
              <w:t xml:space="preserve">0,40</w:t>
            </w:r>
          </w:p>
        </w:tc>
        <w:tc>
          <w:tcPr>
            <w:tcW w:w="710" w:type="dxa"/>
            <w:vAlign w:val="center"/>
          </w:tcPr>
          <w:p>
            <w:pPr>
              <w:pStyle w:val="0"/>
              <w:jc w:val="center"/>
            </w:pPr>
            <w:r>
              <w:rPr>
                <w:sz w:val="20"/>
              </w:rPr>
              <w:t xml:space="preserve">2,0</w:t>
            </w:r>
          </w:p>
        </w:tc>
        <w:tc>
          <w:tcPr>
            <w:tcW w:w="624" w:type="dxa"/>
            <w:vAlign w:val="center"/>
          </w:tcPr>
          <w:p>
            <w:pPr>
              <w:pStyle w:val="0"/>
              <w:jc w:val="center"/>
            </w:pPr>
            <w:r>
              <w:rPr>
                <w:sz w:val="20"/>
              </w:rPr>
              <w:t xml:space="preserve">3,0</w:t>
            </w:r>
          </w:p>
        </w:tc>
        <w:tc>
          <w:tcPr>
            <w:tcW w:w="964" w:type="dxa"/>
            <w:vAlign w:val="center"/>
          </w:tcPr>
          <w:p>
            <w:pPr>
              <w:pStyle w:val="0"/>
              <w:jc w:val="center"/>
            </w:pPr>
            <w:r>
              <w:rPr>
                <w:sz w:val="20"/>
              </w:rPr>
              <w:t xml:space="preserve">15</w:t>
            </w:r>
          </w:p>
        </w:tc>
        <w:tc>
          <w:tcPr>
            <w:tcW w:w="1020" w:type="dxa"/>
            <w:vAlign w:val="center"/>
          </w:tcPr>
          <w:p>
            <w:pPr>
              <w:pStyle w:val="0"/>
              <w:jc w:val="center"/>
            </w:pPr>
            <w:r>
              <w:rPr>
                <w:sz w:val="20"/>
              </w:rPr>
              <w:t xml:space="preserve">14,0</w:t>
            </w:r>
          </w:p>
        </w:tc>
        <w:tc>
          <w:tcPr>
            <w:tcW w:w="680" w:type="dxa"/>
            <w:vAlign w:val="center"/>
          </w:tcPr>
          <w:p>
            <w:pPr>
              <w:pStyle w:val="0"/>
              <w:jc w:val="center"/>
            </w:pPr>
            <w:r>
              <w:rPr>
                <w:sz w:val="20"/>
              </w:rPr>
              <w:t xml:space="preserve">6,0</w:t>
            </w:r>
          </w:p>
        </w:tc>
        <w:tc>
          <w:tcPr>
            <w:tcW w:w="737" w:type="dxa"/>
            <w:vAlign w:val="center"/>
          </w:tcPr>
          <w:p>
            <w:pPr>
              <w:pStyle w:val="0"/>
              <w:jc w:val="center"/>
            </w:pPr>
            <w:r>
              <w:rPr>
                <w:sz w:val="20"/>
              </w:rPr>
              <w:t xml:space="preserve">2,0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14,0 до 18,0 включительно</w:t>
            </w:r>
          </w:p>
        </w:tc>
        <w:tc>
          <w:tcPr>
            <w:tcW w:w="794" w:type="dxa"/>
            <w:vAlign w:val="center"/>
          </w:tcPr>
          <w:p>
            <w:pPr>
              <w:pStyle w:val="0"/>
              <w:jc w:val="center"/>
            </w:pPr>
            <w:r>
              <w:rPr>
                <w:sz w:val="20"/>
              </w:rPr>
              <w:t xml:space="preserve">0,40</w:t>
            </w:r>
          </w:p>
        </w:tc>
        <w:tc>
          <w:tcPr>
            <w:tcW w:w="710" w:type="dxa"/>
            <w:vAlign w:val="center"/>
          </w:tcPr>
          <w:p>
            <w:pPr>
              <w:pStyle w:val="0"/>
              <w:jc w:val="center"/>
            </w:pPr>
            <w:r>
              <w:rPr>
                <w:sz w:val="20"/>
              </w:rPr>
              <w:t xml:space="preserve">2,5</w:t>
            </w:r>
          </w:p>
        </w:tc>
        <w:tc>
          <w:tcPr>
            <w:tcW w:w="624" w:type="dxa"/>
            <w:vAlign w:val="center"/>
          </w:tcPr>
          <w:p>
            <w:pPr>
              <w:pStyle w:val="0"/>
              <w:jc w:val="center"/>
            </w:pPr>
            <w:r>
              <w:rPr>
                <w:sz w:val="20"/>
              </w:rPr>
              <w:t xml:space="preserve">3,5</w:t>
            </w:r>
          </w:p>
        </w:tc>
        <w:tc>
          <w:tcPr>
            <w:tcW w:w="964" w:type="dxa"/>
            <w:vAlign w:val="center"/>
          </w:tcPr>
          <w:p>
            <w:pPr>
              <w:pStyle w:val="0"/>
              <w:jc w:val="center"/>
            </w:pPr>
            <w:r>
              <w:rPr>
                <w:sz w:val="20"/>
              </w:rPr>
              <w:t xml:space="preserve">15</w:t>
            </w:r>
          </w:p>
        </w:tc>
        <w:tc>
          <w:tcPr>
            <w:tcW w:w="1020" w:type="dxa"/>
            <w:vAlign w:val="center"/>
          </w:tcPr>
          <w:p>
            <w:pPr>
              <w:pStyle w:val="0"/>
              <w:jc w:val="center"/>
            </w:pPr>
            <w:r>
              <w:rPr>
                <w:sz w:val="20"/>
              </w:rPr>
              <w:t xml:space="preserve">16,0</w:t>
            </w:r>
          </w:p>
        </w:tc>
        <w:tc>
          <w:tcPr>
            <w:tcW w:w="680" w:type="dxa"/>
            <w:vAlign w:val="center"/>
          </w:tcPr>
          <w:p>
            <w:pPr>
              <w:pStyle w:val="0"/>
              <w:jc w:val="center"/>
            </w:pPr>
            <w:r>
              <w:rPr>
                <w:sz w:val="20"/>
              </w:rPr>
              <w:t xml:space="preserve">6,0</w:t>
            </w:r>
          </w:p>
        </w:tc>
        <w:tc>
          <w:tcPr>
            <w:tcW w:w="737" w:type="dxa"/>
            <w:vAlign w:val="center"/>
          </w:tcPr>
          <w:p>
            <w:pPr>
              <w:pStyle w:val="0"/>
              <w:jc w:val="center"/>
            </w:pPr>
            <w:r>
              <w:rPr>
                <w:sz w:val="20"/>
              </w:rPr>
              <w:t xml:space="preserve">2,5</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18,0 до 22,0 включительно</w:t>
            </w:r>
          </w:p>
        </w:tc>
        <w:tc>
          <w:tcPr>
            <w:tcW w:w="794" w:type="dxa"/>
            <w:vAlign w:val="center"/>
          </w:tcPr>
          <w:p>
            <w:pPr>
              <w:pStyle w:val="0"/>
              <w:jc w:val="center"/>
            </w:pPr>
            <w:r>
              <w:rPr>
                <w:sz w:val="20"/>
              </w:rPr>
              <w:t xml:space="preserve">0,50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4,0</w:t>
            </w:r>
          </w:p>
        </w:tc>
        <w:tc>
          <w:tcPr>
            <w:tcW w:w="964" w:type="dxa"/>
            <w:vAlign w:val="center"/>
          </w:tcPr>
          <w:p>
            <w:pPr>
              <w:pStyle w:val="0"/>
              <w:jc w:val="center"/>
            </w:pPr>
            <w:r>
              <w:rPr>
                <w:sz w:val="20"/>
              </w:rPr>
              <w:t xml:space="preserve">16</w:t>
            </w:r>
          </w:p>
        </w:tc>
        <w:tc>
          <w:tcPr>
            <w:tcW w:w="1020" w:type="dxa"/>
            <w:vAlign w:val="center"/>
          </w:tcPr>
          <w:p>
            <w:pPr>
              <w:pStyle w:val="0"/>
              <w:jc w:val="center"/>
            </w:pPr>
            <w:r>
              <w:rPr>
                <w:sz w:val="20"/>
              </w:rPr>
              <w:t xml:space="preserve">20,0</w:t>
            </w:r>
          </w:p>
        </w:tc>
        <w:tc>
          <w:tcPr>
            <w:tcW w:w="680" w:type="dxa"/>
            <w:vAlign w:val="center"/>
          </w:tcPr>
          <w:p>
            <w:pPr>
              <w:pStyle w:val="0"/>
              <w:jc w:val="center"/>
            </w:pPr>
            <w:r>
              <w:rPr>
                <w:sz w:val="20"/>
              </w:rPr>
              <w:t xml:space="preserve">7,0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22,0 до 24,0 включительно</w:t>
            </w:r>
          </w:p>
        </w:tc>
        <w:tc>
          <w:tcPr>
            <w:tcW w:w="794" w:type="dxa"/>
            <w:vAlign w:val="center"/>
          </w:tcPr>
          <w:p>
            <w:pPr>
              <w:pStyle w:val="0"/>
              <w:jc w:val="center"/>
            </w:pPr>
            <w:r>
              <w:rPr>
                <w:sz w:val="20"/>
              </w:rPr>
              <w:t xml:space="preserve">0,50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4,5</w:t>
            </w:r>
          </w:p>
        </w:tc>
        <w:tc>
          <w:tcPr>
            <w:tcW w:w="964" w:type="dxa"/>
            <w:vAlign w:val="center"/>
          </w:tcPr>
          <w:p>
            <w:pPr>
              <w:pStyle w:val="0"/>
              <w:jc w:val="center"/>
            </w:pPr>
            <w:r>
              <w:rPr>
                <w:sz w:val="20"/>
              </w:rPr>
              <w:t xml:space="preserve">16</w:t>
            </w:r>
          </w:p>
        </w:tc>
        <w:tc>
          <w:tcPr>
            <w:tcW w:w="1020" w:type="dxa"/>
            <w:vAlign w:val="center"/>
          </w:tcPr>
          <w:p>
            <w:pPr>
              <w:pStyle w:val="0"/>
              <w:jc w:val="center"/>
            </w:pPr>
            <w:r>
              <w:rPr>
                <w:sz w:val="20"/>
              </w:rPr>
              <w:t xml:space="preserve">25,0</w:t>
            </w:r>
          </w:p>
        </w:tc>
        <w:tc>
          <w:tcPr>
            <w:tcW w:w="680" w:type="dxa"/>
            <w:vAlign w:val="center"/>
          </w:tcPr>
          <w:p>
            <w:pPr>
              <w:pStyle w:val="0"/>
              <w:jc w:val="center"/>
            </w:pPr>
            <w:r>
              <w:rPr>
                <w:sz w:val="20"/>
              </w:rPr>
              <w:t xml:space="preserve">7,0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24,0 до 28,0 включительно</w:t>
            </w:r>
          </w:p>
        </w:tc>
        <w:tc>
          <w:tcPr>
            <w:tcW w:w="794" w:type="dxa"/>
            <w:vAlign w:val="center"/>
          </w:tcPr>
          <w:p>
            <w:pPr>
              <w:pStyle w:val="0"/>
              <w:jc w:val="center"/>
            </w:pPr>
            <w:r>
              <w:rPr>
                <w:sz w:val="20"/>
              </w:rPr>
              <w:t xml:space="preserve">0,60</w:t>
            </w:r>
          </w:p>
        </w:tc>
        <w:tc>
          <w:tcPr>
            <w:tcW w:w="710" w:type="dxa"/>
            <w:vAlign w:val="center"/>
          </w:tcPr>
          <w:p>
            <w:pPr>
              <w:pStyle w:val="0"/>
              <w:jc w:val="center"/>
            </w:pPr>
            <w:r>
              <w:rPr>
                <w:sz w:val="20"/>
              </w:rPr>
              <w:t xml:space="preserve">3,0</w:t>
            </w:r>
          </w:p>
        </w:tc>
        <w:tc>
          <w:tcPr>
            <w:tcW w:w="624" w:type="dxa"/>
            <w:vAlign w:val="center"/>
          </w:tcPr>
          <w:p>
            <w:pPr>
              <w:pStyle w:val="0"/>
              <w:jc w:val="center"/>
            </w:pPr>
            <w:r>
              <w:rPr>
                <w:sz w:val="20"/>
              </w:rPr>
              <w:t xml:space="preserve">4,5</w:t>
            </w:r>
          </w:p>
        </w:tc>
        <w:tc>
          <w:tcPr>
            <w:tcW w:w="964" w:type="dxa"/>
            <w:vAlign w:val="center"/>
          </w:tcPr>
          <w:p>
            <w:pPr>
              <w:pStyle w:val="0"/>
              <w:jc w:val="center"/>
            </w:pPr>
            <w:r>
              <w:rPr>
                <w:sz w:val="20"/>
              </w:rPr>
              <w:t xml:space="preserve">18</w:t>
            </w:r>
          </w:p>
        </w:tc>
        <w:tc>
          <w:tcPr>
            <w:tcW w:w="1020" w:type="dxa"/>
            <w:vAlign w:val="center"/>
          </w:tcPr>
          <w:p>
            <w:pPr>
              <w:pStyle w:val="0"/>
              <w:jc w:val="center"/>
            </w:pPr>
            <w:r>
              <w:rPr>
                <w:sz w:val="20"/>
              </w:rPr>
              <w:t xml:space="preserve">25,0</w:t>
            </w:r>
          </w:p>
        </w:tc>
        <w:tc>
          <w:tcPr>
            <w:tcW w:w="680" w:type="dxa"/>
            <w:vAlign w:val="center"/>
          </w:tcPr>
          <w:p>
            <w:pPr>
              <w:pStyle w:val="0"/>
              <w:jc w:val="center"/>
            </w:pPr>
            <w:r>
              <w:rPr>
                <w:sz w:val="20"/>
              </w:rPr>
              <w:t xml:space="preserve">8,0</w:t>
            </w:r>
          </w:p>
        </w:tc>
        <w:tc>
          <w:tcPr>
            <w:tcW w:w="737" w:type="dxa"/>
            <w:vAlign w:val="center"/>
          </w:tcPr>
          <w:p>
            <w:pPr>
              <w:pStyle w:val="0"/>
              <w:jc w:val="center"/>
            </w:pPr>
            <w:r>
              <w:rPr>
                <w:sz w:val="20"/>
              </w:rPr>
              <w:t xml:space="preserve">3,0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28,0 до 32,0 включительно</w:t>
            </w:r>
          </w:p>
        </w:tc>
        <w:tc>
          <w:tcPr>
            <w:tcW w:w="794" w:type="dxa"/>
            <w:vAlign w:val="center"/>
          </w:tcPr>
          <w:p>
            <w:pPr>
              <w:pStyle w:val="0"/>
              <w:jc w:val="center"/>
            </w:pPr>
            <w:r>
              <w:rPr>
                <w:sz w:val="20"/>
              </w:rPr>
              <w:t xml:space="preserve">0,60</w:t>
            </w:r>
          </w:p>
        </w:tc>
        <w:tc>
          <w:tcPr>
            <w:tcW w:w="710" w:type="dxa"/>
            <w:vAlign w:val="center"/>
          </w:tcPr>
          <w:p>
            <w:pPr>
              <w:pStyle w:val="0"/>
              <w:jc w:val="center"/>
            </w:pPr>
            <w:r>
              <w:rPr>
                <w:sz w:val="20"/>
              </w:rPr>
              <w:t xml:space="preserve">3,5</w:t>
            </w:r>
          </w:p>
        </w:tc>
        <w:tc>
          <w:tcPr>
            <w:tcW w:w="624" w:type="dxa"/>
            <w:vAlign w:val="center"/>
          </w:tcPr>
          <w:p>
            <w:pPr>
              <w:pStyle w:val="0"/>
              <w:jc w:val="center"/>
            </w:pPr>
            <w:r>
              <w:rPr>
                <w:sz w:val="20"/>
              </w:rPr>
              <w:t xml:space="preserve">5,0</w:t>
            </w:r>
          </w:p>
        </w:tc>
        <w:tc>
          <w:tcPr>
            <w:tcW w:w="964" w:type="dxa"/>
            <w:vAlign w:val="center"/>
          </w:tcPr>
          <w:p>
            <w:pPr>
              <w:pStyle w:val="0"/>
              <w:jc w:val="center"/>
            </w:pPr>
            <w:r>
              <w:rPr>
                <w:sz w:val="20"/>
              </w:rPr>
              <w:t xml:space="preserve">18</w:t>
            </w:r>
          </w:p>
        </w:tc>
        <w:tc>
          <w:tcPr>
            <w:tcW w:w="1020" w:type="dxa"/>
            <w:vAlign w:val="center"/>
          </w:tcPr>
          <w:p>
            <w:pPr>
              <w:pStyle w:val="0"/>
              <w:jc w:val="center"/>
            </w:pPr>
            <w:r>
              <w:rPr>
                <w:sz w:val="20"/>
              </w:rPr>
              <w:t xml:space="preserve">31,0</w:t>
            </w:r>
          </w:p>
        </w:tc>
        <w:tc>
          <w:tcPr>
            <w:tcW w:w="680" w:type="dxa"/>
            <w:vAlign w:val="center"/>
          </w:tcPr>
          <w:p>
            <w:pPr>
              <w:pStyle w:val="0"/>
              <w:jc w:val="center"/>
            </w:pPr>
            <w:r>
              <w:rPr>
                <w:sz w:val="20"/>
              </w:rPr>
              <w:t xml:space="preserve">8,0</w:t>
            </w:r>
          </w:p>
        </w:tc>
        <w:tc>
          <w:tcPr>
            <w:tcW w:w="737" w:type="dxa"/>
            <w:vAlign w:val="center"/>
          </w:tcPr>
          <w:p>
            <w:pPr>
              <w:pStyle w:val="0"/>
              <w:jc w:val="center"/>
            </w:pPr>
            <w:r>
              <w:rPr>
                <w:sz w:val="20"/>
              </w:rPr>
              <w:t xml:space="preserve">3,5</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32,0 до 35,0 включительно</w:t>
            </w:r>
          </w:p>
        </w:tc>
        <w:tc>
          <w:tcPr>
            <w:tcW w:w="794" w:type="dxa"/>
            <w:vAlign w:val="center"/>
          </w:tcPr>
          <w:p>
            <w:pPr>
              <w:pStyle w:val="0"/>
              <w:jc w:val="center"/>
            </w:pPr>
            <w:r>
              <w:rPr>
                <w:sz w:val="20"/>
              </w:rPr>
              <w:t xml:space="preserve">0,60</w:t>
            </w:r>
          </w:p>
        </w:tc>
        <w:tc>
          <w:tcPr>
            <w:tcW w:w="710" w:type="dxa"/>
            <w:vAlign w:val="center"/>
          </w:tcPr>
          <w:p>
            <w:pPr>
              <w:pStyle w:val="0"/>
              <w:jc w:val="center"/>
            </w:pPr>
            <w:r>
              <w:rPr>
                <w:sz w:val="20"/>
              </w:rPr>
              <w:t xml:space="preserve">3,5</w:t>
            </w:r>
          </w:p>
        </w:tc>
        <w:tc>
          <w:tcPr>
            <w:tcW w:w="624" w:type="dxa"/>
            <w:vAlign w:val="center"/>
          </w:tcPr>
          <w:p>
            <w:pPr>
              <w:pStyle w:val="0"/>
              <w:jc w:val="center"/>
            </w:pPr>
            <w:r>
              <w:rPr>
                <w:sz w:val="20"/>
              </w:rPr>
              <w:t xml:space="preserve">5,0</w:t>
            </w:r>
          </w:p>
        </w:tc>
        <w:tc>
          <w:tcPr>
            <w:tcW w:w="964" w:type="dxa"/>
            <w:vAlign w:val="center"/>
          </w:tcPr>
          <w:p>
            <w:pPr>
              <w:pStyle w:val="0"/>
              <w:jc w:val="center"/>
            </w:pPr>
            <w:r>
              <w:rPr>
                <w:sz w:val="20"/>
              </w:rPr>
              <w:t xml:space="preserve">20</w:t>
            </w:r>
          </w:p>
        </w:tc>
        <w:tc>
          <w:tcPr>
            <w:tcW w:w="1020" w:type="dxa"/>
            <w:vAlign w:val="center"/>
          </w:tcPr>
          <w:p>
            <w:pPr>
              <w:pStyle w:val="0"/>
              <w:jc w:val="center"/>
            </w:pPr>
            <w:r>
              <w:rPr>
                <w:sz w:val="20"/>
              </w:rPr>
              <w:t xml:space="preserve">35,0</w:t>
            </w:r>
          </w:p>
        </w:tc>
        <w:tc>
          <w:tcPr>
            <w:tcW w:w="680" w:type="dxa"/>
            <w:vAlign w:val="center"/>
          </w:tcPr>
          <w:p>
            <w:pPr>
              <w:pStyle w:val="0"/>
              <w:jc w:val="center"/>
            </w:pPr>
            <w:r>
              <w:rPr>
                <w:sz w:val="20"/>
              </w:rPr>
              <w:t xml:space="preserve">9,0</w:t>
            </w:r>
          </w:p>
        </w:tc>
        <w:tc>
          <w:tcPr>
            <w:tcW w:w="737" w:type="dxa"/>
            <w:vAlign w:val="center"/>
          </w:tcPr>
          <w:p>
            <w:pPr>
              <w:pStyle w:val="0"/>
              <w:jc w:val="center"/>
            </w:pPr>
            <w:r>
              <w:rPr>
                <w:sz w:val="20"/>
              </w:rPr>
              <w:t xml:space="preserve">3,5</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35,0 до 38,0 включительно</w:t>
            </w:r>
          </w:p>
        </w:tc>
        <w:tc>
          <w:tcPr>
            <w:tcW w:w="794" w:type="dxa"/>
            <w:vAlign w:val="center"/>
          </w:tcPr>
          <w:p>
            <w:pPr>
              <w:pStyle w:val="0"/>
              <w:jc w:val="center"/>
            </w:pPr>
            <w:r>
              <w:rPr>
                <w:sz w:val="20"/>
              </w:rPr>
              <w:t xml:space="preserve">0,75</w:t>
            </w:r>
          </w:p>
        </w:tc>
        <w:tc>
          <w:tcPr>
            <w:tcW w:w="710" w:type="dxa"/>
            <w:vAlign w:val="center"/>
          </w:tcPr>
          <w:p>
            <w:pPr>
              <w:pStyle w:val="0"/>
              <w:jc w:val="center"/>
            </w:pPr>
            <w:r>
              <w:rPr>
                <w:sz w:val="20"/>
              </w:rPr>
              <w:t xml:space="preserve">3,5</w:t>
            </w:r>
          </w:p>
        </w:tc>
        <w:tc>
          <w:tcPr>
            <w:tcW w:w="624" w:type="dxa"/>
            <w:vAlign w:val="center"/>
          </w:tcPr>
          <w:p>
            <w:pPr>
              <w:pStyle w:val="0"/>
              <w:jc w:val="center"/>
            </w:pPr>
            <w:r>
              <w:rPr>
                <w:sz w:val="20"/>
              </w:rPr>
              <w:t xml:space="preserve">5,0</w:t>
            </w:r>
          </w:p>
        </w:tc>
        <w:tc>
          <w:tcPr>
            <w:tcW w:w="964" w:type="dxa"/>
            <w:vAlign w:val="center"/>
          </w:tcPr>
          <w:p>
            <w:pPr>
              <w:pStyle w:val="0"/>
              <w:jc w:val="center"/>
            </w:pPr>
            <w:r>
              <w:rPr>
                <w:sz w:val="20"/>
              </w:rPr>
              <w:t xml:space="preserve">20</w:t>
            </w:r>
          </w:p>
        </w:tc>
        <w:tc>
          <w:tcPr>
            <w:tcW w:w="1020" w:type="dxa"/>
            <w:vAlign w:val="center"/>
          </w:tcPr>
          <w:p>
            <w:pPr>
              <w:pStyle w:val="0"/>
              <w:jc w:val="center"/>
            </w:pPr>
            <w:r>
              <w:rPr>
                <w:sz w:val="20"/>
              </w:rPr>
              <w:t xml:space="preserve">35,0</w:t>
            </w:r>
          </w:p>
        </w:tc>
        <w:tc>
          <w:tcPr>
            <w:tcW w:w="680" w:type="dxa"/>
            <w:vAlign w:val="center"/>
          </w:tcPr>
          <w:p>
            <w:pPr>
              <w:pStyle w:val="0"/>
              <w:jc w:val="center"/>
            </w:pPr>
            <w:r>
              <w:rPr>
                <w:sz w:val="20"/>
              </w:rPr>
              <w:t xml:space="preserve">9,0</w:t>
            </w:r>
          </w:p>
        </w:tc>
        <w:tc>
          <w:tcPr>
            <w:tcW w:w="737" w:type="dxa"/>
            <w:vAlign w:val="center"/>
          </w:tcPr>
          <w:p>
            <w:pPr>
              <w:pStyle w:val="0"/>
              <w:jc w:val="center"/>
            </w:pPr>
            <w:r>
              <w:rPr>
                <w:sz w:val="20"/>
              </w:rPr>
              <w:t xml:space="preserve">3,5</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38,0 до 44,0 включительно</w:t>
            </w:r>
          </w:p>
        </w:tc>
        <w:tc>
          <w:tcPr>
            <w:tcW w:w="794" w:type="dxa"/>
            <w:vAlign w:val="center"/>
          </w:tcPr>
          <w:p>
            <w:pPr>
              <w:pStyle w:val="0"/>
              <w:jc w:val="center"/>
            </w:pPr>
            <w:r>
              <w:rPr>
                <w:sz w:val="20"/>
              </w:rPr>
              <w:t xml:space="preserve">0,75</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21</w:t>
            </w:r>
          </w:p>
        </w:tc>
        <w:tc>
          <w:tcPr>
            <w:tcW w:w="1020" w:type="dxa"/>
            <w:vAlign w:val="center"/>
          </w:tcPr>
          <w:p>
            <w:pPr>
              <w:pStyle w:val="0"/>
              <w:jc w:val="center"/>
            </w:pPr>
            <w:r>
              <w:rPr>
                <w:sz w:val="20"/>
              </w:rPr>
              <w:t xml:space="preserve">41,0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44,0 до 50,0 включительно</w:t>
            </w:r>
          </w:p>
        </w:tc>
        <w:tc>
          <w:tcPr>
            <w:tcW w:w="794" w:type="dxa"/>
            <w:vAlign w:val="center"/>
          </w:tcPr>
          <w:p>
            <w:pPr>
              <w:pStyle w:val="0"/>
              <w:jc w:val="center"/>
            </w:pPr>
            <w:r>
              <w:rPr>
                <w:sz w:val="20"/>
              </w:rPr>
              <w:t xml:space="preserve">0,75</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22</w:t>
            </w:r>
          </w:p>
        </w:tc>
        <w:tc>
          <w:tcPr>
            <w:tcW w:w="1020" w:type="dxa"/>
            <w:vAlign w:val="center"/>
          </w:tcPr>
          <w:p>
            <w:pPr>
              <w:pStyle w:val="0"/>
              <w:jc w:val="center"/>
            </w:pPr>
            <w:r>
              <w:rPr>
                <w:sz w:val="20"/>
              </w:rPr>
              <w:t xml:space="preserve">47,0</w:t>
            </w:r>
          </w:p>
        </w:tc>
        <w:tc>
          <w:tcPr>
            <w:tcW w:w="680" w:type="dxa"/>
            <w:vAlign w:val="center"/>
          </w:tcPr>
          <w:p>
            <w:pPr>
              <w:pStyle w:val="0"/>
              <w:jc w:val="center"/>
            </w:pPr>
            <w:r>
              <w:rPr>
                <w:sz w:val="20"/>
              </w:rPr>
              <w:t xml:space="preserve">12,0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3</w:t>
            </w:r>
          </w:p>
        </w:tc>
      </w:tr>
      <w:tr>
        <w:tc>
          <w:tcPr>
            <w:tcW w:w="2665" w:type="dxa"/>
            <w:vAlign w:val="center"/>
          </w:tcPr>
          <w:p>
            <w:pPr>
              <w:pStyle w:val="0"/>
              <w:jc w:val="center"/>
            </w:pPr>
            <w:r>
              <w:rPr>
                <w:sz w:val="20"/>
              </w:rPr>
              <w:t xml:space="preserve">Более 50,0 до 60,0 включительно</w:t>
            </w:r>
          </w:p>
        </w:tc>
        <w:tc>
          <w:tcPr>
            <w:tcW w:w="794" w:type="dxa"/>
            <w:vAlign w:val="center"/>
          </w:tcPr>
          <w:p>
            <w:pPr>
              <w:pStyle w:val="0"/>
              <w:jc w:val="center"/>
            </w:pPr>
            <w:r>
              <w:rPr>
                <w:sz w:val="20"/>
              </w:rPr>
              <w:t xml:space="preserve">1,00</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23</w:t>
            </w:r>
          </w:p>
        </w:tc>
        <w:tc>
          <w:tcPr>
            <w:tcW w:w="1020" w:type="dxa"/>
            <w:vAlign w:val="center"/>
          </w:tcPr>
          <w:p>
            <w:pPr>
              <w:pStyle w:val="0"/>
              <w:jc w:val="center"/>
            </w:pPr>
            <w:r>
              <w:rPr>
                <w:sz w:val="20"/>
              </w:rPr>
              <w:t xml:space="preserve">55,0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4</w:t>
            </w:r>
          </w:p>
        </w:tc>
      </w:tr>
      <w:tr>
        <w:tc>
          <w:tcPr>
            <w:tcW w:w="2665" w:type="dxa"/>
            <w:vAlign w:val="center"/>
          </w:tcPr>
          <w:p>
            <w:pPr>
              <w:pStyle w:val="0"/>
              <w:jc w:val="center"/>
            </w:pPr>
            <w:r>
              <w:rPr>
                <w:sz w:val="20"/>
              </w:rPr>
              <w:t xml:space="preserve">Более 60,0 до 70,0 включительно</w:t>
            </w:r>
          </w:p>
        </w:tc>
        <w:tc>
          <w:tcPr>
            <w:tcW w:w="794" w:type="dxa"/>
            <w:vAlign w:val="center"/>
          </w:tcPr>
          <w:p>
            <w:pPr>
              <w:pStyle w:val="0"/>
              <w:jc w:val="center"/>
            </w:pPr>
            <w:r>
              <w:rPr>
                <w:sz w:val="20"/>
              </w:rPr>
              <w:t xml:space="preserve">1,00</w:t>
            </w:r>
          </w:p>
        </w:tc>
        <w:tc>
          <w:tcPr>
            <w:tcW w:w="710" w:type="dxa"/>
            <w:vAlign w:val="center"/>
          </w:tcPr>
          <w:p>
            <w:pPr>
              <w:pStyle w:val="0"/>
              <w:jc w:val="center"/>
            </w:pPr>
            <w:r>
              <w:rPr>
                <w:sz w:val="20"/>
              </w:rPr>
              <w:t xml:space="preserve">4,0</w:t>
            </w:r>
          </w:p>
        </w:tc>
        <w:tc>
          <w:tcPr>
            <w:tcW w:w="624" w:type="dxa"/>
            <w:vAlign w:val="center"/>
          </w:tcPr>
          <w:p>
            <w:pPr>
              <w:pStyle w:val="0"/>
              <w:jc w:val="center"/>
            </w:pPr>
            <w:r>
              <w:rPr>
                <w:sz w:val="20"/>
              </w:rPr>
              <w:t xml:space="preserve">6,0</w:t>
            </w:r>
          </w:p>
        </w:tc>
        <w:tc>
          <w:tcPr>
            <w:tcW w:w="964" w:type="dxa"/>
            <w:vAlign w:val="center"/>
          </w:tcPr>
          <w:p>
            <w:pPr>
              <w:pStyle w:val="0"/>
              <w:jc w:val="center"/>
            </w:pPr>
            <w:r>
              <w:rPr>
                <w:sz w:val="20"/>
              </w:rPr>
              <w:t xml:space="preserve">24</w:t>
            </w:r>
          </w:p>
        </w:tc>
        <w:tc>
          <w:tcPr>
            <w:tcW w:w="1020" w:type="dxa"/>
            <w:vAlign w:val="center"/>
          </w:tcPr>
          <w:p>
            <w:pPr>
              <w:pStyle w:val="0"/>
              <w:jc w:val="center"/>
            </w:pPr>
            <w:r>
              <w:rPr>
                <w:sz w:val="20"/>
              </w:rPr>
              <w:t xml:space="preserve">65,0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4,0</w:t>
            </w:r>
          </w:p>
        </w:tc>
        <w:tc>
          <w:tcPr>
            <w:tcW w:w="859" w:type="dxa"/>
            <w:vAlign w:val="center"/>
          </w:tcPr>
          <w:p>
            <w:pPr>
              <w:pStyle w:val="0"/>
              <w:jc w:val="center"/>
            </w:pPr>
            <w:r>
              <w:rPr>
                <w:sz w:val="20"/>
              </w:rPr>
              <w:t xml:space="preserve">4</w:t>
            </w:r>
          </w:p>
        </w:tc>
      </w:tr>
      <w:tr>
        <w:tc>
          <w:tcPr>
            <w:tcW w:w="2665" w:type="dxa"/>
            <w:vAlign w:val="center"/>
          </w:tcPr>
          <w:p>
            <w:pPr>
              <w:pStyle w:val="0"/>
              <w:jc w:val="center"/>
            </w:pPr>
            <w:r>
              <w:rPr>
                <w:sz w:val="20"/>
              </w:rPr>
              <w:t xml:space="preserve">Более 70,0 до 85,0 включительно</w:t>
            </w:r>
          </w:p>
        </w:tc>
        <w:tc>
          <w:tcPr>
            <w:tcW w:w="794" w:type="dxa"/>
            <w:vAlign w:val="center"/>
          </w:tcPr>
          <w:p>
            <w:pPr>
              <w:pStyle w:val="0"/>
              <w:jc w:val="center"/>
            </w:pPr>
            <w:r>
              <w:rPr>
                <w:sz w:val="20"/>
              </w:rPr>
              <w:t xml:space="preserve">1,25</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7,0</w:t>
            </w:r>
          </w:p>
        </w:tc>
        <w:tc>
          <w:tcPr>
            <w:tcW w:w="964" w:type="dxa"/>
            <w:vAlign w:val="center"/>
          </w:tcPr>
          <w:p>
            <w:pPr>
              <w:pStyle w:val="0"/>
              <w:jc w:val="center"/>
            </w:pPr>
            <w:r>
              <w:rPr>
                <w:sz w:val="20"/>
              </w:rPr>
              <w:t xml:space="preserve">25</w:t>
            </w:r>
          </w:p>
        </w:tc>
        <w:tc>
          <w:tcPr>
            <w:tcW w:w="1020" w:type="dxa"/>
            <w:vAlign w:val="center"/>
          </w:tcPr>
          <w:p>
            <w:pPr>
              <w:pStyle w:val="0"/>
              <w:jc w:val="center"/>
            </w:pPr>
            <w:r>
              <w:rPr>
                <w:sz w:val="20"/>
              </w:rPr>
              <w:t xml:space="preserve">78,0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4</w:t>
            </w:r>
          </w:p>
        </w:tc>
      </w:tr>
      <w:tr>
        <w:tc>
          <w:tcPr>
            <w:tcW w:w="2665" w:type="dxa"/>
            <w:vAlign w:val="center"/>
          </w:tcPr>
          <w:p>
            <w:pPr>
              <w:pStyle w:val="0"/>
              <w:jc w:val="center"/>
            </w:pPr>
            <w:r>
              <w:rPr>
                <w:sz w:val="20"/>
              </w:rPr>
              <w:t xml:space="preserve">Более 85,0 до 100,0 включительно</w:t>
            </w:r>
          </w:p>
        </w:tc>
        <w:tc>
          <w:tcPr>
            <w:tcW w:w="794" w:type="dxa"/>
            <w:vAlign w:val="center"/>
          </w:tcPr>
          <w:p>
            <w:pPr>
              <w:pStyle w:val="0"/>
              <w:jc w:val="center"/>
            </w:pPr>
            <w:r>
              <w:rPr>
                <w:sz w:val="20"/>
              </w:rPr>
              <w:t xml:space="preserve">1,50</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7,0</w:t>
            </w:r>
          </w:p>
        </w:tc>
        <w:tc>
          <w:tcPr>
            <w:tcW w:w="964" w:type="dxa"/>
            <w:vAlign w:val="center"/>
          </w:tcPr>
          <w:p>
            <w:pPr>
              <w:pStyle w:val="0"/>
              <w:jc w:val="center"/>
            </w:pPr>
            <w:r>
              <w:rPr>
                <w:sz w:val="20"/>
              </w:rPr>
              <w:t xml:space="preserve">26</w:t>
            </w:r>
          </w:p>
        </w:tc>
        <w:tc>
          <w:tcPr>
            <w:tcW w:w="1020" w:type="dxa"/>
            <w:vAlign w:val="center"/>
          </w:tcPr>
          <w:p>
            <w:pPr>
              <w:pStyle w:val="0"/>
              <w:jc w:val="center"/>
            </w:pPr>
            <w:r>
              <w:rPr>
                <w:sz w:val="20"/>
              </w:rPr>
              <w:t xml:space="preserve">92,0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4</w:t>
            </w:r>
          </w:p>
        </w:tc>
      </w:tr>
      <w:tr>
        <w:tc>
          <w:tcPr>
            <w:tcW w:w="2665" w:type="dxa"/>
            <w:vAlign w:val="center"/>
          </w:tcPr>
          <w:p>
            <w:pPr>
              <w:pStyle w:val="0"/>
              <w:jc w:val="center"/>
            </w:pPr>
            <w:r>
              <w:rPr>
                <w:sz w:val="20"/>
              </w:rPr>
              <w:t xml:space="preserve">Более 100,0 до 130,0 включительно</w:t>
            </w:r>
          </w:p>
        </w:tc>
        <w:tc>
          <w:tcPr>
            <w:tcW w:w="794" w:type="dxa"/>
            <w:vAlign w:val="center"/>
          </w:tcPr>
          <w:p>
            <w:pPr>
              <w:pStyle w:val="0"/>
              <w:jc w:val="center"/>
            </w:pPr>
            <w:r>
              <w:rPr>
                <w:sz w:val="20"/>
              </w:rPr>
              <w:t xml:space="preserve">2,00</w:t>
            </w:r>
          </w:p>
        </w:tc>
        <w:tc>
          <w:tcPr>
            <w:tcW w:w="710" w:type="dxa"/>
            <w:vAlign w:val="center"/>
          </w:tcPr>
          <w:p>
            <w:pPr>
              <w:pStyle w:val="0"/>
              <w:jc w:val="center"/>
            </w:pPr>
            <w:r>
              <w:rPr>
                <w:sz w:val="20"/>
              </w:rPr>
              <w:t xml:space="preserve">5,0</w:t>
            </w:r>
          </w:p>
        </w:tc>
        <w:tc>
          <w:tcPr>
            <w:tcW w:w="624" w:type="dxa"/>
            <w:vAlign w:val="center"/>
          </w:tcPr>
          <w:p>
            <w:pPr>
              <w:pStyle w:val="0"/>
              <w:jc w:val="center"/>
            </w:pPr>
            <w:r>
              <w:rPr>
                <w:sz w:val="20"/>
              </w:rPr>
              <w:t xml:space="preserve">8,0</w:t>
            </w:r>
          </w:p>
        </w:tc>
        <w:tc>
          <w:tcPr>
            <w:tcW w:w="964" w:type="dxa"/>
            <w:vAlign w:val="center"/>
          </w:tcPr>
          <w:p>
            <w:pPr>
              <w:pStyle w:val="0"/>
              <w:jc w:val="center"/>
            </w:pPr>
            <w:r>
              <w:rPr>
                <w:sz w:val="20"/>
              </w:rPr>
              <w:t xml:space="preserve">27</w:t>
            </w:r>
          </w:p>
        </w:tc>
        <w:tc>
          <w:tcPr>
            <w:tcW w:w="1020" w:type="dxa"/>
            <w:vAlign w:val="center"/>
          </w:tcPr>
          <w:p>
            <w:pPr>
              <w:pStyle w:val="0"/>
              <w:jc w:val="center"/>
            </w:pPr>
            <w:r>
              <w:rPr>
                <w:sz w:val="20"/>
              </w:rPr>
              <w:t xml:space="preserve">115,0</w:t>
            </w:r>
          </w:p>
        </w:tc>
        <w:tc>
          <w:tcPr>
            <w:tcW w:w="680" w:type="dxa"/>
            <w:vAlign w:val="center"/>
          </w:tcPr>
          <w:p>
            <w:pPr>
              <w:pStyle w:val="0"/>
              <w:jc w:val="center"/>
            </w:pPr>
            <w:r>
              <w:rPr>
                <w:sz w:val="20"/>
              </w:rPr>
              <w:t xml:space="preserve">14,0</w:t>
            </w:r>
          </w:p>
        </w:tc>
        <w:tc>
          <w:tcPr>
            <w:tcW w:w="737" w:type="dxa"/>
            <w:vAlign w:val="center"/>
          </w:tcPr>
          <w:p>
            <w:pPr>
              <w:pStyle w:val="0"/>
              <w:jc w:val="center"/>
            </w:pPr>
            <w:r>
              <w:rPr>
                <w:sz w:val="20"/>
              </w:rPr>
              <w:t xml:space="preserve">5,0</w:t>
            </w:r>
          </w:p>
        </w:tc>
        <w:tc>
          <w:tcPr>
            <w:tcW w:w="859" w:type="dxa"/>
            <w:vAlign w:val="center"/>
          </w:tcPr>
          <w:p>
            <w:pPr>
              <w:pStyle w:val="0"/>
              <w:jc w:val="center"/>
            </w:pPr>
            <w:r>
              <w:rPr>
                <w:sz w:val="20"/>
              </w:rPr>
              <w:t xml:space="preserve">4</w:t>
            </w:r>
          </w:p>
        </w:tc>
      </w:tr>
      <w:tr>
        <w:tc>
          <w:tcPr>
            <w:tcW w:w="2665" w:type="dxa"/>
            <w:vAlign w:val="center"/>
          </w:tcPr>
          <w:p>
            <w:pPr>
              <w:pStyle w:val="0"/>
              <w:jc w:val="center"/>
            </w:pPr>
            <w:r>
              <w:rPr>
                <w:sz w:val="20"/>
              </w:rPr>
              <w:t xml:space="preserve">Более 130,0 до 165,0 включительно</w:t>
            </w:r>
          </w:p>
        </w:tc>
        <w:tc>
          <w:tcPr>
            <w:tcW w:w="794" w:type="dxa"/>
            <w:vAlign w:val="center"/>
          </w:tcPr>
          <w:p>
            <w:pPr>
              <w:pStyle w:val="0"/>
              <w:jc w:val="center"/>
            </w:pPr>
            <w:r>
              <w:rPr>
                <w:sz w:val="20"/>
              </w:rPr>
              <w:t xml:space="preserve">2,50</w:t>
            </w:r>
          </w:p>
        </w:tc>
        <w:tc>
          <w:tcPr>
            <w:tcW w:w="710" w:type="dxa"/>
            <w:vAlign w:val="center"/>
          </w:tcPr>
          <w:p>
            <w:pPr>
              <w:pStyle w:val="0"/>
              <w:jc w:val="center"/>
            </w:pPr>
            <w:r>
              <w:rPr>
                <w:sz w:val="20"/>
              </w:rPr>
              <w:t xml:space="preserve">6,0</w:t>
            </w:r>
          </w:p>
        </w:tc>
        <w:tc>
          <w:tcPr>
            <w:tcW w:w="624" w:type="dxa"/>
            <w:vAlign w:val="center"/>
          </w:tcPr>
          <w:p>
            <w:pPr>
              <w:pStyle w:val="0"/>
              <w:jc w:val="center"/>
            </w:pPr>
            <w:r>
              <w:rPr>
                <w:sz w:val="20"/>
              </w:rPr>
              <w:t xml:space="preserve">9,0</w:t>
            </w:r>
          </w:p>
        </w:tc>
        <w:tc>
          <w:tcPr>
            <w:tcW w:w="964" w:type="dxa"/>
            <w:vAlign w:val="center"/>
          </w:tcPr>
          <w:p>
            <w:pPr>
              <w:pStyle w:val="0"/>
              <w:jc w:val="center"/>
            </w:pPr>
            <w:r>
              <w:rPr>
                <w:sz w:val="20"/>
              </w:rPr>
              <w:t xml:space="preserve">26</w:t>
            </w:r>
          </w:p>
        </w:tc>
        <w:tc>
          <w:tcPr>
            <w:tcW w:w="1020" w:type="dxa"/>
            <w:vAlign w:val="center"/>
          </w:tcPr>
          <w:p>
            <w:pPr>
              <w:pStyle w:val="0"/>
              <w:jc w:val="center"/>
            </w:pPr>
            <w:r>
              <w:rPr>
                <w:sz w:val="20"/>
              </w:rPr>
              <w:t xml:space="preserve">145,0</w:t>
            </w:r>
          </w:p>
        </w:tc>
        <w:tc>
          <w:tcPr>
            <w:tcW w:w="680" w:type="dxa"/>
            <w:vAlign w:val="center"/>
          </w:tcPr>
          <w:p>
            <w:pPr>
              <w:pStyle w:val="0"/>
              <w:jc w:val="center"/>
            </w:pPr>
            <w:r>
              <w:rPr>
                <w:sz w:val="20"/>
              </w:rPr>
              <w:t xml:space="preserve">15,0</w:t>
            </w:r>
          </w:p>
        </w:tc>
        <w:tc>
          <w:tcPr>
            <w:tcW w:w="737" w:type="dxa"/>
            <w:vAlign w:val="center"/>
          </w:tcPr>
          <w:p>
            <w:pPr>
              <w:pStyle w:val="0"/>
              <w:jc w:val="center"/>
            </w:pPr>
            <w:r>
              <w:rPr>
                <w:sz w:val="20"/>
              </w:rPr>
              <w:t xml:space="preserve">6,0</w:t>
            </w:r>
          </w:p>
        </w:tc>
        <w:tc>
          <w:tcPr>
            <w:tcW w:w="859" w:type="dxa"/>
            <w:vAlign w:val="center"/>
          </w:tcPr>
          <w:p>
            <w:pPr>
              <w:pStyle w:val="0"/>
              <w:jc w:val="center"/>
            </w:pPr>
            <w:r>
              <w:rPr>
                <w:sz w:val="20"/>
              </w:rPr>
              <w:t xml:space="preserve">4</w:t>
            </w:r>
          </w:p>
        </w:tc>
      </w:tr>
      <w:tr>
        <w:tc>
          <w:tcPr>
            <w:tcW w:w="2665" w:type="dxa"/>
            <w:vAlign w:val="center"/>
          </w:tcPr>
          <w:p>
            <w:pPr>
              <w:pStyle w:val="0"/>
              <w:jc w:val="center"/>
            </w:pPr>
            <w:r>
              <w:rPr>
                <w:sz w:val="20"/>
              </w:rPr>
              <w:t xml:space="preserve">Более 165,0 до 200,0 включительно</w:t>
            </w:r>
          </w:p>
        </w:tc>
        <w:tc>
          <w:tcPr>
            <w:tcW w:w="794" w:type="dxa"/>
            <w:vAlign w:val="center"/>
          </w:tcPr>
          <w:p>
            <w:pPr>
              <w:pStyle w:val="0"/>
              <w:jc w:val="center"/>
            </w:pPr>
            <w:r>
              <w:rPr>
                <w:sz w:val="20"/>
              </w:rPr>
              <w:t xml:space="preserve">3,00</w:t>
            </w:r>
          </w:p>
        </w:tc>
        <w:tc>
          <w:tcPr>
            <w:tcW w:w="710" w:type="dxa"/>
            <w:vAlign w:val="center"/>
          </w:tcPr>
          <w:p>
            <w:pPr>
              <w:pStyle w:val="0"/>
              <w:jc w:val="center"/>
            </w:pPr>
            <w:r>
              <w:rPr>
                <w:sz w:val="20"/>
              </w:rPr>
              <w:t xml:space="preserve">6,0</w:t>
            </w:r>
          </w:p>
        </w:tc>
        <w:tc>
          <w:tcPr>
            <w:tcW w:w="624" w:type="dxa"/>
            <w:vAlign w:val="center"/>
          </w:tcPr>
          <w:p>
            <w:pPr>
              <w:pStyle w:val="0"/>
              <w:jc w:val="center"/>
            </w:pPr>
            <w:r>
              <w:rPr>
                <w:sz w:val="20"/>
              </w:rPr>
              <w:t xml:space="preserve">9,0</w:t>
            </w:r>
          </w:p>
        </w:tc>
        <w:tc>
          <w:tcPr>
            <w:tcW w:w="964" w:type="dxa"/>
            <w:vAlign w:val="center"/>
          </w:tcPr>
          <w:p>
            <w:pPr>
              <w:pStyle w:val="0"/>
              <w:jc w:val="center"/>
            </w:pPr>
            <w:r>
              <w:rPr>
                <w:sz w:val="20"/>
              </w:rPr>
              <w:t xml:space="preserve">25</w:t>
            </w:r>
          </w:p>
        </w:tc>
        <w:tc>
          <w:tcPr>
            <w:tcW w:w="1020" w:type="dxa"/>
            <w:vAlign w:val="center"/>
          </w:tcPr>
          <w:p>
            <w:pPr>
              <w:pStyle w:val="0"/>
              <w:jc w:val="center"/>
            </w:pPr>
            <w:r>
              <w:rPr>
                <w:sz w:val="20"/>
              </w:rPr>
              <w:t xml:space="preserve">160,0</w:t>
            </w:r>
          </w:p>
        </w:tc>
        <w:tc>
          <w:tcPr>
            <w:tcW w:w="680" w:type="dxa"/>
            <w:vAlign w:val="center"/>
          </w:tcPr>
          <w:p>
            <w:pPr>
              <w:pStyle w:val="0"/>
              <w:jc w:val="center"/>
            </w:pPr>
            <w:r>
              <w:rPr>
                <w:sz w:val="20"/>
              </w:rPr>
              <w:t xml:space="preserve">15,0</w:t>
            </w:r>
          </w:p>
        </w:tc>
        <w:tc>
          <w:tcPr>
            <w:tcW w:w="737" w:type="dxa"/>
            <w:vAlign w:val="center"/>
          </w:tcPr>
          <w:p>
            <w:pPr>
              <w:pStyle w:val="0"/>
              <w:jc w:val="center"/>
            </w:pPr>
            <w:r>
              <w:rPr>
                <w:sz w:val="20"/>
              </w:rPr>
              <w:t xml:space="preserve">6,0</w:t>
            </w:r>
          </w:p>
        </w:tc>
        <w:tc>
          <w:tcPr>
            <w:tcW w:w="859" w:type="dxa"/>
            <w:vAlign w:val="center"/>
          </w:tcPr>
          <w:p>
            <w:pPr>
              <w:pStyle w:val="0"/>
              <w:jc w:val="center"/>
            </w:pPr>
            <w:r>
              <w:rPr>
                <w:sz w:val="20"/>
              </w:rPr>
              <w:t xml:space="preserve">4</w:t>
            </w:r>
          </w:p>
        </w:tc>
      </w:tr>
      <w:tr>
        <w:tc>
          <w:tcPr>
            <w:tcW w:w="2665" w:type="dxa"/>
            <w:vAlign w:val="center"/>
          </w:tcPr>
          <w:p>
            <w:pPr>
              <w:pStyle w:val="0"/>
              <w:jc w:val="center"/>
            </w:pPr>
            <w:r>
              <w:rPr>
                <w:sz w:val="20"/>
              </w:rPr>
              <w:t xml:space="preserve">Более 200,0 до 225,0 включительно</w:t>
            </w:r>
          </w:p>
        </w:tc>
        <w:tc>
          <w:tcPr>
            <w:tcW w:w="794" w:type="dxa"/>
            <w:vAlign w:val="center"/>
          </w:tcPr>
          <w:p>
            <w:pPr>
              <w:pStyle w:val="0"/>
              <w:jc w:val="center"/>
            </w:pPr>
            <w:r>
              <w:rPr>
                <w:sz w:val="20"/>
              </w:rPr>
              <w:t xml:space="preserve">3,50</w:t>
            </w:r>
          </w:p>
        </w:tc>
        <w:tc>
          <w:tcPr>
            <w:tcW w:w="710" w:type="dxa"/>
            <w:vAlign w:val="center"/>
          </w:tcPr>
          <w:p>
            <w:pPr>
              <w:pStyle w:val="0"/>
              <w:jc w:val="center"/>
            </w:pPr>
            <w:r>
              <w:rPr>
                <w:sz w:val="20"/>
              </w:rPr>
              <w:t xml:space="preserve">7,0</w:t>
            </w:r>
          </w:p>
        </w:tc>
        <w:tc>
          <w:tcPr>
            <w:tcW w:w="624" w:type="dxa"/>
            <w:vAlign w:val="center"/>
          </w:tcPr>
          <w:p>
            <w:pPr>
              <w:pStyle w:val="0"/>
              <w:jc w:val="center"/>
            </w:pPr>
            <w:r>
              <w:rPr>
                <w:sz w:val="20"/>
              </w:rPr>
              <w:t xml:space="preserve">10,0</w:t>
            </w:r>
          </w:p>
        </w:tc>
        <w:tc>
          <w:tcPr>
            <w:tcW w:w="964" w:type="dxa"/>
            <w:vAlign w:val="center"/>
          </w:tcPr>
          <w:p>
            <w:pPr>
              <w:pStyle w:val="0"/>
              <w:jc w:val="center"/>
            </w:pPr>
            <w:r>
              <w:rPr>
                <w:sz w:val="20"/>
              </w:rPr>
              <w:t xml:space="preserve">25</w:t>
            </w:r>
          </w:p>
        </w:tc>
        <w:tc>
          <w:tcPr>
            <w:tcW w:w="1020" w:type="dxa"/>
            <w:vAlign w:val="center"/>
          </w:tcPr>
          <w:p>
            <w:pPr>
              <w:pStyle w:val="0"/>
              <w:jc w:val="center"/>
            </w:pPr>
            <w:r>
              <w:rPr>
                <w:sz w:val="20"/>
              </w:rPr>
              <w:t xml:space="preserve">210,0</w:t>
            </w:r>
          </w:p>
        </w:tc>
        <w:tc>
          <w:tcPr>
            <w:tcW w:w="680" w:type="dxa"/>
            <w:vAlign w:val="center"/>
          </w:tcPr>
          <w:p>
            <w:pPr>
              <w:pStyle w:val="0"/>
              <w:jc w:val="center"/>
            </w:pPr>
            <w:r>
              <w:rPr>
                <w:sz w:val="20"/>
              </w:rPr>
              <w:t xml:space="preserve">15,0</w:t>
            </w:r>
          </w:p>
        </w:tc>
        <w:tc>
          <w:tcPr>
            <w:tcW w:w="737" w:type="dxa"/>
            <w:vAlign w:val="center"/>
          </w:tcPr>
          <w:p>
            <w:pPr>
              <w:pStyle w:val="0"/>
              <w:jc w:val="center"/>
            </w:pPr>
            <w:r>
              <w:rPr>
                <w:sz w:val="20"/>
              </w:rPr>
              <w:t xml:space="preserve">7,0</w:t>
            </w:r>
          </w:p>
        </w:tc>
        <w:tc>
          <w:tcPr>
            <w:tcW w:w="859" w:type="dxa"/>
            <w:vAlign w:val="center"/>
          </w:tcPr>
          <w:p>
            <w:pPr>
              <w:pStyle w:val="0"/>
              <w:jc w:val="center"/>
            </w:pPr>
            <w:r>
              <w:rPr>
                <w:sz w:val="20"/>
              </w:rPr>
              <w:t xml:space="preserve">4</w:t>
            </w:r>
          </w:p>
        </w:tc>
      </w:tr>
      <w:tr>
        <w:tc>
          <w:tcPr>
            <w:tcW w:w="2665" w:type="dxa"/>
            <w:vAlign w:val="center"/>
          </w:tcPr>
          <w:p>
            <w:pPr>
              <w:pStyle w:val="0"/>
              <w:jc w:val="center"/>
            </w:pPr>
            <w:r>
              <w:rPr>
                <w:sz w:val="20"/>
              </w:rPr>
              <w:t xml:space="preserve">Более 225,0</w:t>
            </w:r>
          </w:p>
        </w:tc>
        <w:tc>
          <w:tcPr>
            <w:tcW w:w="794" w:type="dxa"/>
            <w:vAlign w:val="center"/>
          </w:tcPr>
          <w:p>
            <w:pPr>
              <w:pStyle w:val="0"/>
              <w:jc w:val="center"/>
            </w:pPr>
            <w:r>
              <w:rPr>
                <w:sz w:val="20"/>
              </w:rPr>
              <w:t xml:space="preserve">4,00</w:t>
            </w:r>
          </w:p>
        </w:tc>
        <w:tc>
          <w:tcPr>
            <w:tcW w:w="710" w:type="dxa"/>
            <w:vAlign w:val="center"/>
          </w:tcPr>
          <w:p>
            <w:pPr>
              <w:pStyle w:val="0"/>
              <w:jc w:val="center"/>
            </w:pPr>
            <w:r>
              <w:rPr>
                <w:sz w:val="20"/>
              </w:rPr>
              <w:t xml:space="preserve">8,0</w:t>
            </w:r>
          </w:p>
        </w:tc>
        <w:tc>
          <w:tcPr>
            <w:tcW w:w="624" w:type="dxa"/>
            <w:vAlign w:val="center"/>
          </w:tcPr>
          <w:p>
            <w:pPr>
              <w:pStyle w:val="0"/>
              <w:jc w:val="center"/>
            </w:pPr>
            <w:r>
              <w:rPr>
                <w:sz w:val="20"/>
              </w:rPr>
              <w:t xml:space="preserve">12,0</w:t>
            </w:r>
          </w:p>
        </w:tc>
        <w:tc>
          <w:tcPr>
            <w:tcW w:w="964" w:type="dxa"/>
            <w:vAlign w:val="center"/>
          </w:tcPr>
          <w:p>
            <w:pPr>
              <w:pStyle w:val="0"/>
              <w:jc w:val="center"/>
            </w:pPr>
            <w:r>
              <w:rPr>
                <w:sz w:val="20"/>
              </w:rPr>
              <w:t xml:space="preserve">24</w:t>
            </w:r>
          </w:p>
        </w:tc>
        <w:tc>
          <w:tcPr>
            <w:tcW w:w="1020" w:type="dxa"/>
            <w:vAlign w:val="center"/>
          </w:tcPr>
          <w:p>
            <w:pPr>
              <w:pStyle w:val="0"/>
              <w:jc w:val="center"/>
            </w:pPr>
            <w:r>
              <w:rPr>
                <w:sz w:val="20"/>
              </w:rPr>
              <w:t xml:space="preserve">230,0</w:t>
            </w:r>
          </w:p>
        </w:tc>
        <w:tc>
          <w:tcPr>
            <w:tcW w:w="680" w:type="dxa"/>
            <w:vAlign w:val="center"/>
          </w:tcPr>
          <w:p>
            <w:pPr>
              <w:pStyle w:val="0"/>
              <w:jc w:val="center"/>
            </w:pPr>
            <w:r>
              <w:rPr>
                <w:sz w:val="20"/>
              </w:rPr>
              <w:t xml:space="preserve">16,0</w:t>
            </w:r>
          </w:p>
        </w:tc>
        <w:tc>
          <w:tcPr>
            <w:tcW w:w="737" w:type="dxa"/>
            <w:vAlign w:val="center"/>
          </w:tcPr>
          <w:p>
            <w:pPr>
              <w:pStyle w:val="0"/>
              <w:jc w:val="center"/>
            </w:pPr>
            <w:r>
              <w:rPr>
                <w:sz w:val="20"/>
              </w:rPr>
              <w:t xml:space="preserve">8,0</w:t>
            </w:r>
          </w:p>
        </w:tc>
        <w:tc>
          <w:tcPr>
            <w:tcW w:w="859" w:type="dxa"/>
            <w:vAlign w:val="center"/>
          </w:tcPr>
          <w:p>
            <w:pPr>
              <w:pStyle w:val="0"/>
              <w:jc w:val="center"/>
            </w:pPr>
            <w:r>
              <w:rPr>
                <w:sz w:val="20"/>
              </w:rPr>
              <w:t xml:space="preserve">4</w:t>
            </w:r>
          </w:p>
        </w:tc>
      </w:tr>
    </w:tbl>
    <w:p>
      <w:pPr>
        <w:pStyle w:val="0"/>
        <w:jc w:val="both"/>
      </w:pPr>
      <w:r>
        <w:rPr>
          <w:sz w:val="20"/>
        </w:rPr>
      </w:r>
    </w:p>
    <w:p>
      <w:pPr>
        <w:pStyle w:val="0"/>
        <w:ind w:firstLine="540"/>
        <w:jc w:val="both"/>
      </w:pPr>
      <w:r>
        <w:rPr>
          <w:sz w:val="20"/>
        </w:rPr>
        <w:t xml:space="preserve">26. В </w:t>
      </w:r>
      <w:hyperlink w:history="0" w:anchor="P1660" w:tooltip="Таблица N 4.8">
        <w:r>
          <w:rPr>
            <w:sz w:val="20"/>
            <w:color w:val="0000ff"/>
          </w:rPr>
          <w:t xml:space="preserve">таблице N 4.8</w:t>
        </w:r>
      </w:hyperlink>
      <w:r>
        <w:rPr>
          <w:sz w:val="20"/>
        </w:rPr>
        <w:t xml:space="preserve"> требуемая чувствительность приведена для канавочных эталонов. При использовании проволочных эталонов величину чувствительности 0,30; 0,60; 0,75 и 1,5 мм допускается заменять на 0,32; 0,63; 0,80 и 1,6 мм соответственно.</w:t>
      </w:r>
    </w:p>
    <w:p>
      <w:pPr>
        <w:pStyle w:val="0"/>
        <w:spacing w:before="200" w:line-rule="auto"/>
        <w:ind w:firstLine="540"/>
        <w:jc w:val="both"/>
      </w:pPr>
      <w:r>
        <w:rPr>
          <w:sz w:val="20"/>
        </w:rPr>
        <w:t xml:space="preserve">27. Нормы допустимых одиночных включений и скоплений для сварных соединений Iн и IIн категорий деталей и сборочных единиц из стали приведены в таблице N 4.9 настоящего приложения.</w:t>
      </w:r>
    </w:p>
    <w:p>
      <w:pPr>
        <w:pStyle w:val="0"/>
        <w:jc w:val="both"/>
      </w:pPr>
      <w:r>
        <w:rPr>
          <w:sz w:val="20"/>
        </w:rPr>
      </w:r>
    </w:p>
    <w:bookmarkStart w:id="2528" w:name="P2528"/>
    <w:bookmarkEnd w:id="2528"/>
    <w:p>
      <w:pPr>
        <w:pStyle w:val="0"/>
        <w:outlineLvl w:val="3"/>
        <w:jc w:val="right"/>
      </w:pPr>
      <w:r>
        <w:rPr>
          <w:sz w:val="20"/>
        </w:rPr>
        <w:t xml:space="preserve">Таблица N 4.9</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94"/>
        <w:gridCol w:w="1077"/>
        <w:gridCol w:w="1814"/>
        <w:gridCol w:w="1871"/>
        <w:gridCol w:w="1814"/>
      </w:tblGrid>
      <w:tr>
        <w:tc>
          <w:tcPr>
            <w:tcW w:w="2494" w:type="dxa"/>
          </w:tcPr>
          <w:p>
            <w:pPr>
              <w:pStyle w:val="0"/>
              <w:jc w:val="center"/>
            </w:pPr>
            <w:r>
              <w:rPr>
                <w:sz w:val="20"/>
              </w:rPr>
              <w:t xml:space="preserve">Номинальная толщина сваренных деталей в месте сварки, мм</w:t>
            </w:r>
          </w:p>
        </w:tc>
        <w:tc>
          <w:tcPr>
            <w:tcW w:w="1077" w:type="dxa"/>
          </w:tcPr>
          <w:p>
            <w:pPr>
              <w:pStyle w:val="0"/>
              <w:jc w:val="center"/>
            </w:pPr>
            <w:r>
              <w:rPr>
                <w:sz w:val="20"/>
              </w:rPr>
              <w:t xml:space="preserve">Требуемая чувствительность, мм</w:t>
            </w:r>
          </w:p>
        </w:tc>
        <w:tc>
          <w:tcPr>
            <w:tcW w:w="1814" w:type="dxa"/>
          </w:tcPr>
          <w:p>
            <w:pPr>
              <w:pStyle w:val="0"/>
              <w:jc w:val="center"/>
            </w:pPr>
            <w:r>
              <w:rPr>
                <w:sz w:val="20"/>
              </w:rPr>
              <w:t xml:space="preserve">Допустимый наибольший размер включения или скопления, мм</w:t>
            </w:r>
          </w:p>
        </w:tc>
        <w:tc>
          <w:tcPr>
            <w:tcW w:w="1871" w:type="dxa"/>
          </w:tcPr>
          <w:p>
            <w:pPr>
              <w:pStyle w:val="0"/>
              <w:jc w:val="center"/>
            </w:pPr>
            <w:r>
              <w:rPr>
                <w:sz w:val="20"/>
              </w:rPr>
              <w:t xml:space="preserve">Допустимое число включений и скоплений на любом участке сварного соединения длиной 100,0 мм, шт.</w:t>
            </w:r>
          </w:p>
        </w:tc>
        <w:tc>
          <w:tcPr>
            <w:tcW w:w="1814" w:type="dxa"/>
          </w:tcPr>
          <w:p>
            <w:pPr>
              <w:pStyle w:val="0"/>
              <w:jc w:val="center"/>
            </w:pPr>
            <w:r>
              <w:rPr>
                <w:sz w:val="20"/>
              </w:rPr>
              <w:t xml:space="preserve">Допустимая суммарная приведенная площадь включений и скоплений на любом участке сварного соединения длиной 100,0 мм, мм</w:t>
            </w:r>
            <w:r>
              <w:rPr>
                <w:sz w:val="20"/>
                <w:vertAlign w:val="superscript"/>
              </w:rPr>
              <w:t xml:space="preserve">2</w:t>
            </w:r>
          </w:p>
        </w:tc>
      </w:tr>
      <w:tr>
        <w:tc>
          <w:tcPr>
            <w:gridSpan w:val="5"/>
            <w:tcW w:w="9070" w:type="dxa"/>
          </w:tcPr>
          <w:p>
            <w:pPr>
              <w:pStyle w:val="0"/>
              <w:outlineLvl w:val="4"/>
              <w:jc w:val="center"/>
            </w:pPr>
            <w:r>
              <w:rPr>
                <w:sz w:val="20"/>
              </w:rPr>
              <w:t xml:space="preserve">Сварные соединения Iн категории</w:t>
            </w:r>
          </w:p>
        </w:tc>
      </w:tr>
      <w:tr>
        <w:tc>
          <w:tcPr>
            <w:tcW w:w="2494" w:type="dxa"/>
            <w:vAlign w:val="center"/>
          </w:tcPr>
          <w:p>
            <w:pPr>
              <w:pStyle w:val="0"/>
              <w:jc w:val="center"/>
            </w:pPr>
            <w:r>
              <w:rPr>
                <w:sz w:val="20"/>
              </w:rPr>
              <w:t xml:space="preserve">До 2,0 включительно</w:t>
            </w:r>
          </w:p>
        </w:tc>
        <w:tc>
          <w:tcPr>
            <w:tcW w:w="1077" w:type="dxa"/>
            <w:vAlign w:val="center"/>
          </w:tcPr>
          <w:p>
            <w:pPr>
              <w:pStyle w:val="0"/>
              <w:jc w:val="center"/>
            </w:pPr>
            <w:r>
              <w:rPr>
                <w:sz w:val="20"/>
              </w:rPr>
              <w:t xml:space="preserve">0,10</w:t>
            </w:r>
          </w:p>
        </w:tc>
        <w:tc>
          <w:tcPr>
            <w:tcW w:w="1814" w:type="dxa"/>
            <w:vAlign w:val="center"/>
          </w:tcPr>
          <w:p>
            <w:pPr>
              <w:pStyle w:val="0"/>
              <w:jc w:val="center"/>
            </w:pPr>
            <w:r>
              <w:rPr>
                <w:sz w:val="20"/>
              </w:rPr>
              <w:t xml:space="preserve">не допускаются</w:t>
            </w:r>
          </w:p>
        </w:tc>
        <w:tc>
          <w:tcPr>
            <w:tcW w:w="1871" w:type="dxa"/>
            <w:vAlign w:val="center"/>
          </w:tcPr>
          <w:p>
            <w:pPr>
              <w:pStyle w:val="0"/>
              <w:jc w:val="center"/>
            </w:pPr>
            <w:r>
              <w:rPr>
                <w:sz w:val="20"/>
              </w:rPr>
              <w:t xml:space="preserve">не допускаются</w:t>
            </w:r>
          </w:p>
        </w:tc>
        <w:tc>
          <w:tcPr>
            <w:tcW w:w="1814" w:type="dxa"/>
            <w:vAlign w:val="center"/>
          </w:tcPr>
          <w:p>
            <w:pPr>
              <w:pStyle w:val="0"/>
              <w:jc w:val="center"/>
            </w:pPr>
            <w:r>
              <w:rPr>
                <w:sz w:val="20"/>
              </w:rPr>
              <w:t xml:space="preserve">не допускаются</w:t>
            </w:r>
          </w:p>
        </w:tc>
      </w:tr>
      <w:tr>
        <w:tc>
          <w:tcPr>
            <w:tcW w:w="2494" w:type="dxa"/>
            <w:vAlign w:val="center"/>
          </w:tcPr>
          <w:p>
            <w:pPr>
              <w:pStyle w:val="0"/>
              <w:jc w:val="center"/>
            </w:pPr>
            <w:r>
              <w:rPr>
                <w:sz w:val="20"/>
              </w:rPr>
              <w:t xml:space="preserve">Более 2,0 до 3,0 включительно</w:t>
            </w:r>
          </w:p>
        </w:tc>
        <w:tc>
          <w:tcPr>
            <w:tcW w:w="1077" w:type="dxa"/>
            <w:vAlign w:val="center"/>
          </w:tcPr>
          <w:p>
            <w:pPr>
              <w:pStyle w:val="0"/>
              <w:jc w:val="center"/>
            </w:pPr>
            <w:r>
              <w:rPr>
                <w:sz w:val="20"/>
              </w:rPr>
              <w:t xml:space="preserve">0,10</w:t>
            </w:r>
          </w:p>
        </w:tc>
        <w:tc>
          <w:tcPr>
            <w:tcW w:w="1814" w:type="dxa"/>
            <w:vAlign w:val="center"/>
          </w:tcPr>
          <w:p>
            <w:pPr>
              <w:pStyle w:val="0"/>
              <w:jc w:val="center"/>
            </w:pPr>
            <w:r>
              <w:rPr>
                <w:sz w:val="20"/>
              </w:rPr>
              <w:t xml:space="preserve">не допускаются</w:t>
            </w:r>
          </w:p>
        </w:tc>
        <w:tc>
          <w:tcPr>
            <w:tcW w:w="1871" w:type="dxa"/>
            <w:vAlign w:val="center"/>
          </w:tcPr>
          <w:p>
            <w:pPr>
              <w:pStyle w:val="0"/>
              <w:jc w:val="center"/>
            </w:pPr>
            <w:r>
              <w:rPr>
                <w:sz w:val="20"/>
              </w:rPr>
              <w:t xml:space="preserve">не допускаются</w:t>
            </w:r>
          </w:p>
        </w:tc>
        <w:tc>
          <w:tcPr>
            <w:tcW w:w="1814" w:type="dxa"/>
            <w:vAlign w:val="center"/>
          </w:tcPr>
          <w:p>
            <w:pPr>
              <w:pStyle w:val="0"/>
              <w:jc w:val="center"/>
            </w:pPr>
            <w:r>
              <w:rPr>
                <w:sz w:val="20"/>
              </w:rPr>
              <w:t xml:space="preserve">не допускаются</w:t>
            </w:r>
          </w:p>
        </w:tc>
      </w:tr>
      <w:tr>
        <w:tc>
          <w:tcPr>
            <w:tcW w:w="2494" w:type="dxa"/>
            <w:vAlign w:val="center"/>
          </w:tcPr>
          <w:p>
            <w:pPr>
              <w:pStyle w:val="0"/>
              <w:jc w:val="center"/>
            </w:pPr>
            <w:r>
              <w:rPr>
                <w:sz w:val="20"/>
              </w:rPr>
              <w:t xml:space="preserve">Более 3,0 до 5,0 включительно</w:t>
            </w:r>
          </w:p>
        </w:tc>
        <w:tc>
          <w:tcPr>
            <w:tcW w:w="1077" w:type="dxa"/>
            <w:vAlign w:val="center"/>
          </w:tcPr>
          <w:p>
            <w:pPr>
              <w:pStyle w:val="0"/>
              <w:jc w:val="center"/>
            </w:pPr>
            <w:r>
              <w:rPr>
                <w:sz w:val="20"/>
              </w:rPr>
              <w:t xml:space="preserve">0,10</w:t>
            </w:r>
          </w:p>
        </w:tc>
        <w:tc>
          <w:tcPr>
            <w:tcW w:w="1814" w:type="dxa"/>
            <w:vAlign w:val="center"/>
          </w:tcPr>
          <w:p>
            <w:pPr>
              <w:pStyle w:val="0"/>
              <w:jc w:val="center"/>
            </w:pPr>
            <w:r>
              <w:rPr>
                <w:sz w:val="20"/>
              </w:rPr>
              <w:t xml:space="preserve">0,4</w:t>
            </w:r>
          </w:p>
        </w:tc>
        <w:tc>
          <w:tcPr>
            <w:tcW w:w="1871" w:type="dxa"/>
            <w:vAlign w:val="center"/>
          </w:tcPr>
          <w:p>
            <w:pPr>
              <w:pStyle w:val="0"/>
              <w:jc w:val="center"/>
            </w:pPr>
            <w:r>
              <w:rPr>
                <w:sz w:val="20"/>
              </w:rPr>
              <w:t xml:space="preserve">3</w:t>
            </w:r>
          </w:p>
        </w:tc>
        <w:tc>
          <w:tcPr>
            <w:tcW w:w="1814" w:type="dxa"/>
            <w:vAlign w:val="center"/>
          </w:tcPr>
          <w:p>
            <w:pPr>
              <w:pStyle w:val="0"/>
              <w:jc w:val="center"/>
            </w:pPr>
            <w:r>
              <w:rPr>
                <w:sz w:val="20"/>
              </w:rPr>
              <w:t xml:space="preserve">0,5</w:t>
            </w:r>
          </w:p>
        </w:tc>
      </w:tr>
      <w:tr>
        <w:tc>
          <w:tcPr>
            <w:tcW w:w="2494" w:type="dxa"/>
            <w:vAlign w:val="center"/>
          </w:tcPr>
          <w:p>
            <w:pPr>
              <w:pStyle w:val="0"/>
              <w:jc w:val="center"/>
            </w:pPr>
            <w:r>
              <w:rPr>
                <w:sz w:val="20"/>
              </w:rPr>
              <w:t xml:space="preserve">Более 5,0 до 8,0 включительно</w:t>
            </w:r>
          </w:p>
        </w:tc>
        <w:tc>
          <w:tcPr>
            <w:tcW w:w="1077" w:type="dxa"/>
            <w:vAlign w:val="center"/>
          </w:tcPr>
          <w:p>
            <w:pPr>
              <w:pStyle w:val="0"/>
              <w:jc w:val="center"/>
            </w:pPr>
            <w:r>
              <w:rPr>
                <w:sz w:val="20"/>
              </w:rPr>
              <w:t xml:space="preserve">0,20</w:t>
            </w:r>
          </w:p>
        </w:tc>
        <w:tc>
          <w:tcPr>
            <w:tcW w:w="1814" w:type="dxa"/>
            <w:vAlign w:val="center"/>
          </w:tcPr>
          <w:p>
            <w:pPr>
              <w:pStyle w:val="0"/>
              <w:jc w:val="center"/>
            </w:pPr>
            <w:r>
              <w:rPr>
                <w:sz w:val="20"/>
              </w:rPr>
              <w:t xml:space="preserve">0,5</w:t>
            </w:r>
          </w:p>
        </w:tc>
        <w:tc>
          <w:tcPr>
            <w:tcW w:w="1871" w:type="dxa"/>
            <w:vAlign w:val="center"/>
          </w:tcPr>
          <w:p>
            <w:pPr>
              <w:pStyle w:val="0"/>
              <w:jc w:val="center"/>
            </w:pPr>
            <w:r>
              <w:rPr>
                <w:sz w:val="20"/>
              </w:rPr>
              <w:t xml:space="preserve">3</w:t>
            </w:r>
          </w:p>
        </w:tc>
        <w:tc>
          <w:tcPr>
            <w:tcW w:w="1814" w:type="dxa"/>
            <w:vAlign w:val="center"/>
          </w:tcPr>
          <w:p>
            <w:pPr>
              <w:pStyle w:val="0"/>
              <w:jc w:val="center"/>
            </w:pPr>
            <w:r>
              <w:rPr>
                <w:sz w:val="20"/>
              </w:rPr>
              <w:t xml:space="preserve">1,0</w:t>
            </w:r>
          </w:p>
        </w:tc>
      </w:tr>
      <w:tr>
        <w:tc>
          <w:tcPr>
            <w:tcW w:w="2494" w:type="dxa"/>
            <w:vAlign w:val="center"/>
          </w:tcPr>
          <w:p>
            <w:pPr>
              <w:pStyle w:val="0"/>
              <w:jc w:val="center"/>
            </w:pPr>
            <w:r>
              <w:rPr>
                <w:sz w:val="20"/>
              </w:rPr>
              <w:t xml:space="preserve">Более 8,0 до 11,0 включительно</w:t>
            </w:r>
          </w:p>
        </w:tc>
        <w:tc>
          <w:tcPr>
            <w:tcW w:w="1077" w:type="dxa"/>
            <w:vAlign w:val="center"/>
          </w:tcPr>
          <w:p>
            <w:pPr>
              <w:pStyle w:val="0"/>
              <w:jc w:val="center"/>
            </w:pPr>
            <w:r>
              <w:rPr>
                <w:sz w:val="20"/>
              </w:rPr>
              <w:t xml:space="preserve">0,30</w:t>
            </w:r>
          </w:p>
        </w:tc>
        <w:tc>
          <w:tcPr>
            <w:tcW w:w="1814" w:type="dxa"/>
            <w:vAlign w:val="center"/>
          </w:tcPr>
          <w:p>
            <w:pPr>
              <w:pStyle w:val="0"/>
              <w:jc w:val="center"/>
            </w:pPr>
            <w:r>
              <w:rPr>
                <w:sz w:val="20"/>
              </w:rPr>
              <w:t xml:space="preserve">0,6</w:t>
            </w:r>
          </w:p>
        </w:tc>
        <w:tc>
          <w:tcPr>
            <w:tcW w:w="1871" w:type="dxa"/>
            <w:vAlign w:val="center"/>
          </w:tcPr>
          <w:p>
            <w:pPr>
              <w:pStyle w:val="0"/>
              <w:jc w:val="center"/>
            </w:pPr>
            <w:r>
              <w:rPr>
                <w:sz w:val="20"/>
              </w:rPr>
              <w:t xml:space="preserve">4</w:t>
            </w:r>
          </w:p>
        </w:tc>
        <w:tc>
          <w:tcPr>
            <w:tcW w:w="1814" w:type="dxa"/>
            <w:vAlign w:val="center"/>
          </w:tcPr>
          <w:p>
            <w:pPr>
              <w:pStyle w:val="0"/>
              <w:jc w:val="center"/>
            </w:pPr>
            <w:r>
              <w:rPr>
                <w:sz w:val="20"/>
              </w:rPr>
              <w:t xml:space="preserve">1,5</w:t>
            </w:r>
          </w:p>
        </w:tc>
      </w:tr>
      <w:tr>
        <w:tc>
          <w:tcPr>
            <w:tcW w:w="2494" w:type="dxa"/>
            <w:vAlign w:val="center"/>
          </w:tcPr>
          <w:p>
            <w:pPr>
              <w:pStyle w:val="0"/>
              <w:jc w:val="center"/>
            </w:pPr>
            <w:r>
              <w:rPr>
                <w:sz w:val="20"/>
              </w:rPr>
              <w:t xml:space="preserve">Более 11,0 до 14,0 включительно</w:t>
            </w:r>
          </w:p>
        </w:tc>
        <w:tc>
          <w:tcPr>
            <w:tcW w:w="1077" w:type="dxa"/>
            <w:vAlign w:val="center"/>
          </w:tcPr>
          <w:p>
            <w:pPr>
              <w:pStyle w:val="0"/>
              <w:jc w:val="center"/>
            </w:pPr>
            <w:r>
              <w:rPr>
                <w:sz w:val="20"/>
              </w:rPr>
              <w:t xml:space="preserve">0,30</w:t>
            </w:r>
          </w:p>
        </w:tc>
        <w:tc>
          <w:tcPr>
            <w:tcW w:w="1814" w:type="dxa"/>
            <w:vAlign w:val="center"/>
          </w:tcPr>
          <w:p>
            <w:pPr>
              <w:pStyle w:val="0"/>
              <w:jc w:val="center"/>
            </w:pPr>
            <w:r>
              <w:rPr>
                <w:sz w:val="20"/>
              </w:rPr>
              <w:t xml:space="preserve">0,8</w:t>
            </w:r>
          </w:p>
        </w:tc>
        <w:tc>
          <w:tcPr>
            <w:tcW w:w="1871" w:type="dxa"/>
            <w:vAlign w:val="center"/>
          </w:tcPr>
          <w:p>
            <w:pPr>
              <w:pStyle w:val="0"/>
              <w:jc w:val="center"/>
            </w:pPr>
            <w:r>
              <w:rPr>
                <w:sz w:val="20"/>
              </w:rPr>
              <w:t xml:space="preserve">4</w:t>
            </w:r>
          </w:p>
        </w:tc>
        <w:tc>
          <w:tcPr>
            <w:tcW w:w="1814" w:type="dxa"/>
            <w:vAlign w:val="center"/>
          </w:tcPr>
          <w:p>
            <w:pPr>
              <w:pStyle w:val="0"/>
              <w:jc w:val="center"/>
            </w:pPr>
            <w:r>
              <w:rPr>
                <w:sz w:val="20"/>
              </w:rPr>
              <w:t xml:space="preserve">2,0</w:t>
            </w:r>
          </w:p>
        </w:tc>
      </w:tr>
      <w:tr>
        <w:tc>
          <w:tcPr>
            <w:tcW w:w="2494" w:type="dxa"/>
            <w:vAlign w:val="center"/>
          </w:tcPr>
          <w:p>
            <w:pPr>
              <w:pStyle w:val="0"/>
              <w:jc w:val="center"/>
            </w:pPr>
            <w:r>
              <w:rPr>
                <w:sz w:val="20"/>
              </w:rPr>
              <w:t xml:space="preserve">Более 14,0 до 20,0 включительно</w:t>
            </w:r>
          </w:p>
        </w:tc>
        <w:tc>
          <w:tcPr>
            <w:tcW w:w="1077" w:type="dxa"/>
            <w:vAlign w:val="center"/>
          </w:tcPr>
          <w:p>
            <w:pPr>
              <w:pStyle w:val="0"/>
              <w:jc w:val="center"/>
            </w:pPr>
            <w:r>
              <w:rPr>
                <w:sz w:val="20"/>
              </w:rPr>
              <w:t xml:space="preserve">0,30</w:t>
            </w:r>
          </w:p>
        </w:tc>
        <w:tc>
          <w:tcPr>
            <w:tcW w:w="1814" w:type="dxa"/>
            <w:vAlign w:val="center"/>
          </w:tcPr>
          <w:p>
            <w:pPr>
              <w:pStyle w:val="0"/>
              <w:jc w:val="center"/>
            </w:pPr>
            <w:r>
              <w:rPr>
                <w:sz w:val="20"/>
              </w:rPr>
              <w:t xml:space="preserve">1,0</w:t>
            </w:r>
          </w:p>
        </w:tc>
        <w:tc>
          <w:tcPr>
            <w:tcW w:w="1871" w:type="dxa"/>
            <w:vAlign w:val="center"/>
          </w:tcPr>
          <w:p>
            <w:pPr>
              <w:pStyle w:val="0"/>
              <w:jc w:val="center"/>
            </w:pPr>
            <w:r>
              <w:rPr>
                <w:sz w:val="20"/>
              </w:rPr>
              <w:t xml:space="preserve">4</w:t>
            </w:r>
          </w:p>
        </w:tc>
        <w:tc>
          <w:tcPr>
            <w:tcW w:w="1814" w:type="dxa"/>
            <w:vAlign w:val="center"/>
          </w:tcPr>
          <w:p>
            <w:pPr>
              <w:pStyle w:val="0"/>
              <w:jc w:val="center"/>
            </w:pPr>
            <w:r>
              <w:rPr>
                <w:sz w:val="20"/>
              </w:rPr>
              <w:t xml:space="preserve">3,0</w:t>
            </w:r>
          </w:p>
        </w:tc>
      </w:tr>
      <w:tr>
        <w:tc>
          <w:tcPr>
            <w:tcW w:w="2494" w:type="dxa"/>
            <w:vAlign w:val="center"/>
          </w:tcPr>
          <w:p>
            <w:pPr>
              <w:pStyle w:val="0"/>
              <w:jc w:val="center"/>
            </w:pPr>
            <w:r>
              <w:rPr>
                <w:sz w:val="20"/>
              </w:rPr>
              <w:t xml:space="preserve">Более 20,0 до 26,0 включительно</w:t>
            </w:r>
          </w:p>
        </w:tc>
        <w:tc>
          <w:tcPr>
            <w:tcW w:w="1077" w:type="dxa"/>
            <w:vAlign w:val="center"/>
          </w:tcPr>
          <w:p>
            <w:pPr>
              <w:pStyle w:val="0"/>
              <w:jc w:val="center"/>
            </w:pPr>
            <w:r>
              <w:rPr>
                <w:sz w:val="20"/>
              </w:rPr>
              <w:t xml:space="preserve">0,40</w:t>
            </w:r>
          </w:p>
        </w:tc>
        <w:tc>
          <w:tcPr>
            <w:tcW w:w="1814" w:type="dxa"/>
            <w:vAlign w:val="center"/>
          </w:tcPr>
          <w:p>
            <w:pPr>
              <w:pStyle w:val="0"/>
              <w:jc w:val="center"/>
            </w:pPr>
            <w:r>
              <w:rPr>
                <w:sz w:val="20"/>
              </w:rPr>
              <w:t xml:space="preserve">1,2</w:t>
            </w:r>
          </w:p>
        </w:tc>
        <w:tc>
          <w:tcPr>
            <w:tcW w:w="1871" w:type="dxa"/>
            <w:vAlign w:val="center"/>
          </w:tcPr>
          <w:p>
            <w:pPr>
              <w:pStyle w:val="0"/>
              <w:jc w:val="center"/>
            </w:pPr>
            <w:r>
              <w:rPr>
                <w:sz w:val="20"/>
              </w:rPr>
              <w:t xml:space="preserve">4</w:t>
            </w:r>
          </w:p>
        </w:tc>
        <w:tc>
          <w:tcPr>
            <w:tcW w:w="1814" w:type="dxa"/>
            <w:vAlign w:val="center"/>
          </w:tcPr>
          <w:p>
            <w:pPr>
              <w:pStyle w:val="0"/>
              <w:jc w:val="center"/>
            </w:pPr>
            <w:r>
              <w:rPr>
                <w:sz w:val="20"/>
              </w:rPr>
              <w:t xml:space="preserve">4,5</w:t>
            </w:r>
          </w:p>
        </w:tc>
      </w:tr>
      <w:tr>
        <w:tc>
          <w:tcPr>
            <w:tcW w:w="2494" w:type="dxa"/>
            <w:vAlign w:val="center"/>
          </w:tcPr>
          <w:p>
            <w:pPr>
              <w:pStyle w:val="0"/>
              <w:jc w:val="center"/>
            </w:pPr>
            <w:r>
              <w:rPr>
                <w:sz w:val="20"/>
              </w:rPr>
              <w:t xml:space="preserve">Более 26,0 до 34,0 включительно</w:t>
            </w:r>
          </w:p>
        </w:tc>
        <w:tc>
          <w:tcPr>
            <w:tcW w:w="1077" w:type="dxa"/>
            <w:vAlign w:val="center"/>
          </w:tcPr>
          <w:p>
            <w:pPr>
              <w:pStyle w:val="0"/>
              <w:jc w:val="center"/>
            </w:pPr>
            <w:r>
              <w:rPr>
                <w:sz w:val="20"/>
              </w:rPr>
              <w:t xml:space="preserve">0,40</w:t>
            </w:r>
          </w:p>
        </w:tc>
        <w:tc>
          <w:tcPr>
            <w:tcW w:w="1814" w:type="dxa"/>
            <w:vAlign w:val="center"/>
          </w:tcPr>
          <w:p>
            <w:pPr>
              <w:pStyle w:val="0"/>
              <w:jc w:val="center"/>
            </w:pPr>
            <w:r>
              <w:rPr>
                <w:sz w:val="20"/>
              </w:rPr>
              <w:t xml:space="preserve">1,6</w:t>
            </w:r>
          </w:p>
        </w:tc>
        <w:tc>
          <w:tcPr>
            <w:tcW w:w="1871" w:type="dxa"/>
            <w:vAlign w:val="center"/>
          </w:tcPr>
          <w:p>
            <w:pPr>
              <w:pStyle w:val="0"/>
              <w:jc w:val="center"/>
            </w:pPr>
            <w:r>
              <w:rPr>
                <w:sz w:val="20"/>
              </w:rPr>
              <w:t xml:space="preserve">4</w:t>
            </w:r>
          </w:p>
        </w:tc>
        <w:tc>
          <w:tcPr>
            <w:tcW w:w="1814" w:type="dxa"/>
            <w:vAlign w:val="center"/>
          </w:tcPr>
          <w:p>
            <w:pPr>
              <w:pStyle w:val="0"/>
              <w:jc w:val="center"/>
            </w:pPr>
            <w:r>
              <w:rPr>
                <w:sz w:val="20"/>
              </w:rPr>
              <w:t xml:space="preserve">7,0</w:t>
            </w:r>
          </w:p>
        </w:tc>
      </w:tr>
      <w:tr>
        <w:tc>
          <w:tcPr>
            <w:tcW w:w="2494" w:type="dxa"/>
            <w:vAlign w:val="center"/>
          </w:tcPr>
          <w:p>
            <w:pPr>
              <w:pStyle w:val="0"/>
              <w:jc w:val="center"/>
            </w:pPr>
            <w:r>
              <w:rPr>
                <w:sz w:val="20"/>
              </w:rPr>
              <w:t xml:space="preserve">Более 34,0 до 45,0 включительно</w:t>
            </w:r>
          </w:p>
        </w:tc>
        <w:tc>
          <w:tcPr>
            <w:tcW w:w="1077" w:type="dxa"/>
            <w:vAlign w:val="center"/>
          </w:tcPr>
          <w:p>
            <w:pPr>
              <w:pStyle w:val="0"/>
              <w:jc w:val="center"/>
            </w:pPr>
            <w:r>
              <w:rPr>
                <w:sz w:val="20"/>
              </w:rPr>
              <w:t xml:space="preserve">0,50</w:t>
            </w:r>
          </w:p>
        </w:tc>
        <w:tc>
          <w:tcPr>
            <w:tcW w:w="1814" w:type="dxa"/>
            <w:vAlign w:val="center"/>
          </w:tcPr>
          <w:p>
            <w:pPr>
              <w:pStyle w:val="0"/>
              <w:jc w:val="center"/>
            </w:pPr>
            <w:r>
              <w:rPr>
                <w:sz w:val="20"/>
              </w:rPr>
              <w:t xml:space="preserve">2,0</w:t>
            </w:r>
          </w:p>
        </w:tc>
        <w:tc>
          <w:tcPr>
            <w:tcW w:w="1871" w:type="dxa"/>
            <w:vAlign w:val="center"/>
          </w:tcPr>
          <w:p>
            <w:pPr>
              <w:pStyle w:val="0"/>
              <w:jc w:val="center"/>
            </w:pPr>
            <w:r>
              <w:rPr>
                <w:sz w:val="20"/>
              </w:rPr>
              <w:t xml:space="preserve">5</w:t>
            </w:r>
          </w:p>
        </w:tc>
        <w:tc>
          <w:tcPr>
            <w:tcW w:w="1814" w:type="dxa"/>
            <w:vAlign w:val="center"/>
          </w:tcPr>
          <w:p>
            <w:pPr>
              <w:pStyle w:val="0"/>
              <w:jc w:val="center"/>
            </w:pPr>
            <w:r>
              <w:rPr>
                <w:sz w:val="20"/>
              </w:rPr>
              <w:t xml:space="preserve">12,0</w:t>
            </w:r>
          </w:p>
        </w:tc>
      </w:tr>
      <w:tr>
        <w:tc>
          <w:tcPr>
            <w:tcW w:w="2494" w:type="dxa"/>
            <w:vAlign w:val="center"/>
          </w:tcPr>
          <w:p>
            <w:pPr>
              <w:pStyle w:val="0"/>
              <w:jc w:val="center"/>
            </w:pPr>
            <w:r>
              <w:rPr>
                <w:sz w:val="20"/>
              </w:rPr>
              <w:t xml:space="preserve">Более 45,0 до 67,0 включительно</w:t>
            </w:r>
          </w:p>
        </w:tc>
        <w:tc>
          <w:tcPr>
            <w:tcW w:w="1077" w:type="dxa"/>
            <w:vAlign w:val="center"/>
          </w:tcPr>
          <w:p>
            <w:pPr>
              <w:pStyle w:val="0"/>
              <w:jc w:val="center"/>
            </w:pPr>
            <w:r>
              <w:rPr>
                <w:sz w:val="20"/>
              </w:rPr>
              <w:t xml:space="preserve">0,60</w:t>
            </w:r>
          </w:p>
        </w:tc>
        <w:tc>
          <w:tcPr>
            <w:tcW w:w="1814" w:type="dxa"/>
            <w:vAlign w:val="center"/>
          </w:tcPr>
          <w:p>
            <w:pPr>
              <w:pStyle w:val="0"/>
              <w:jc w:val="center"/>
            </w:pPr>
            <w:r>
              <w:rPr>
                <w:sz w:val="20"/>
              </w:rPr>
              <w:t xml:space="preserve">2,5</w:t>
            </w:r>
          </w:p>
        </w:tc>
        <w:tc>
          <w:tcPr>
            <w:tcW w:w="1871" w:type="dxa"/>
            <w:vAlign w:val="center"/>
          </w:tcPr>
          <w:p>
            <w:pPr>
              <w:pStyle w:val="0"/>
              <w:jc w:val="center"/>
            </w:pPr>
            <w:r>
              <w:rPr>
                <w:sz w:val="20"/>
              </w:rPr>
              <w:t xml:space="preserve">5</w:t>
            </w:r>
          </w:p>
        </w:tc>
        <w:tc>
          <w:tcPr>
            <w:tcW w:w="1814" w:type="dxa"/>
            <w:vAlign w:val="center"/>
          </w:tcPr>
          <w:p>
            <w:pPr>
              <w:pStyle w:val="0"/>
              <w:jc w:val="center"/>
            </w:pPr>
            <w:r>
              <w:rPr>
                <w:sz w:val="20"/>
              </w:rPr>
              <w:t xml:space="preserve">20,0</w:t>
            </w:r>
          </w:p>
        </w:tc>
      </w:tr>
      <w:tr>
        <w:tc>
          <w:tcPr>
            <w:tcW w:w="2494" w:type="dxa"/>
            <w:vAlign w:val="center"/>
          </w:tcPr>
          <w:p>
            <w:pPr>
              <w:pStyle w:val="0"/>
              <w:jc w:val="center"/>
            </w:pPr>
            <w:r>
              <w:rPr>
                <w:sz w:val="20"/>
              </w:rPr>
              <w:t xml:space="preserve">Более 67,0 до 90,0 включительно</w:t>
            </w:r>
          </w:p>
        </w:tc>
        <w:tc>
          <w:tcPr>
            <w:tcW w:w="1077" w:type="dxa"/>
            <w:vAlign w:val="center"/>
          </w:tcPr>
          <w:p>
            <w:pPr>
              <w:pStyle w:val="0"/>
              <w:jc w:val="center"/>
            </w:pPr>
            <w:r>
              <w:rPr>
                <w:sz w:val="20"/>
              </w:rPr>
              <w:t xml:space="preserve">1,00</w:t>
            </w:r>
          </w:p>
        </w:tc>
        <w:tc>
          <w:tcPr>
            <w:tcW w:w="1814" w:type="dxa"/>
            <w:vAlign w:val="center"/>
          </w:tcPr>
          <w:p>
            <w:pPr>
              <w:pStyle w:val="0"/>
              <w:jc w:val="center"/>
            </w:pPr>
            <w:r>
              <w:rPr>
                <w:sz w:val="20"/>
              </w:rPr>
              <w:t xml:space="preserve">3,0</w:t>
            </w:r>
          </w:p>
        </w:tc>
        <w:tc>
          <w:tcPr>
            <w:tcW w:w="1871" w:type="dxa"/>
            <w:vAlign w:val="center"/>
          </w:tcPr>
          <w:p>
            <w:pPr>
              <w:pStyle w:val="0"/>
              <w:jc w:val="center"/>
            </w:pPr>
            <w:r>
              <w:rPr>
                <w:sz w:val="20"/>
              </w:rPr>
              <w:t xml:space="preserve">5</w:t>
            </w:r>
          </w:p>
        </w:tc>
        <w:tc>
          <w:tcPr>
            <w:tcW w:w="1814" w:type="dxa"/>
            <w:vAlign w:val="center"/>
          </w:tcPr>
          <w:p>
            <w:pPr>
              <w:pStyle w:val="0"/>
              <w:jc w:val="center"/>
            </w:pPr>
            <w:r>
              <w:rPr>
                <w:sz w:val="20"/>
              </w:rPr>
              <w:t xml:space="preserve">27,0</w:t>
            </w:r>
          </w:p>
        </w:tc>
      </w:tr>
      <w:tr>
        <w:tc>
          <w:tcPr>
            <w:tcW w:w="2494" w:type="dxa"/>
            <w:vAlign w:val="center"/>
          </w:tcPr>
          <w:p>
            <w:pPr>
              <w:pStyle w:val="0"/>
              <w:jc w:val="center"/>
            </w:pPr>
            <w:r>
              <w:rPr>
                <w:sz w:val="20"/>
              </w:rPr>
              <w:t xml:space="preserve">Более 90,0 до 120,0 включительно</w:t>
            </w:r>
          </w:p>
        </w:tc>
        <w:tc>
          <w:tcPr>
            <w:tcW w:w="1077" w:type="dxa"/>
            <w:vAlign w:val="center"/>
          </w:tcPr>
          <w:p>
            <w:pPr>
              <w:pStyle w:val="0"/>
              <w:jc w:val="center"/>
            </w:pPr>
            <w:r>
              <w:rPr>
                <w:sz w:val="20"/>
              </w:rPr>
              <w:t xml:space="preserve">1,25</w:t>
            </w:r>
          </w:p>
        </w:tc>
        <w:tc>
          <w:tcPr>
            <w:tcW w:w="1814" w:type="dxa"/>
            <w:vAlign w:val="center"/>
          </w:tcPr>
          <w:p>
            <w:pPr>
              <w:pStyle w:val="0"/>
              <w:jc w:val="center"/>
            </w:pPr>
            <w:r>
              <w:rPr>
                <w:sz w:val="20"/>
              </w:rPr>
              <w:t xml:space="preserve">4,0</w:t>
            </w:r>
          </w:p>
        </w:tc>
        <w:tc>
          <w:tcPr>
            <w:tcW w:w="1871" w:type="dxa"/>
            <w:vAlign w:val="center"/>
          </w:tcPr>
          <w:p>
            <w:pPr>
              <w:pStyle w:val="0"/>
              <w:jc w:val="center"/>
            </w:pPr>
            <w:r>
              <w:rPr>
                <w:sz w:val="20"/>
              </w:rPr>
              <w:t xml:space="preserve">5</w:t>
            </w:r>
          </w:p>
        </w:tc>
        <w:tc>
          <w:tcPr>
            <w:tcW w:w="1814" w:type="dxa"/>
            <w:vAlign w:val="center"/>
          </w:tcPr>
          <w:p>
            <w:pPr>
              <w:pStyle w:val="0"/>
              <w:jc w:val="center"/>
            </w:pPr>
            <w:r>
              <w:rPr>
                <w:sz w:val="20"/>
              </w:rPr>
              <w:t xml:space="preserve">45,0</w:t>
            </w:r>
          </w:p>
        </w:tc>
      </w:tr>
      <w:tr>
        <w:tc>
          <w:tcPr>
            <w:tcW w:w="2494" w:type="dxa"/>
            <w:vAlign w:val="center"/>
          </w:tcPr>
          <w:p>
            <w:pPr>
              <w:pStyle w:val="0"/>
              <w:jc w:val="center"/>
            </w:pPr>
            <w:r>
              <w:rPr>
                <w:sz w:val="20"/>
              </w:rPr>
              <w:t xml:space="preserve">Более 120,0 до 200,0 включительно</w:t>
            </w:r>
          </w:p>
        </w:tc>
        <w:tc>
          <w:tcPr>
            <w:tcW w:w="1077" w:type="dxa"/>
            <w:vAlign w:val="center"/>
          </w:tcPr>
          <w:p>
            <w:pPr>
              <w:pStyle w:val="0"/>
              <w:jc w:val="center"/>
            </w:pPr>
            <w:r>
              <w:rPr>
                <w:sz w:val="20"/>
              </w:rPr>
              <w:t xml:space="preserve">1,50</w:t>
            </w:r>
          </w:p>
        </w:tc>
        <w:tc>
          <w:tcPr>
            <w:tcW w:w="1814" w:type="dxa"/>
            <w:vAlign w:val="center"/>
          </w:tcPr>
          <w:p>
            <w:pPr>
              <w:pStyle w:val="0"/>
              <w:jc w:val="center"/>
            </w:pPr>
            <w:r>
              <w:rPr>
                <w:sz w:val="20"/>
              </w:rPr>
              <w:t xml:space="preserve">5,0</w:t>
            </w:r>
          </w:p>
        </w:tc>
        <w:tc>
          <w:tcPr>
            <w:tcW w:w="1871" w:type="dxa"/>
            <w:vAlign w:val="center"/>
          </w:tcPr>
          <w:p>
            <w:pPr>
              <w:pStyle w:val="0"/>
              <w:jc w:val="center"/>
            </w:pPr>
            <w:r>
              <w:rPr>
                <w:sz w:val="20"/>
              </w:rPr>
              <w:t xml:space="preserve">5</w:t>
            </w:r>
          </w:p>
        </w:tc>
        <w:tc>
          <w:tcPr>
            <w:tcW w:w="1814" w:type="dxa"/>
            <w:vAlign w:val="center"/>
          </w:tcPr>
          <w:p>
            <w:pPr>
              <w:pStyle w:val="0"/>
              <w:jc w:val="center"/>
            </w:pPr>
            <w:r>
              <w:rPr>
                <w:sz w:val="20"/>
              </w:rPr>
              <w:t xml:space="preserve">75,0</w:t>
            </w:r>
          </w:p>
        </w:tc>
      </w:tr>
      <w:tr>
        <w:tc>
          <w:tcPr>
            <w:tcW w:w="2494" w:type="dxa"/>
            <w:vAlign w:val="center"/>
          </w:tcPr>
          <w:p>
            <w:pPr>
              <w:pStyle w:val="0"/>
              <w:jc w:val="center"/>
            </w:pPr>
            <w:r>
              <w:rPr>
                <w:sz w:val="20"/>
              </w:rPr>
              <w:t xml:space="preserve">Более 200,0</w:t>
            </w:r>
          </w:p>
        </w:tc>
        <w:tc>
          <w:tcPr>
            <w:tcW w:w="1077" w:type="dxa"/>
            <w:vAlign w:val="center"/>
          </w:tcPr>
          <w:p>
            <w:pPr>
              <w:pStyle w:val="0"/>
              <w:jc w:val="center"/>
            </w:pPr>
            <w:r>
              <w:rPr>
                <w:sz w:val="20"/>
              </w:rPr>
              <w:t xml:space="preserve">2,00</w:t>
            </w:r>
          </w:p>
        </w:tc>
        <w:tc>
          <w:tcPr>
            <w:tcW w:w="1814" w:type="dxa"/>
            <w:vAlign w:val="center"/>
          </w:tcPr>
          <w:p>
            <w:pPr>
              <w:pStyle w:val="0"/>
              <w:jc w:val="center"/>
            </w:pPr>
            <w:r>
              <w:rPr>
                <w:sz w:val="20"/>
              </w:rPr>
              <w:t xml:space="preserve">5,0</w:t>
            </w:r>
          </w:p>
        </w:tc>
        <w:tc>
          <w:tcPr>
            <w:tcW w:w="1871" w:type="dxa"/>
            <w:vAlign w:val="center"/>
          </w:tcPr>
          <w:p>
            <w:pPr>
              <w:pStyle w:val="0"/>
              <w:jc w:val="center"/>
            </w:pPr>
            <w:r>
              <w:rPr>
                <w:sz w:val="20"/>
              </w:rPr>
              <w:t xml:space="preserve">7</w:t>
            </w:r>
          </w:p>
        </w:tc>
        <w:tc>
          <w:tcPr>
            <w:tcW w:w="1814" w:type="dxa"/>
            <w:vAlign w:val="center"/>
          </w:tcPr>
          <w:p>
            <w:pPr>
              <w:pStyle w:val="0"/>
              <w:jc w:val="center"/>
            </w:pPr>
            <w:r>
              <w:rPr>
                <w:sz w:val="20"/>
              </w:rPr>
              <w:t xml:space="preserve">125,0</w:t>
            </w:r>
          </w:p>
        </w:tc>
      </w:tr>
      <w:tr>
        <w:tc>
          <w:tcPr>
            <w:gridSpan w:val="5"/>
            <w:tcW w:w="9070" w:type="dxa"/>
          </w:tcPr>
          <w:p>
            <w:pPr>
              <w:pStyle w:val="0"/>
              <w:outlineLvl w:val="4"/>
              <w:jc w:val="center"/>
            </w:pPr>
            <w:r>
              <w:rPr>
                <w:sz w:val="20"/>
              </w:rPr>
              <w:t xml:space="preserve">Сварные соединения IIн категории</w:t>
            </w:r>
          </w:p>
        </w:tc>
      </w:tr>
      <w:tr>
        <w:tc>
          <w:tcPr>
            <w:tcW w:w="2494" w:type="dxa"/>
          </w:tcPr>
          <w:p>
            <w:pPr>
              <w:pStyle w:val="0"/>
              <w:jc w:val="center"/>
            </w:pPr>
            <w:r>
              <w:rPr>
                <w:sz w:val="20"/>
              </w:rPr>
              <w:t xml:space="preserve">До 2,0 включительно </w:t>
            </w:r>
            <w:hyperlink w:history="0" w:anchor="P2687" w:tooltip="Примечание. &lt;1&gt; Для сварных соединений вварки труб в трубные доски категорий Iн, IIна с номинальным диаметром трубы Dн  16,0 мм нормы устанавливаются в конструкторской документации.">
              <w:r>
                <w:rPr>
                  <w:sz w:val="20"/>
                  <w:color w:val="0000ff"/>
                </w:rPr>
                <w:t xml:space="preserve">&lt;1&gt;</w:t>
              </w:r>
            </w:hyperlink>
          </w:p>
        </w:tc>
        <w:tc>
          <w:tcPr>
            <w:tcW w:w="1077" w:type="dxa"/>
          </w:tcPr>
          <w:p>
            <w:pPr>
              <w:pStyle w:val="0"/>
              <w:jc w:val="center"/>
            </w:pPr>
            <w:r>
              <w:rPr>
                <w:sz w:val="20"/>
              </w:rPr>
              <w:t xml:space="preserve">0,10</w:t>
            </w:r>
          </w:p>
        </w:tc>
        <w:tc>
          <w:tcPr>
            <w:tcW w:w="1814" w:type="dxa"/>
          </w:tcPr>
          <w:p>
            <w:pPr>
              <w:pStyle w:val="0"/>
              <w:jc w:val="center"/>
            </w:pPr>
            <w:r>
              <w:rPr>
                <w:sz w:val="20"/>
              </w:rPr>
              <w:t xml:space="preserve">не допускаются</w:t>
            </w:r>
          </w:p>
        </w:tc>
        <w:tc>
          <w:tcPr>
            <w:tcW w:w="1871" w:type="dxa"/>
          </w:tcPr>
          <w:p>
            <w:pPr>
              <w:pStyle w:val="0"/>
              <w:jc w:val="center"/>
            </w:pPr>
            <w:r>
              <w:rPr>
                <w:sz w:val="20"/>
              </w:rPr>
              <w:t xml:space="preserve">не допускаются</w:t>
            </w:r>
          </w:p>
        </w:tc>
        <w:tc>
          <w:tcPr>
            <w:tcW w:w="1814" w:type="dxa"/>
          </w:tcPr>
          <w:p>
            <w:pPr>
              <w:pStyle w:val="0"/>
              <w:jc w:val="center"/>
            </w:pPr>
            <w:r>
              <w:rPr>
                <w:sz w:val="20"/>
              </w:rPr>
              <w:t xml:space="preserve">не допускаются</w:t>
            </w:r>
          </w:p>
        </w:tc>
      </w:tr>
      <w:tr>
        <w:tc>
          <w:tcPr>
            <w:tcW w:w="2494" w:type="dxa"/>
            <w:vAlign w:val="center"/>
          </w:tcPr>
          <w:p>
            <w:pPr>
              <w:pStyle w:val="0"/>
              <w:jc w:val="center"/>
            </w:pPr>
            <w:r>
              <w:rPr>
                <w:sz w:val="20"/>
              </w:rPr>
              <w:t xml:space="preserve">Более 2,0 до 3,0 включительно </w:t>
            </w:r>
            <w:hyperlink w:history="0" w:anchor="P2687" w:tooltip="Примечание. &lt;1&gt; Для сварных соединений вварки труб в трубные доски категорий Iн, IIна с номинальным диаметром трубы Dн  16,0 мм нормы устанавливаются в конструкторской документации.">
              <w:r>
                <w:rPr>
                  <w:sz w:val="20"/>
                  <w:color w:val="0000ff"/>
                </w:rPr>
                <w:t xml:space="preserve">&lt;1&gt;</w:t>
              </w:r>
            </w:hyperlink>
          </w:p>
        </w:tc>
        <w:tc>
          <w:tcPr>
            <w:tcW w:w="1077" w:type="dxa"/>
            <w:vAlign w:val="center"/>
          </w:tcPr>
          <w:p>
            <w:pPr>
              <w:pStyle w:val="0"/>
              <w:jc w:val="center"/>
            </w:pPr>
            <w:r>
              <w:rPr>
                <w:sz w:val="20"/>
              </w:rPr>
              <w:t xml:space="preserve">0,10</w:t>
            </w:r>
          </w:p>
        </w:tc>
        <w:tc>
          <w:tcPr>
            <w:tcW w:w="1814" w:type="dxa"/>
            <w:vAlign w:val="center"/>
          </w:tcPr>
          <w:p>
            <w:pPr>
              <w:pStyle w:val="0"/>
              <w:jc w:val="center"/>
            </w:pPr>
            <w:r>
              <w:rPr>
                <w:sz w:val="20"/>
              </w:rPr>
              <w:t xml:space="preserve">0,4</w:t>
            </w:r>
          </w:p>
        </w:tc>
        <w:tc>
          <w:tcPr>
            <w:tcW w:w="1871" w:type="dxa"/>
            <w:vAlign w:val="center"/>
          </w:tcPr>
          <w:p>
            <w:pPr>
              <w:pStyle w:val="0"/>
              <w:jc w:val="center"/>
            </w:pPr>
            <w:r>
              <w:rPr>
                <w:sz w:val="20"/>
              </w:rPr>
              <w:t xml:space="preserve">5</w:t>
            </w:r>
          </w:p>
        </w:tc>
        <w:tc>
          <w:tcPr>
            <w:tcW w:w="1814" w:type="dxa"/>
            <w:vAlign w:val="center"/>
          </w:tcPr>
          <w:p>
            <w:pPr>
              <w:pStyle w:val="0"/>
              <w:jc w:val="center"/>
            </w:pPr>
            <w:r>
              <w:rPr>
                <w:sz w:val="20"/>
              </w:rPr>
              <w:t xml:space="preserve">0,6</w:t>
            </w:r>
          </w:p>
        </w:tc>
      </w:tr>
      <w:tr>
        <w:tc>
          <w:tcPr>
            <w:tcW w:w="2494" w:type="dxa"/>
            <w:vAlign w:val="center"/>
          </w:tcPr>
          <w:p>
            <w:pPr>
              <w:pStyle w:val="0"/>
              <w:jc w:val="center"/>
            </w:pPr>
            <w:r>
              <w:rPr>
                <w:sz w:val="20"/>
              </w:rPr>
              <w:t xml:space="preserve">Более 3,0 до 5,0 включительно</w:t>
            </w:r>
          </w:p>
        </w:tc>
        <w:tc>
          <w:tcPr>
            <w:tcW w:w="1077" w:type="dxa"/>
            <w:vAlign w:val="center"/>
          </w:tcPr>
          <w:p>
            <w:pPr>
              <w:pStyle w:val="0"/>
              <w:jc w:val="center"/>
            </w:pPr>
            <w:r>
              <w:rPr>
                <w:sz w:val="20"/>
              </w:rPr>
              <w:t xml:space="preserve">0,20</w:t>
            </w:r>
          </w:p>
        </w:tc>
        <w:tc>
          <w:tcPr>
            <w:tcW w:w="1814" w:type="dxa"/>
            <w:vAlign w:val="center"/>
          </w:tcPr>
          <w:p>
            <w:pPr>
              <w:pStyle w:val="0"/>
              <w:jc w:val="center"/>
            </w:pPr>
            <w:r>
              <w:rPr>
                <w:sz w:val="20"/>
              </w:rPr>
              <w:t xml:space="preserve">0,5</w:t>
            </w:r>
          </w:p>
        </w:tc>
        <w:tc>
          <w:tcPr>
            <w:tcW w:w="1871" w:type="dxa"/>
            <w:vAlign w:val="center"/>
          </w:tcPr>
          <w:p>
            <w:pPr>
              <w:pStyle w:val="0"/>
              <w:jc w:val="center"/>
            </w:pPr>
            <w:r>
              <w:rPr>
                <w:sz w:val="20"/>
              </w:rPr>
              <w:t xml:space="preserve">5</w:t>
            </w:r>
          </w:p>
        </w:tc>
        <w:tc>
          <w:tcPr>
            <w:tcW w:w="1814" w:type="dxa"/>
            <w:vAlign w:val="center"/>
          </w:tcPr>
          <w:p>
            <w:pPr>
              <w:pStyle w:val="0"/>
              <w:jc w:val="center"/>
            </w:pPr>
            <w:r>
              <w:rPr>
                <w:sz w:val="20"/>
              </w:rPr>
              <w:t xml:space="preserve">1,0</w:t>
            </w:r>
          </w:p>
        </w:tc>
      </w:tr>
      <w:tr>
        <w:tc>
          <w:tcPr>
            <w:tcW w:w="2494" w:type="dxa"/>
            <w:vAlign w:val="center"/>
          </w:tcPr>
          <w:p>
            <w:pPr>
              <w:pStyle w:val="0"/>
              <w:jc w:val="center"/>
            </w:pPr>
            <w:r>
              <w:rPr>
                <w:sz w:val="20"/>
              </w:rPr>
              <w:t xml:space="preserve">Более 5,0 до 8,0 включительно</w:t>
            </w:r>
          </w:p>
        </w:tc>
        <w:tc>
          <w:tcPr>
            <w:tcW w:w="1077" w:type="dxa"/>
            <w:vAlign w:val="center"/>
          </w:tcPr>
          <w:p>
            <w:pPr>
              <w:pStyle w:val="0"/>
              <w:jc w:val="center"/>
            </w:pPr>
            <w:r>
              <w:rPr>
                <w:sz w:val="20"/>
              </w:rPr>
              <w:t xml:space="preserve">0,20</w:t>
            </w:r>
          </w:p>
        </w:tc>
        <w:tc>
          <w:tcPr>
            <w:tcW w:w="1814" w:type="dxa"/>
            <w:vAlign w:val="center"/>
          </w:tcPr>
          <w:p>
            <w:pPr>
              <w:pStyle w:val="0"/>
              <w:jc w:val="center"/>
            </w:pPr>
            <w:r>
              <w:rPr>
                <w:sz w:val="20"/>
              </w:rPr>
              <w:t xml:space="preserve">0,6</w:t>
            </w:r>
          </w:p>
        </w:tc>
        <w:tc>
          <w:tcPr>
            <w:tcW w:w="1871" w:type="dxa"/>
            <w:vAlign w:val="center"/>
          </w:tcPr>
          <w:p>
            <w:pPr>
              <w:pStyle w:val="0"/>
              <w:jc w:val="center"/>
            </w:pPr>
            <w:r>
              <w:rPr>
                <w:sz w:val="20"/>
              </w:rPr>
              <w:t xml:space="preserve">5</w:t>
            </w:r>
          </w:p>
        </w:tc>
        <w:tc>
          <w:tcPr>
            <w:tcW w:w="1814" w:type="dxa"/>
            <w:vAlign w:val="center"/>
          </w:tcPr>
          <w:p>
            <w:pPr>
              <w:pStyle w:val="0"/>
              <w:jc w:val="center"/>
            </w:pPr>
            <w:r>
              <w:rPr>
                <w:sz w:val="20"/>
              </w:rPr>
              <w:t xml:space="preserve">1,5</w:t>
            </w:r>
          </w:p>
        </w:tc>
      </w:tr>
      <w:tr>
        <w:tc>
          <w:tcPr>
            <w:tcW w:w="2494" w:type="dxa"/>
            <w:vAlign w:val="center"/>
          </w:tcPr>
          <w:p>
            <w:pPr>
              <w:pStyle w:val="0"/>
              <w:jc w:val="center"/>
            </w:pPr>
            <w:r>
              <w:rPr>
                <w:sz w:val="20"/>
              </w:rPr>
              <w:t xml:space="preserve">Более 8,0 до 11,0 включительно</w:t>
            </w:r>
          </w:p>
        </w:tc>
        <w:tc>
          <w:tcPr>
            <w:tcW w:w="1077" w:type="dxa"/>
            <w:vAlign w:val="center"/>
          </w:tcPr>
          <w:p>
            <w:pPr>
              <w:pStyle w:val="0"/>
              <w:jc w:val="center"/>
            </w:pPr>
            <w:r>
              <w:rPr>
                <w:sz w:val="20"/>
              </w:rPr>
              <w:t xml:space="preserve">0,20</w:t>
            </w:r>
          </w:p>
        </w:tc>
        <w:tc>
          <w:tcPr>
            <w:tcW w:w="1814" w:type="dxa"/>
            <w:vAlign w:val="center"/>
          </w:tcPr>
          <w:p>
            <w:pPr>
              <w:pStyle w:val="0"/>
              <w:jc w:val="center"/>
            </w:pPr>
            <w:r>
              <w:rPr>
                <w:sz w:val="20"/>
              </w:rPr>
              <w:t xml:space="preserve">0,8</w:t>
            </w:r>
          </w:p>
        </w:tc>
        <w:tc>
          <w:tcPr>
            <w:tcW w:w="1871" w:type="dxa"/>
            <w:vAlign w:val="center"/>
          </w:tcPr>
          <w:p>
            <w:pPr>
              <w:pStyle w:val="0"/>
              <w:jc w:val="center"/>
            </w:pPr>
            <w:r>
              <w:rPr>
                <w:sz w:val="20"/>
              </w:rPr>
              <w:t xml:space="preserve">5</w:t>
            </w:r>
          </w:p>
        </w:tc>
        <w:tc>
          <w:tcPr>
            <w:tcW w:w="1814" w:type="dxa"/>
            <w:vAlign w:val="center"/>
          </w:tcPr>
          <w:p>
            <w:pPr>
              <w:pStyle w:val="0"/>
              <w:jc w:val="center"/>
            </w:pPr>
            <w:r>
              <w:rPr>
                <w:sz w:val="20"/>
              </w:rPr>
              <w:t xml:space="preserve">2,5</w:t>
            </w:r>
          </w:p>
        </w:tc>
      </w:tr>
      <w:tr>
        <w:tc>
          <w:tcPr>
            <w:tcW w:w="2494" w:type="dxa"/>
            <w:vAlign w:val="center"/>
          </w:tcPr>
          <w:p>
            <w:pPr>
              <w:pStyle w:val="0"/>
              <w:jc w:val="center"/>
            </w:pPr>
            <w:r>
              <w:rPr>
                <w:sz w:val="20"/>
              </w:rPr>
              <w:t xml:space="preserve">Более 11,0 до 14,0 включительно</w:t>
            </w:r>
          </w:p>
        </w:tc>
        <w:tc>
          <w:tcPr>
            <w:tcW w:w="1077" w:type="dxa"/>
            <w:vAlign w:val="center"/>
          </w:tcPr>
          <w:p>
            <w:pPr>
              <w:pStyle w:val="0"/>
              <w:jc w:val="center"/>
            </w:pPr>
            <w:r>
              <w:rPr>
                <w:sz w:val="20"/>
              </w:rPr>
              <w:t xml:space="preserve">0,30</w:t>
            </w:r>
          </w:p>
        </w:tc>
        <w:tc>
          <w:tcPr>
            <w:tcW w:w="1814" w:type="dxa"/>
            <w:vAlign w:val="center"/>
          </w:tcPr>
          <w:p>
            <w:pPr>
              <w:pStyle w:val="0"/>
              <w:jc w:val="center"/>
            </w:pPr>
            <w:r>
              <w:rPr>
                <w:sz w:val="20"/>
              </w:rPr>
              <w:t xml:space="preserve">1,0</w:t>
            </w:r>
          </w:p>
        </w:tc>
        <w:tc>
          <w:tcPr>
            <w:tcW w:w="1871" w:type="dxa"/>
            <w:vAlign w:val="center"/>
          </w:tcPr>
          <w:p>
            <w:pPr>
              <w:pStyle w:val="0"/>
              <w:jc w:val="center"/>
            </w:pPr>
            <w:r>
              <w:rPr>
                <w:sz w:val="20"/>
              </w:rPr>
              <w:t xml:space="preserve">6</w:t>
            </w:r>
          </w:p>
        </w:tc>
        <w:tc>
          <w:tcPr>
            <w:tcW w:w="1814" w:type="dxa"/>
            <w:vAlign w:val="center"/>
          </w:tcPr>
          <w:p>
            <w:pPr>
              <w:pStyle w:val="0"/>
              <w:jc w:val="center"/>
            </w:pPr>
            <w:r>
              <w:rPr>
                <w:sz w:val="20"/>
              </w:rPr>
              <w:t xml:space="preserve">4,0</w:t>
            </w:r>
          </w:p>
        </w:tc>
      </w:tr>
      <w:tr>
        <w:tc>
          <w:tcPr>
            <w:tcW w:w="2494" w:type="dxa"/>
            <w:vAlign w:val="center"/>
          </w:tcPr>
          <w:p>
            <w:pPr>
              <w:pStyle w:val="0"/>
              <w:jc w:val="center"/>
            </w:pPr>
            <w:r>
              <w:rPr>
                <w:sz w:val="20"/>
              </w:rPr>
              <w:t xml:space="preserve">Более 14,0 до 20,0 включительно</w:t>
            </w:r>
          </w:p>
        </w:tc>
        <w:tc>
          <w:tcPr>
            <w:tcW w:w="1077" w:type="dxa"/>
            <w:vAlign w:val="center"/>
          </w:tcPr>
          <w:p>
            <w:pPr>
              <w:pStyle w:val="0"/>
              <w:jc w:val="center"/>
            </w:pPr>
            <w:r>
              <w:rPr>
                <w:sz w:val="20"/>
              </w:rPr>
              <w:t xml:space="preserve">0,30</w:t>
            </w:r>
          </w:p>
        </w:tc>
        <w:tc>
          <w:tcPr>
            <w:tcW w:w="1814" w:type="dxa"/>
            <w:vAlign w:val="center"/>
          </w:tcPr>
          <w:p>
            <w:pPr>
              <w:pStyle w:val="0"/>
              <w:jc w:val="center"/>
            </w:pPr>
            <w:r>
              <w:rPr>
                <w:sz w:val="20"/>
              </w:rPr>
              <w:t xml:space="preserve">1,2</w:t>
            </w:r>
          </w:p>
        </w:tc>
        <w:tc>
          <w:tcPr>
            <w:tcW w:w="1871" w:type="dxa"/>
            <w:vAlign w:val="center"/>
          </w:tcPr>
          <w:p>
            <w:pPr>
              <w:pStyle w:val="0"/>
              <w:jc w:val="center"/>
            </w:pPr>
            <w:r>
              <w:rPr>
                <w:sz w:val="20"/>
              </w:rPr>
              <w:t xml:space="preserve">6</w:t>
            </w:r>
          </w:p>
        </w:tc>
        <w:tc>
          <w:tcPr>
            <w:tcW w:w="1814" w:type="dxa"/>
            <w:vAlign w:val="center"/>
          </w:tcPr>
          <w:p>
            <w:pPr>
              <w:pStyle w:val="0"/>
              <w:jc w:val="center"/>
            </w:pPr>
            <w:r>
              <w:rPr>
                <w:sz w:val="20"/>
              </w:rPr>
              <w:t xml:space="preserve">6,0</w:t>
            </w:r>
          </w:p>
        </w:tc>
      </w:tr>
      <w:tr>
        <w:tc>
          <w:tcPr>
            <w:tcW w:w="2494" w:type="dxa"/>
            <w:vAlign w:val="center"/>
          </w:tcPr>
          <w:p>
            <w:pPr>
              <w:pStyle w:val="0"/>
              <w:jc w:val="center"/>
            </w:pPr>
            <w:r>
              <w:rPr>
                <w:sz w:val="20"/>
              </w:rPr>
              <w:t xml:space="preserve">Более 20,0 до 26,0 включительно</w:t>
            </w:r>
          </w:p>
        </w:tc>
        <w:tc>
          <w:tcPr>
            <w:tcW w:w="1077" w:type="dxa"/>
            <w:vAlign w:val="center"/>
          </w:tcPr>
          <w:p>
            <w:pPr>
              <w:pStyle w:val="0"/>
              <w:jc w:val="center"/>
            </w:pPr>
            <w:r>
              <w:rPr>
                <w:sz w:val="20"/>
              </w:rPr>
              <w:t xml:space="preserve">0,40</w:t>
            </w:r>
          </w:p>
        </w:tc>
        <w:tc>
          <w:tcPr>
            <w:tcW w:w="1814" w:type="dxa"/>
            <w:vAlign w:val="center"/>
          </w:tcPr>
          <w:p>
            <w:pPr>
              <w:pStyle w:val="0"/>
              <w:jc w:val="center"/>
            </w:pPr>
            <w:r>
              <w:rPr>
                <w:sz w:val="20"/>
              </w:rPr>
              <w:t xml:space="preserve">1,5</w:t>
            </w:r>
          </w:p>
        </w:tc>
        <w:tc>
          <w:tcPr>
            <w:tcW w:w="1871" w:type="dxa"/>
            <w:vAlign w:val="center"/>
          </w:tcPr>
          <w:p>
            <w:pPr>
              <w:pStyle w:val="0"/>
              <w:jc w:val="center"/>
            </w:pPr>
            <w:r>
              <w:rPr>
                <w:sz w:val="20"/>
              </w:rPr>
              <w:t xml:space="preserve">6</w:t>
            </w:r>
          </w:p>
        </w:tc>
        <w:tc>
          <w:tcPr>
            <w:tcW w:w="1814" w:type="dxa"/>
            <w:vAlign w:val="center"/>
          </w:tcPr>
          <w:p>
            <w:pPr>
              <w:pStyle w:val="0"/>
              <w:jc w:val="center"/>
            </w:pPr>
            <w:r>
              <w:rPr>
                <w:sz w:val="20"/>
              </w:rPr>
              <w:t xml:space="preserve">9,0</w:t>
            </w:r>
          </w:p>
        </w:tc>
      </w:tr>
      <w:tr>
        <w:tc>
          <w:tcPr>
            <w:tcW w:w="2494" w:type="dxa"/>
            <w:vAlign w:val="center"/>
          </w:tcPr>
          <w:p>
            <w:pPr>
              <w:pStyle w:val="0"/>
              <w:jc w:val="center"/>
            </w:pPr>
            <w:r>
              <w:rPr>
                <w:sz w:val="20"/>
              </w:rPr>
              <w:t xml:space="preserve">Более 26,0 до 34,0 включительно</w:t>
            </w:r>
          </w:p>
        </w:tc>
        <w:tc>
          <w:tcPr>
            <w:tcW w:w="1077" w:type="dxa"/>
            <w:vAlign w:val="center"/>
          </w:tcPr>
          <w:p>
            <w:pPr>
              <w:pStyle w:val="0"/>
              <w:jc w:val="center"/>
            </w:pPr>
            <w:r>
              <w:rPr>
                <w:sz w:val="20"/>
              </w:rPr>
              <w:t xml:space="preserve">0,50</w:t>
            </w:r>
          </w:p>
        </w:tc>
        <w:tc>
          <w:tcPr>
            <w:tcW w:w="1814" w:type="dxa"/>
            <w:vAlign w:val="center"/>
          </w:tcPr>
          <w:p>
            <w:pPr>
              <w:pStyle w:val="0"/>
              <w:jc w:val="center"/>
            </w:pPr>
            <w:r>
              <w:rPr>
                <w:sz w:val="20"/>
              </w:rPr>
              <w:t xml:space="preserve">2,0</w:t>
            </w:r>
          </w:p>
        </w:tc>
        <w:tc>
          <w:tcPr>
            <w:tcW w:w="1871" w:type="dxa"/>
            <w:vAlign w:val="center"/>
          </w:tcPr>
          <w:p>
            <w:pPr>
              <w:pStyle w:val="0"/>
              <w:jc w:val="center"/>
            </w:pPr>
            <w:r>
              <w:rPr>
                <w:sz w:val="20"/>
              </w:rPr>
              <w:t xml:space="preserve">6</w:t>
            </w:r>
          </w:p>
        </w:tc>
        <w:tc>
          <w:tcPr>
            <w:tcW w:w="1814" w:type="dxa"/>
            <w:vAlign w:val="center"/>
          </w:tcPr>
          <w:p>
            <w:pPr>
              <w:pStyle w:val="0"/>
              <w:jc w:val="center"/>
            </w:pPr>
            <w:r>
              <w:rPr>
                <w:sz w:val="20"/>
              </w:rPr>
              <w:t xml:space="preserve">16,0</w:t>
            </w:r>
          </w:p>
        </w:tc>
      </w:tr>
      <w:tr>
        <w:tc>
          <w:tcPr>
            <w:tcW w:w="2494" w:type="dxa"/>
            <w:vAlign w:val="center"/>
          </w:tcPr>
          <w:p>
            <w:pPr>
              <w:pStyle w:val="0"/>
              <w:jc w:val="center"/>
            </w:pPr>
            <w:r>
              <w:rPr>
                <w:sz w:val="20"/>
              </w:rPr>
              <w:t xml:space="preserve">Более 34,0 до 45,0 включительно</w:t>
            </w:r>
          </w:p>
        </w:tc>
        <w:tc>
          <w:tcPr>
            <w:tcW w:w="1077" w:type="dxa"/>
            <w:vAlign w:val="center"/>
          </w:tcPr>
          <w:p>
            <w:pPr>
              <w:pStyle w:val="0"/>
              <w:jc w:val="center"/>
            </w:pPr>
            <w:r>
              <w:rPr>
                <w:sz w:val="20"/>
              </w:rPr>
              <w:t xml:space="preserve">0,60</w:t>
            </w:r>
          </w:p>
        </w:tc>
        <w:tc>
          <w:tcPr>
            <w:tcW w:w="1814" w:type="dxa"/>
            <w:vAlign w:val="center"/>
          </w:tcPr>
          <w:p>
            <w:pPr>
              <w:pStyle w:val="0"/>
              <w:jc w:val="center"/>
            </w:pPr>
            <w:r>
              <w:rPr>
                <w:sz w:val="20"/>
              </w:rPr>
              <w:t xml:space="preserve">2,5</w:t>
            </w:r>
          </w:p>
        </w:tc>
        <w:tc>
          <w:tcPr>
            <w:tcW w:w="1871" w:type="dxa"/>
            <w:vAlign w:val="center"/>
          </w:tcPr>
          <w:p>
            <w:pPr>
              <w:pStyle w:val="0"/>
              <w:jc w:val="center"/>
            </w:pPr>
            <w:r>
              <w:rPr>
                <w:sz w:val="20"/>
              </w:rPr>
              <w:t xml:space="preserve">7</w:t>
            </w:r>
          </w:p>
        </w:tc>
        <w:tc>
          <w:tcPr>
            <w:tcW w:w="1814" w:type="dxa"/>
            <w:vAlign w:val="center"/>
          </w:tcPr>
          <w:p>
            <w:pPr>
              <w:pStyle w:val="0"/>
              <w:jc w:val="center"/>
            </w:pPr>
            <w:r>
              <w:rPr>
                <w:sz w:val="20"/>
              </w:rPr>
              <w:t xml:space="preserve">25,0</w:t>
            </w:r>
          </w:p>
        </w:tc>
      </w:tr>
      <w:tr>
        <w:tc>
          <w:tcPr>
            <w:tcW w:w="2494" w:type="dxa"/>
            <w:vAlign w:val="center"/>
          </w:tcPr>
          <w:p>
            <w:pPr>
              <w:pStyle w:val="0"/>
              <w:jc w:val="center"/>
            </w:pPr>
            <w:r>
              <w:rPr>
                <w:sz w:val="20"/>
              </w:rPr>
              <w:t xml:space="preserve">Более 45,0 до 67,0 включительно</w:t>
            </w:r>
          </w:p>
        </w:tc>
        <w:tc>
          <w:tcPr>
            <w:tcW w:w="1077" w:type="dxa"/>
            <w:vAlign w:val="center"/>
          </w:tcPr>
          <w:p>
            <w:pPr>
              <w:pStyle w:val="0"/>
              <w:jc w:val="center"/>
            </w:pPr>
            <w:r>
              <w:rPr>
                <w:sz w:val="20"/>
              </w:rPr>
              <w:t xml:space="preserve">0,75</w:t>
            </w:r>
          </w:p>
        </w:tc>
        <w:tc>
          <w:tcPr>
            <w:tcW w:w="1814" w:type="dxa"/>
            <w:vAlign w:val="center"/>
          </w:tcPr>
          <w:p>
            <w:pPr>
              <w:pStyle w:val="0"/>
              <w:jc w:val="center"/>
            </w:pPr>
            <w:r>
              <w:rPr>
                <w:sz w:val="20"/>
              </w:rPr>
              <w:t xml:space="preserve">3,0</w:t>
            </w:r>
          </w:p>
        </w:tc>
        <w:tc>
          <w:tcPr>
            <w:tcW w:w="1871" w:type="dxa"/>
            <w:vAlign w:val="center"/>
          </w:tcPr>
          <w:p>
            <w:pPr>
              <w:pStyle w:val="0"/>
              <w:jc w:val="center"/>
            </w:pPr>
            <w:r>
              <w:rPr>
                <w:sz w:val="20"/>
              </w:rPr>
              <w:t xml:space="preserve">7</w:t>
            </w:r>
          </w:p>
        </w:tc>
        <w:tc>
          <w:tcPr>
            <w:tcW w:w="1814" w:type="dxa"/>
            <w:vAlign w:val="center"/>
          </w:tcPr>
          <w:p>
            <w:pPr>
              <w:pStyle w:val="0"/>
              <w:jc w:val="center"/>
            </w:pPr>
            <w:r>
              <w:rPr>
                <w:sz w:val="20"/>
              </w:rPr>
              <w:t xml:space="preserve">36,0</w:t>
            </w:r>
          </w:p>
        </w:tc>
      </w:tr>
      <w:tr>
        <w:tc>
          <w:tcPr>
            <w:tcW w:w="2494" w:type="dxa"/>
            <w:vAlign w:val="center"/>
          </w:tcPr>
          <w:p>
            <w:pPr>
              <w:pStyle w:val="0"/>
              <w:jc w:val="center"/>
            </w:pPr>
            <w:r>
              <w:rPr>
                <w:sz w:val="20"/>
              </w:rPr>
              <w:t xml:space="preserve">Более 67,0 до 90,0 включительно</w:t>
            </w:r>
          </w:p>
        </w:tc>
        <w:tc>
          <w:tcPr>
            <w:tcW w:w="1077" w:type="dxa"/>
            <w:vAlign w:val="center"/>
          </w:tcPr>
          <w:p>
            <w:pPr>
              <w:pStyle w:val="0"/>
              <w:jc w:val="center"/>
            </w:pPr>
            <w:r>
              <w:rPr>
                <w:sz w:val="20"/>
              </w:rPr>
              <w:t xml:space="preserve">1,00</w:t>
            </w:r>
          </w:p>
        </w:tc>
        <w:tc>
          <w:tcPr>
            <w:tcW w:w="1814" w:type="dxa"/>
            <w:vAlign w:val="center"/>
          </w:tcPr>
          <w:p>
            <w:pPr>
              <w:pStyle w:val="0"/>
              <w:jc w:val="center"/>
            </w:pPr>
            <w:r>
              <w:rPr>
                <w:sz w:val="20"/>
              </w:rPr>
              <w:t xml:space="preserve">4,0</w:t>
            </w:r>
          </w:p>
        </w:tc>
        <w:tc>
          <w:tcPr>
            <w:tcW w:w="1871" w:type="dxa"/>
            <w:vAlign w:val="center"/>
          </w:tcPr>
          <w:p>
            <w:pPr>
              <w:pStyle w:val="0"/>
              <w:jc w:val="center"/>
            </w:pPr>
            <w:r>
              <w:rPr>
                <w:sz w:val="20"/>
              </w:rPr>
              <w:t xml:space="preserve">7</w:t>
            </w:r>
          </w:p>
        </w:tc>
        <w:tc>
          <w:tcPr>
            <w:tcW w:w="1814" w:type="dxa"/>
            <w:vAlign w:val="center"/>
          </w:tcPr>
          <w:p>
            <w:pPr>
              <w:pStyle w:val="0"/>
              <w:jc w:val="center"/>
            </w:pPr>
            <w:r>
              <w:rPr>
                <w:sz w:val="20"/>
              </w:rPr>
              <w:t xml:space="preserve">64,0</w:t>
            </w:r>
          </w:p>
        </w:tc>
      </w:tr>
      <w:tr>
        <w:tc>
          <w:tcPr>
            <w:tcW w:w="2494" w:type="dxa"/>
            <w:vAlign w:val="center"/>
          </w:tcPr>
          <w:p>
            <w:pPr>
              <w:pStyle w:val="0"/>
              <w:jc w:val="center"/>
            </w:pPr>
            <w:r>
              <w:rPr>
                <w:sz w:val="20"/>
              </w:rPr>
              <w:t xml:space="preserve">Более 90,0 до 120,0 включительно</w:t>
            </w:r>
          </w:p>
        </w:tc>
        <w:tc>
          <w:tcPr>
            <w:tcW w:w="1077" w:type="dxa"/>
            <w:vAlign w:val="center"/>
          </w:tcPr>
          <w:p>
            <w:pPr>
              <w:pStyle w:val="0"/>
              <w:jc w:val="center"/>
            </w:pPr>
            <w:r>
              <w:rPr>
                <w:sz w:val="20"/>
              </w:rPr>
              <w:t xml:space="preserve">1,25</w:t>
            </w:r>
          </w:p>
        </w:tc>
        <w:tc>
          <w:tcPr>
            <w:tcW w:w="1814" w:type="dxa"/>
            <w:vAlign w:val="center"/>
          </w:tcPr>
          <w:p>
            <w:pPr>
              <w:pStyle w:val="0"/>
              <w:jc w:val="center"/>
            </w:pPr>
            <w:r>
              <w:rPr>
                <w:sz w:val="20"/>
              </w:rPr>
              <w:t xml:space="preserve">5,0</w:t>
            </w:r>
          </w:p>
        </w:tc>
        <w:tc>
          <w:tcPr>
            <w:tcW w:w="1871" w:type="dxa"/>
            <w:vAlign w:val="center"/>
          </w:tcPr>
          <w:p>
            <w:pPr>
              <w:pStyle w:val="0"/>
              <w:jc w:val="center"/>
            </w:pPr>
            <w:r>
              <w:rPr>
                <w:sz w:val="20"/>
              </w:rPr>
              <w:t xml:space="preserve">7</w:t>
            </w:r>
          </w:p>
        </w:tc>
        <w:tc>
          <w:tcPr>
            <w:tcW w:w="1814" w:type="dxa"/>
            <w:vAlign w:val="center"/>
          </w:tcPr>
          <w:p>
            <w:pPr>
              <w:pStyle w:val="0"/>
              <w:jc w:val="center"/>
            </w:pPr>
            <w:r>
              <w:rPr>
                <w:sz w:val="20"/>
              </w:rPr>
              <w:t xml:space="preserve">100,0</w:t>
            </w:r>
          </w:p>
        </w:tc>
      </w:tr>
      <w:tr>
        <w:tc>
          <w:tcPr>
            <w:tcW w:w="2494" w:type="dxa"/>
            <w:vAlign w:val="center"/>
          </w:tcPr>
          <w:p>
            <w:pPr>
              <w:pStyle w:val="0"/>
              <w:jc w:val="center"/>
            </w:pPr>
            <w:r>
              <w:rPr>
                <w:sz w:val="20"/>
              </w:rPr>
              <w:t xml:space="preserve">Более 120,0 до 200,0 включительно</w:t>
            </w:r>
          </w:p>
        </w:tc>
        <w:tc>
          <w:tcPr>
            <w:tcW w:w="1077" w:type="dxa"/>
            <w:vAlign w:val="center"/>
          </w:tcPr>
          <w:p>
            <w:pPr>
              <w:pStyle w:val="0"/>
              <w:jc w:val="center"/>
            </w:pPr>
            <w:r>
              <w:rPr>
                <w:sz w:val="20"/>
              </w:rPr>
              <w:t xml:space="preserve">1,50</w:t>
            </w:r>
          </w:p>
        </w:tc>
        <w:tc>
          <w:tcPr>
            <w:tcW w:w="1814" w:type="dxa"/>
            <w:vAlign w:val="center"/>
          </w:tcPr>
          <w:p>
            <w:pPr>
              <w:pStyle w:val="0"/>
              <w:jc w:val="center"/>
            </w:pPr>
            <w:r>
              <w:rPr>
                <w:sz w:val="20"/>
              </w:rPr>
              <w:t xml:space="preserve">5,0</w:t>
            </w:r>
          </w:p>
        </w:tc>
        <w:tc>
          <w:tcPr>
            <w:tcW w:w="1871" w:type="dxa"/>
            <w:vAlign w:val="center"/>
          </w:tcPr>
          <w:p>
            <w:pPr>
              <w:pStyle w:val="0"/>
              <w:jc w:val="center"/>
            </w:pPr>
            <w:r>
              <w:rPr>
                <w:sz w:val="20"/>
              </w:rPr>
              <w:t xml:space="preserve">8</w:t>
            </w:r>
          </w:p>
        </w:tc>
        <w:tc>
          <w:tcPr>
            <w:tcW w:w="1814" w:type="dxa"/>
            <w:vAlign w:val="center"/>
          </w:tcPr>
          <w:p>
            <w:pPr>
              <w:pStyle w:val="0"/>
              <w:jc w:val="center"/>
            </w:pPr>
            <w:r>
              <w:rPr>
                <w:sz w:val="20"/>
              </w:rPr>
              <w:t xml:space="preserve">125,0</w:t>
            </w:r>
          </w:p>
        </w:tc>
      </w:tr>
      <w:tr>
        <w:tc>
          <w:tcPr>
            <w:tcW w:w="2494" w:type="dxa"/>
            <w:vAlign w:val="center"/>
          </w:tcPr>
          <w:p>
            <w:pPr>
              <w:pStyle w:val="0"/>
              <w:jc w:val="center"/>
            </w:pPr>
            <w:r>
              <w:rPr>
                <w:sz w:val="20"/>
              </w:rPr>
              <w:t xml:space="preserve">Более 200,0</w:t>
            </w:r>
          </w:p>
        </w:tc>
        <w:tc>
          <w:tcPr>
            <w:tcW w:w="1077" w:type="dxa"/>
            <w:vAlign w:val="center"/>
          </w:tcPr>
          <w:p>
            <w:pPr>
              <w:pStyle w:val="0"/>
              <w:jc w:val="center"/>
            </w:pPr>
            <w:r>
              <w:rPr>
                <w:sz w:val="20"/>
              </w:rPr>
              <w:t xml:space="preserve">2,00</w:t>
            </w:r>
          </w:p>
        </w:tc>
        <w:tc>
          <w:tcPr>
            <w:tcW w:w="1814" w:type="dxa"/>
            <w:vAlign w:val="center"/>
          </w:tcPr>
          <w:p>
            <w:pPr>
              <w:pStyle w:val="0"/>
              <w:jc w:val="center"/>
            </w:pPr>
            <w:r>
              <w:rPr>
                <w:sz w:val="20"/>
              </w:rPr>
              <w:t xml:space="preserve">5,0</w:t>
            </w:r>
          </w:p>
        </w:tc>
        <w:tc>
          <w:tcPr>
            <w:tcW w:w="1871" w:type="dxa"/>
            <w:vAlign w:val="center"/>
          </w:tcPr>
          <w:p>
            <w:pPr>
              <w:pStyle w:val="0"/>
              <w:jc w:val="center"/>
            </w:pPr>
            <w:r>
              <w:rPr>
                <w:sz w:val="20"/>
              </w:rPr>
              <w:t xml:space="preserve">10</w:t>
            </w:r>
          </w:p>
        </w:tc>
        <w:tc>
          <w:tcPr>
            <w:tcW w:w="1814" w:type="dxa"/>
            <w:vAlign w:val="center"/>
          </w:tcPr>
          <w:p>
            <w:pPr>
              <w:pStyle w:val="0"/>
              <w:jc w:val="center"/>
            </w:pPr>
            <w:r>
              <w:rPr>
                <w:sz w:val="20"/>
              </w:rPr>
              <w:t xml:space="preserve">175,0</w:t>
            </w:r>
          </w:p>
        </w:tc>
      </w:tr>
      <w:tr>
        <w:tc>
          <w:tcPr>
            <w:gridSpan w:val="5"/>
            <w:tcW w:w="9070" w:type="dxa"/>
          </w:tcPr>
          <w:bookmarkStart w:id="2687" w:name="P2687"/>
          <w:bookmarkEnd w:id="2687"/>
          <w:p>
            <w:pPr>
              <w:pStyle w:val="0"/>
              <w:jc w:val="both"/>
            </w:pPr>
            <w:r>
              <w:rPr>
                <w:sz w:val="20"/>
              </w:rPr>
              <w:t xml:space="preserve">Примечание. &lt;1&gt; Для сварных соединений вварки труб в трубные доски категорий Iн, IIна с номинальным диаметром трубы Dн </w:t>
            </w:r>
            <w:r>
              <w:rPr>
                <w:position w:val="-2"/>
              </w:rPr>
              <w:drawing>
                <wp:inline distT="0" distB="0" distL="0" distR="0">
                  <wp:extent cx="127635"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a:extLst>
                              <a:ext uri="{28A0092B-C50C-407E-A947-70E740481C1C}">
                                <a14:useLocalDpi xmlns:a14="http://schemas.microsoft.com/office/drawing/2010/main" val="0"/>
                              </a:ext>
                            </a:extLst>
                          </a:blip>
                          <a:srcRect/>
                          <a:stretch>
                            <a:fillRect/>
                          </a:stretch>
                        </pic:blipFill>
                        <pic:spPr bwMode="auto">
                          <a:xfrm>
                            <a:off x="0" y="0"/>
                            <a:ext cx="127635" cy="152400"/>
                          </a:xfrm>
                          <a:prstGeom prst="rect">
                            <a:avLst/>
                          </a:prstGeom>
                          <a:noFill/>
                          <a:ln>
                            <a:noFill/>
                          </a:ln>
                        </pic:spPr>
                      </pic:pic>
                    </a:graphicData>
                  </a:graphic>
                </wp:inline>
              </w:drawing>
            </w:r>
            <w:r>
              <w:rPr>
                <w:sz w:val="20"/>
              </w:rPr>
              <w:t xml:space="preserve"> 16,0 мм нормы устанавливаются в конструкторской документации.</w:t>
            </w:r>
          </w:p>
        </w:tc>
      </w:tr>
    </w:tbl>
    <w:p>
      <w:pPr>
        <w:pStyle w:val="0"/>
        <w:jc w:val="both"/>
      </w:pPr>
      <w:r>
        <w:rPr>
          <w:sz w:val="20"/>
        </w:rPr>
      </w:r>
    </w:p>
    <w:p>
      <w:pPr>
        <w:pStyle w:val="0"/>
        <w:ind w:firstLine="540"/>
        <w:jc w:val="both"/>
      </w:pPr>
      <w:r>
        <w:rPr>
          <w:sz w:val="20"/>
        </w:rPr>
        <w:t xml:space="preserve">28. Включения, наибольший размер которых менее значений, указанных в графе "требуемая чувствительность" </w:t>
      </w:r>
      <w:hyperlink w:history="0" w:anchor="P1660" w:tooltip="Таблица N 4.8">
        <w:r>
          <w:rPr>
            <w:sz w:val="20"/>
            <w:color w:val="0000ff"/>
          </w:rPr>
          <w:t xml:space="preserve">таблиц N 4.8</w:t>
        </w:r>
      </w:hyperlink>
      <w:r>
        <w:rPr>
          <w:sz w:val="20"/>
        </w:rPr>
        <w:t xml:space="preserve">, </w:t>
      </w:r>
      <w:hyperlink w:history="0" w:anchor="P2528" w:tooltip="Таблица N 4.9">
        <w:r>
          <w:rPr>
            <w:sz w:val="20"/>
            <w:color w:val="0000ff"/>
          </w:rPr>
          <w:t xml:space="preserve">4.9</w:t>
        </w:r>
      </w:hyperlink>
      <w:r>
        <w:rPr>
          <w:sz w:val="20"/>
        </w:rPr>
        <w:t xml:space="preserve"> настоящего приложения, не учитываются при подсчете количества включений и их суммарной приведенной площади и при рассмотрении расстояний между включениями (скоплениями).</w:t>
      </w:r>
    </w:p>
    <w:p>
      <w:pPr>
        <w:pStyle w:val="0"/>
        <w:spacing w:before="200" w:line-rule="auto"/>
        <w:ind w:firstLine="540"/>
        <w:jc w:val="both"/>
      </w:pPr>
      <w:r>
        <w:rPr>
          <w:sz w:val="20"/>
        </w:rPr>
        <w:t xml:space="preserve">При определении скопления учитываются любые включения, наибольший размер которых превышает 0,2 мм.</w:t>
      </w:r>
    </w:p>
    <w:p>
      <w:pPr>
        <w:pStyle w:val="0"/>
        <w:spacing w:before="200" w:line-rule="auto"/>
        <w:ind w:firstLine="540"/>
        <w:jc w:val="both"/>
      </w:pPr>
      <w:r>
        <w:rPr>
          <w:sz w:val="20"/>
        </w:rPr>
        <w:t xml:space="preserve">При номинальной толщине стенки сваренных деталей менее 1,0 мм нормы допустимых одиночных включений устанавливаются конструкторской документацией; нормы не должны превышать значений, приведенных в </w:t>
      </w:r>
      <w:hyperlink w:history="0" w:anchor="P1660" w:tooltip="Таблица N 4.8">
        <w:r>
          <w:rPr>
            <w:sz w:val="20"/>
            <w:color w:val="0000ff"/>
          </w:rPr>
          <w:t xml:space="preserve">таблицах N 4.8</w:t>
        </w:r>
      </w:hyperlink>
      <w:r>
        <w:rPr>
          <w:sz w:val="20"/>
        </w:rPr>
        <w:t xml:space="preserve">, </w:t>
      </w:r>
      <w:hyperlink w:history="0" w:anchor="P2528" w:tooltip="Таблица N 4.9">
        <w:r>
          <w:rPr>
            <w:sz w:val="20"/>
            <w:color w:val="0000ff"/>
          </w:rPr>
          <w:t xml:space="preserve">4.9</w:t>
        </w:r>
      </w:hyperlink>
      <w:r>
        <w:rPr>
          <w:sz w:val="20"/>
        </w:rPr>
        <w:t xml:space="preserve"> настоящего приложения для толщины 1,0 мм.</w:t>
      </w:r>
    </w:p>
    <w:p>
      <w:pPr>
        <w:pStyle w:val="0"/>
        <w:spacing w:before="200" w:line-rule="auto"/>
        <w:ind w:firstLine="540"/>
        <w:jc w:val="both"/>
      </w:pPr>
      <w:r>
        <w:rPr>
          <w:sz w:val="20"/>
        </w:rPr>
        <w:t xml:space="preserve">29. Любую совокупность включений (одиночных скоплений, групп включений), которая может быть вписана в прямоугольник с размерами сторон, не превышающими значений допускаемого максимального размера и допускаемой максимальной ширины одиночного крупного включения, необходимо рассматривать как одно сплошное включение.</w:t>
      </w:r>
    </w:p>
    <w:p>
      <w:pPr>
        <w:pStyle w:val="0"/>
        <w:spacing w:before="200" w:line-rule="auto"/>
        <w:ind w:firstLine="540"/>
        <w:jc w:val="both"/>
      </w:pPr>
      <w:r>
        <w:rPr>
          <w:sz w:val="20"/>
        </w:rPr>
        <w:t xml:space="preserve">30. Любую совокупность включений (одиночных скоплений, групп включений), которая может быть вписана в квадрат с размером стороны, не превышающим значения допускаемого максимального размера одиночного включения, необходимо рассматривать как одно сплошное включение.</w:t>
      </w:r>
    </w:p>
    <w:p>
      <w:pPr>
        <w:pStyle w:val="0"/>
        <w:spacing w:before="200" w:line-rule="auto"/>
        <w:ind w:firstLine="540"/>
        <w:jc w:val="both"/>
      </w:pPr>
      <w:r>
        <w:rPr>
          <w:sz w:val="20"/>
        </w:rPr>
        <w:t xml:space="preserve">31. При отсутствии одиночных крупных включений или при их числе меньшем норм, приведенных в </w:t>
      </w:r>
      <w:hyperlink w:history="0" w:anchor="P1660" w:tooltip="Таблица N 4.8">
        <w:r>
          <w:rPr>
            <w:sz w:val="20"/>
            <w:color w:val="0000ff"/>
          </w:rPr>
          <w:t xml:space="preserve">таблице N 4.8</w:t>
        </w:r>
      </w:hyperlink>
      <w:r>
        <w:rPr>
          <w:sz w:val="20"/>
        </w:rPr>
        <w:t xml:space="preserve"> настоящего приложения, могут быть допущены в соответствующем количестве одиночные включения и (или) одиночные скопления допустимых размеров без учета при подсчете суммарной площади одиночных включений и одиночных скоплений.</w:t>
      </w:r>
    </w:p>
    <w:p>
      <w:pPr>
        <w:pStyle w:val="0"/>
        <w:spacing w:before="200" w:line-rule="auto"/>
        <w:ind w:firstLine="540"/>
        <w:jc w:val="both"/>
      </w:pPr>
      <w:r>
        <w:rPr>
          <w:sz w:val="20"/>
        </w:rPr>
        <w:t xml:space="preserve">32. Для сварных соединений (наплавленных кромок) протяженностью менее 100,0 мм нормы, приведенные в </w:t>
      </w:r>
      <w:hyperlink w:history="0" w:anchor="P1660" w:tooltip="Таблица N 4.8">
        <w:r>
          <w:rPr>
            <w:sz w:val="20"/>
            <w:color w:val="0000ff"/>
          </w:rPr>
          <w:t xml:space="preserve">таблицах N 4.8</w:t>
        </w:r>
      </w:hyperlink>
      <w:r>
        <w:rPr>
          <w:sz w:val="20"/>
        </w:rPr>
        <w:t xml:space="preserve">, </w:t>
      </w:r>
      <w:hyperlink w:history="0" w:anchor="P2528" w:tooltip="Таблица N 4.9">
        <w:r>
          <w:rPr>
            <w:sz w:val="20"/>
            <w:color w:val="0000ff"/>
          </w:rPr>
          <w:t xml:space="preserve">4.9</w:t>
        </w:r>
      </w:hyperlink>
      <w:r>
        <w:rPr>
          <w:sz w:val="20"/>
        </w:rPr>
        <w:t xml:space="preserve"> настоящего приложения, по количеству и суммарной площади включений (скоплений) должны быть пропорционально уменьшены. Дробное количество допускаемых включений (скоплений) округляется до ближайшего целого числа.</w:t>
      </w:r>
    </w:p>
    <w:p>
      <w:pPr>
        <w:pStyle w:val="0"/>
        <w:spacing w:before="200" w:line-rule="auto"/>
        <w:ind w:firstLine="540"/>
        <w:jc w:val="both"/>
      </w:pPr>
      <w:r>
        <w:rPr>
          <w:sz w:val="20"/>
        </w:rPr>
        <w:t xml:space="preserve">33. При контроле предварительно наплавленных кромок требуемая чувствительность контроля и допустимые максимальные размеры одиночных включений и скоплений принимаются по нормам, приведенным в </w:t>
      </w:r>
      <w:hyperlink w:history="0" w:anchor="P1660" w:tooltip="Таблица N 4.8">
        <w:r>
          <w:rPr>
            <w:sz w:val="20"/>
            <w:color w:val="0000ff"/>
          </w:rPr>
          <w:t xml:space="preserve">таблицах N 4.8</w:t>
        </w:r>
      </w:hyperlink>
      <w:r>
        <w:rPr>
          <w:sz w:val="20"/>
        </w:rPr>
        <w:t xml:space="preserve">, </w:t>
      </w:r>
      <w:hyperlink w:history="0" w:anchor="P2528" w:tooltip="Таблица N 4.9">
        <w:r>
          <w:rPr>
            <w:sz w:val="20"/>
            <w:color w:val="0000ff"/>
          </w:rPr>
          <w:t xml:space="preserve">4.9</w:t>
        </w:r>
      </w:hyperlink>
      <w:r>
        <w:rPr>
          <w:sz w:val="20"/>
        </w:rPr>
        <w:t xml:space="preserve"> настоящего приложения. Допустимое число и суммарная приведенная площадь одиночных включений и скоплений не должны превышать 50% значений, приведенных в </w:t>
      </w:r>
      <w:hyperlink w:history="0" w:anchor="P1660" w:tooltip="Таблица N 4.8">
        <w:r>
          <w:rPr>
            <w:sz w:val="20"/>
            <w:color w:val="0000ff"/>
          </w:rPr>
          <w:t xml:space="preserve">таблицах N 4.8</w:t>
        </w:r>
      </w:hyperlink>
      <w:r>
        <w:rPr>
          <w:sz w:val="20"/>
        </w:rPr>
        <w:t xml:space="preserve">, </w:t>
      </w:r>
      <w:hyperlink w:history="0" w:anchor="P2528" w:tooltip="Таблица N 4.9">
        <w:r>
          <w:rPr>
            <w:sz w:val="20"/>
            <w:color w:val="0000ff"/>
          </w:rPr>
          <w:t xml:space="preserve">4.9</w:t>
        </w:r>
      </w:hyperlink>
      <w:r>
        <w:rPr>
          <w:sz w:val="20"/>
        </w:rPr>
        <w:t xml:space="preserve"> настоящего приложения.</w:t>
      </w:r>
    </w:p>
    <w:p>
      <w:pPr>
        <w:pStyle w:val="0"/>
        <w:spacing w:before="200" w:line-rule="auto"/>
        <w:ind w:firstLine="540"/>
        <w:jc w:val="both"/>
      </w:pPr>
      <w:r>
        <w:rPr>
          <w:sz w:val="20"/>
        </w:rPr>
        <w:t xml:space="preserve">34. При контроле сварных соединений с неполным проплавлением или с подкладными кольцами, или на "усе" не являются браковочным признаком видимые на радиограмме конструкционные зазоры, в том числе заполненные затекшим шлаком или металлом.</w:t>
      </w:r>
    </w:p>
    <w:p>
      <w:pPr>
        <w:pStyle w:val="0"/>
        <w:spacing w:before="200" w:line-rule="auto"/>
        <w:ind w:firstLine="540"/>
        <w:jc w:val="both"/>
      </w:pPr>
      <w:r>
        <w:rPr>
          <w:sz w:val="20"/>
        </w:rPr>
        <w:t xml:space="preserve">35. Нормы допустимых одиночных включений и скоплений для сварных соединений I, II, III категорий деталей и сборочных единиц из алюминиевых сплавов приведены в таблице N 4.10 настоящего приложения.</w:t>
      </w:r>
    </w:p>
    <w:p>
      <w:pPr>
        <w:pStyle w:val="0"/>
        <w:jc w:val="both"/>
      </w:pPr>
      <w:r>
        <w:rPr>
          <w:sz w:val="20"/>
        </w:rPr>
      </w:r>
    </w:p>
    <w:p>
      <w:pPr>
        <w:pStyle w:val="0"/>
        <w:outlineLvl w:val="3"/>
        <w:jc w:val="right"/>
      </w:pPr>
      <w:r>
        <w:rPr>
          <w:sz w:val="20"/>
        </w:rPr>
        <w:t xml:space="preserve">Таблица N 4.10</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21"/>
        <w:gridCol w:w="1171"/>
        <w:gridCol w:w="1104"/>
        <w:gridCol w:w="998"/>
        <w:gridCol w:w="912"/>
        <w:gridCol w:w="902"/>
        <w:gridCol w:w="1247"/>
      </w:tblGrid>
      <w:tr>
        <w:tc>
          <w:tcPr>
            <w:tcW w:w="2721" w:type="dxa"/>
            <w:vMerge w:val="restart"/>
          </w:tcPr>
          <w:p>
            <w:pPr>
              <w:pStyle w:val="0"/>
              <w:jc w:val="center"/>
            </w:pPr>
            <w:r>
              <w:rPr>
                <w:sz w:val="20"/>
              </w:rPr>
              <w:t xml:space="preserve">Номинальная толщина свариваемых деталей,</w:t>
            </w:r>
          </w:p>
          <w:p>
            <w:pPr>
              <w:pStyle w:val="0"/>
              <w:jc w:val="center"/>
            </w:pPr>
            <w:r>
              <w:rPr>
                <w:sz w:val="20"/>
              </w:rPr>
              <w:t xml:space="preserve">мм</w:t>
            </w:r>
          </w:p>
        </w:tc>
        <w:tc>
          <w:tcPr>
            <w:tcW w:w="1171" w:type="dxa"/>
            <w:vMerge w:val="restart"/>
          </w:tcPr>
          <w:p>
            <w:pPr>
              <w:pStyle w:val="0"/>
              <w:jc w:val="center"/>
            </w:pPr>
            <w:r>
              <w:rPr>
                <w:sz w:val="20"/>
              </w:rPr>
              <w:t xml:space="preserve">Требуемая чувствительность контроля,</w:t>
            </w:r>
          </w:p>
          <w:p>
            <w:pPr>
              <w:pStyle w:val="0"/>
              <w:jc w:val="center"/>
            </w:pPr>
            <w:r>
              <w:rPr>
                <w:sz w:val="20"/>
              </w:rPr>
              <w:t xml:space="preserve">мм,</w:t>
            </w:r>
          </w:p>
          <w:p>
            <w:pPr>
              <w:pStyle w:val="0"/>
              <w:jc w:val="center"/>
            </w:pPr>
            <w:r>
              <w:rPr>
                <w:sz w:val="20"/>
              </w:rPr>
              <w:t xml:space="preserve">не более</w:t>
            </w:r>
          </w:p>
        </w:tc>
        <w:tc>
          <w:tcPr>
            <w:gridSpan w:val="2"/>
            <w:tcW w:w="2102" w:type="dxa"/>
            <w:vMerge w:val="restart"/>
          </w:tcPr>
          <w:p>
            <w:pPr>
              <w:pStyle w:val="0"/>
              <w:jc w:val="center"/>
            </w:pPr>
            <w:r>
              <w:rPr>
                <w:sz w:val="20"/>
              </w:rPr>
              <w:t xml:space="preserve">Допустимый наибольший размер,</w:t>
            </w:r>
          </w:p>
          <w:p>
            <w:pPr>
              <w:pStyle w:val="0"/>
              <w:jc w:val="center"/>
            </w:pPr>
            <w:r>
              <w:rPr>
                <w:sz w:val="20"/>
              </w:rPr>
              <w:t xml:space="preserve">мм</w:t>
            </w:r>
          </w:p>
        </w:tc>
        <w:tc>
          <w:tcPr>
            <w:gridSpan w:val="3"/>
            <w:tcW w:w="3061" w:type="dxa"/>
          </w:tcPr>
          <w:p>
            <w:pPr>
              <w:pStyle w:val="0"/>
              <w:jc w:val="center"/>
            </w:pPr>
            <w:r>
              <w:rPr>
                <w:sz w:val="20"/>
              </w:rPr>
              <w:t xml:space="preserve">Предельная допустимая длина включений и скоплений для любого участка радиографического снимка длиной 100,0 мм, мм</w:t>
            </w:r>
          </w:p>
        </w:tc>
      </w:tr>
      <w:tr>
        <w:tc>
          <w:tcPr>
            <w:vMerge w:val="continue"/>
          </w:tcPr>
          <w:p/>
        </w:tc>
        <w:tc>
          <w:tcPr>
            <w:vMerge w:val="continue"/>
          </w:tcPr>
          <w:p/>
        </w:tc>
        <w:tc>
          <w:tcPr>
            <w:gridSpan w:val="2"/>
            <w:vMerge w:val="continue"/>
          </w:tcPr>
          <w:p/>
        </w:tc>
        <w:tc>
          <w:tcPr>
            <w:gridSpan w:val="3"/>
            <w:tcW w:w="3061" w:type="dxa"/>
          </w:tcPr>
          <w:p>
            <w:pPr>
              <w:pStyle w:val="0"/>
              <w:jc w:val="center"/>
            </w:pPr>
            <w:r>
              <w:rPr>
                <w:sz w:val="20"/>
              </w:rPr>
              <w:t xml:space="preserve">категории сварных соединений</w:t>
            </w:r>
          </w:p>
        </w:tc>
      </w:tr>
      <w:tr>
        <w:tc>
          <w:tcPr>
            <w:vMerge w:val="continue"/>
          </w:tcPr>
          <w:p/>
        </w:tc>
        <w:tc>
          <w:tcPr>
            <w:vMerge w:val="continue"/>
          </w:tcPr>
          <w:p/>
        </w:tc>
        <w:tc>
          <w:tcPr>
            <w:tcW w:w="1104" w:type="dxa"/>
          </w:tcPr>
          <w:p>
            <w:pPr>
              <w:pStyle w:val="0"/>
              <w:jc w:val="center"/>
            </w:pPr>
            <w:r>
              <w:rPr>
                <w:sz w:val="20"/>
              </w:rPr>
              <w:t xml:space="preserve">включения</w:t>
            </w:r>
          </w:p>
        </w:tc>
        <w:tc>
          <w:tcPr>
            <w:tcW w:w="998" w:type="dxa"/>
          </w:tcPr>
          <w:p>
            <w:pPr>
              <w:pStyle w:val="0"/>
              <w:jc w:val="center"/>
            </w:pPr>
            <w:r>
              <w:rPr>
                <w:sz w:val="20"/>
              </w:rPr>
              <w:t xml:space="preserve">скопления</w:t>
            </w:r>
          </w:p>
        </w:tc>
        <w:tc>
          <w:tcPr>
            <w:tcW w:w="912" w:type="dxa"/>
          </w:tcPr>
          <w:p>
            <w:pPr>
              <w:pStyle w:val="0"/>
              <w:jc w:val="center"/>
            </w:pPr>
            <w:r>
              <w:rPr>
                <w:sz w:val="20"/>
              </w:rPr>
              <w:t xml:space="preserve">I</w:t>
            </w:r>
          </w:p>
        </w:tc>
        <w:tc>
          <w:tcPr>
            <w:tcW w:w="902" w:type="dxa"/>
          </w:tcPr>
          <w:p>
            <w:pPr>
              <w:pStyle w:val="0"/>
              <w:jc w:val="center"/>
            </w:pPr>
            <w:r>
              <w:rPr>
                <w:sz w:val="20"/>
              </w:rPr>
              <w:t xml:space="preserve">II</w:t>
            </w:r>
          </w:p>
        </w:tc>
        <w:tc>
          <w:tcPr>
            <w:tcW w:w="1247" w:type="dxa"/>
          </w:tcPr>
          <w:p>
            <w:pPr>
              <w:pStyle w:val="0"/>
              <w:jc w:val="center"/>
            </w:pPr>
            <w:r>
              <w:rPr>
                <w:sz w:val="20"/>
              </w:rPr>
              <w:t xml:space="preserve">III</w:t>
            </w:r>
          </w:p>
        </w:tc>
      </w:tr>
      <w:tr>
        <w:tc>
          <w:tcPr>
            <w:tcW w:w="2721" w:type="dxa"/>
            <w:vAlign w:val="center"/>
          </w:tcPr>
          <w:p>
            <w:pPr>
              <w:pStyle w:val="0"/>
              <w:jc w:val="center"/>
            </w:pPr>
            <w:r>
              <w:rPr>
                <w:sz w:val="20"/>
              </w:rPr>
              <w:t xml:space="preserve">От 3,0 до 5,0 включительно</w:t>
            </w:r>
          </w:p>
        </w:tc>
        <w:tc>
          <w:tcPr>
            <w:tcW w:w="1171" w:type="dxa"/>
            <w:vAlign w:val="center"/>
          </w:tcPr>
          <w:p>
            <w:pPr>
              <w:pStyle w:val="0"/>
              <w:jc w:val="center"/>
            </w:pPr>
            <w:r>
              <w:rPr>
                <w:sz w:val="20"/>
              </w:rPr>
              <w:t xml:space="preserve">0,1</w:t>
            </w:r>
          </w:p>
        </w:tc>
        <w:tc>
          <w:tcPr>
            <w:tcW w:w="1104" w:type="dxa"/>
            <w:vAlign w:val="center"/>
          </w:tcPr>
          <w:p>
            <w:pPr>
              <w:pStyle w:val="0"/>
              <w:jc w:val="center"/>
            </w:pPr>
            <w:r>
              <w:rPr>
                <w:sz w:val="20"/>
              </w:rPr>
              <w:t xml:space="preserve">1,0</w:t>
            </w:r>
          </w:p>
        </w:tc>
        <w:tc>
          <w:tcPr>
            <w:tcW w:w="998" w:type="dxa"/>
            <w:vAlign w:val="center"/>
          </w:tcPr>
          <w:p>
            <w:pPr>
              <w:pStyle w:val="0"/>
              <w:jc w:val="center"/>
            </w:pPr>
            <w:r>
              <w:rPr>
                <w:sz w:val="20"/>
              </w:rPr>
              <w:t xml:space="preserve">1,8</w:t>
            </w:r>
          </w:p>
        </w:tc>
        <w:tc>
          <w:tcPr>
            <w:tcW w:w="912" w:type="dxa"/>
            <w:vAlign w:val="center"/>
          </w:tcPr>
          <w:p>
            <w:pPr>
              <w:pStyle w:val="0"/>
              <w:jc w:val="center"/>
            </w:pPr>
            <w:r>
              <w:rPr>
                <w:sz w:val="20"/>
              </w:rPr>
              <w:t xml:space="preserve">4,0</w:t>
            </w:r>
          </w:p>
        </w:tc>
        <w:tc>
          <w:tcPr>
            <w:tcW w:w="902" w:type="dxa"/>
            <w:vAlign w:val="center"/>
          </w:tcPr>
          <w:p>
            <w:pPr>
              <w:pStyle w:val="0"/>
              <w:jc w:val="center"/>
            </w:pPr>
            <w:r>
              <w:rPr>
                <w:sz w:val="20"/>
              </w:rPr>
              <w:t xml:space="preserve">6,0</w:t>
            </w:r>
          </w:p>
        </w:tc>
        <w:tc>
          <w:tcPr>
            <w:tcW w:w="1247" w:type="dxa"/>
            <w:vAlign w:val="center"/>
          </w:tcPr>
          <w:p>
            <w:pPr>
              <w:pStyle w:val="0"/>
              <w:jc w:val="center"/>
            </w:pPr>
            <w:r>
              <w:rPr>
                <w:sz w:val="20"/>
              </w:rPr>
              <w:t xml:space="preserve">10,0</w:t>
            </w:r>
          </w:p>
        </w:tc>
      </w:tr>
      <w:tr>
        <w:tc>
          <w:tcPr>
            <w:tcW w:w="2721" w:type="dxa"/>
            <w:vAlign w:val="center"/>
          </w:tcPr>
          <w:p>
            <w:pPr>
              <w:pStyle w:val="0"/>
              <w:jc w:val="center"/>
            </w:pPr>
            <w:r>
              <w:rPr>
                <w:sz w:val="20"/>
              </w:rPr>
              <w:t xml:space="preserve">Более 5,0 до 8,0 включительно</w:t>
            </w:r>
          </w:p>
        </w:tc>
        <w:tc>
          <w:tcPr>
            <w:tcW w:w="1171" w:type="dxa"/>
            <w:vAlign w:val="center"/>
          </w:tcPr>
          <w:p>
            <w:pPr>
              <w:pStyle w:val="0"/>
              <w:jc w:val="center"/>
            </w:pPr>
            <w:r>
              <w:rPr>
                <w:sz w:val="20"/>
              </w:rPr>
              <w:t xml:space="preserve">0,2</w:t>
            </w:r>
          </w:p>
        </w:tc>
        <w:tc>
          <w:tcPr>
            <w:tcW w:w="1104" w:type="dxa"/>
            <w:vAlign w:val="center"/>
          </w:tcPr>
          <w:p>
            <w:pPr>
              <w:pStyle w:val="0"/>
              <w:jc w:val="center"/>
            </w:pPr>
            <w:r>
              <w:rPr>
                <w:sz w:val="20"/>
              </w:rPr>
              <w:t xml:space="preserve">1,2</w:t>
            </w:r>
          </w:p>
        </w:tc>
        <w:tc>
          <w:tcPr>
            <w:tcW w:w="998" w:type="dxa"/>
            <w:vAlign w:val="center"/>
          </w:tcPr>
          <w:p>
            <w:pPr>
              <w:pStyle w:val="0"/>
              <w:jc w:val="center"/>
            </w:pPr>
            <w:r>
              <w:rPr>
                <w:sz w:val="20"/>
              </w:rPr>
              <w:t xml:space="preserve">2,2</w:t>
            </w:r>
          </w:p>
        </w:tc>
        <w:tc>
          <w:tcPr>
            <w:tcW w:w="912" w:type="dxa"/>
            <w:vAlign w:val="center"/>
          </w:tcPr>
          <w:p>
            <w:pPr>
              <w:pStyle w:val="0"/>
              <w:jc w:val="center"/>
            </w:pPr>
            <w:r>
              <w:rPr>
                <w:sz w:val="20"/>
              </w:rPr>
              <w:t xml:space="preserve">6,0</w:t>
            </w:r>
          </w:p>
        </w:tc>
        <w:tc>
          <w:tcPr>
            <w:tcW w:w="902" w:type="dxa"/>
            <w:vAlign w:val="center"/>
          </w:tcPr>
          <w:p>
            <w:pPr>
              <w:pStyle w:val="0"/>
              <w:jc w:val="center"/>
            </w:pPr>
            <w:r>
              <w:rPr>
                <w:sz w:val="20"/>
              </w:rPr>
              <w:t xml:space="preserve">8,0</w:t>
            </w:r>
          </w:p>
        </w:tc>
        <w:tc>
          <w:tcPr>
            <w:tcW w:w="1247" w:type="dxa"/>
            <w:vAlign w:val="center"/>
          </w:tcPr>
          <w:p>
            <w:pPr>
              <w:pStyle w:val="0"/>
              <w:jc w:val="center"/>
            </w:pPr>
            <w:r>
              <w:rPr>
                <w:sz w:val="20"/>
              </w:rPr>
              <w:t xml:space="preserve">12,0</w:t>
            </w:r>
          </w:p>
        </w:tc>
      </w:tr>
      <w:tr>
        <w:tc>
          <w:tcPr>
            <w:tcW w:w="2721" w:type="dxa"/>
            <w:vAlign w:val="center"/>
          </w:tcPr>
          <w:p>
            <w:pPr>
              <w:pStyle w:val="0"/>
              <w:jc w:val="center"/>
            </w:pPr>
            <w:r>
              <w:rPr>
                <w:sz w:val="20"/>
              </w:rPr>
              <w:t xml:space="preserve">Более 8,0 до 12,0 включительно</w:t>
            </w:r>
          </w:p>
        </w:tc>
        <w:tc>
          <w:tcPr>
            <w:tcW w:w="1171" w:type="dxa"/>
            <w:vAlign w:val="center"/>
          </w:tcPr>
          <w:p>
            <w:pPr>
              <w:pStyle w:val="0"/>
              <w:jc w:val="center"/>
            </w:pPr>
            <w:r>
              <w:rPr>
                <w:sz w:val="20"/>
              </w:rPr>
              <w:t xml:space="preserve">0,3</w:t>
            </w:r>
          </w:p>
        </w:tc>
        <w:tc>
          <w:tcPr>
            <w:tcW w:w="1104" w:type="dxa"/>
            <w:vAlign w:val="center"/>
          </w:tcPr>
          <w:p>
            <w:pPr>
              <w:pStyle w:val="0"/>
              <w:jc w:val="center"/>
            </w:pPr>
            <w:r>
              <w:rPr>
                <w:sz w:val="20"/>
              </w:rPr>
              <w:t xml:space="preserve">1,5</w:t>
            </w:r>
          </w:p>
        </w:tc>
        <w:tc>
          <w:tcPr>
            <w:tcW w:w="998" w:type="dxa"/>
            <w:vAlign w:val="center"/>
          </w:tcPr>
          <w:p>
            <w:pPr>
              <w:pStyle w:val="0"/>
              <w:jc w:val="center"/>
            </w:pPr>
            <w:r>
              <w:rPr>
                <w:sz w:val="20"/>
              </w:rPr>
              <w:t xml:space="preserve">2,5</w:t>
            </w:r>
          </w:p>
        </w:tc>
        <w:tc>
          <w:tcPr>
            <w:tcW w:w="912" w:type="dxa"/>
            <w:vAlign w:val="center"/>
          </w:tcPr>
          <w:p>
            <w:pPr>
              <w:pStyle w:val="0"/>
              <w:jc w:val="center"/>
            </w:pPr>
            <w:r>
              <w:rPr>
                <w:sz w:val="20"/>
              </w:rPr>
              <w:t xml:space="preserve">8,0</w:t>
            </w:r>
          </w:p>
        </w:tc>
        <w:tc>
          <w:tcPr>
            <w:tcW w:w="902" w:type="dxa"/>
            <w:vAlign w:val="center"/>
          </w:tcPr>
          <w:p>
            <w:pPr>
              <w:pStyle w:val="0"/>
              <w:jc w:val="center"/>
            </w:pPr>
            <w:r>
              <w:rPr>
                <w:sz w:val="20"/>
              </w:rPr>
              <w:t xml:space="preserve">10,0</w:t>
            </w:r>
          </w:p>
        </w:tc>
        <w:tc>
          <w:tcPr>
            <w:tcW w:w="1247" w:type="dxa"/>
            <w:vAlign w:val="center"/>
          </w:tcPr>
          <w:p>
            <w:pPr>
              <w:pStyle w:val="0"/>
              <w:jc w:val="center"/>
            </w:pPr>
            <w:r>
              <w:rPr>
                <w:sz w:val="20"/>
              </w:rPr>
              <w:t xml:space="preserve">15,0</w:t>
            </w:r>
          </w:p>
        </w:tc>
      </w:tr>
      <w:tr>
        <w:tc>
          <w:tcPr>
            <w:tcW w:w="2721" w:type="dxa"/>
            <w:vAlign w:val="center"/>
          </w:tcPr>
          <w:p>
            <w:pPr>
              <w:pStyle w:val="0"/>
              <w:jc w:val="center"/>
            </w:pPr>
            <w:r>
              <w:rPr>
                <w:sz w:val="20"/>
              </w:rPr>
              <w:t xml:space="preserve">Более 12,0 до 18,0 включительно</w:t>
            </w:r>
          </w:p>
        </w:tc>
        <w:tc>
          <w:tcPr>
            <w:tcW w:w="1171" w:type="dxa"/>
            <w:vAlign w:val="center"/>
          </w:tcPr>
          <w:p>
            <w:pPr>
              <w:pStyle w:val="0"/>
              <w:jc w:val="center"/>
            </w:pPr>
            <w:r>
              <w:rPr>
                <w:sz w:val="20"/>
              </w:rPr>
              <w:t xml:space="preserve">0,4</w:t>
            </w:r>
          </w:p>
        </w:tc>
        <w:tc>
          <w:tcPr>
            <w:tcW w:w="1104" w:type="dxa"/>
            <w:vAlign w:val="center"/>
          </w:tcPr>
          <w:p>
            <w:pPr>
              <w:pStyle w:val="0"/>
              <w:jc w:val="center"/>
            </w:pPr>
            <w:r>
              <w:rPr>
                <w:sz w:val="20"/>
              </w:rPr>
              <w:t xml:space="preserve">2,0</w:t>
            </w:r>
          </w:p>
        </w:tc>
        <w:tc>
          <w:tcPr>
            <w:tcW w:w="998" w:type="dxa"/>
            <w:vAlign w:val="center"/>
          </w:tcPr>
          <w:p>
            <w:pPr>
              <w:pStyle w:val="0"/>
              <w:jc w:val="center"/>
            </w:pPr>
            <w:r>
              <w:rPr>
                <w:sz w:val="20"/>
              </w:rPr>
              <w:t xml:space="preserve">3,0</w:t>
            </w:r>
          </w:p>
        </w:tc>
        <w:tc>
          <w:tcPr>
            <w:tcW w:w="912" w:type="dxa"/>
            <w:vAlign w:val="center"/>
          </w:tcPr>
          <w:p>
            <w:pPr>
              <w:pStyle w:val="0"/>
              <w:jc w:val="center"/>
            </w:pPr>
            <w:r>
              <w:rPr>
                <w:sz w:val="20"/>
              </w:rPr>
              <w:t xml:space="preserve">10,0</w:t>
            </w:r>
          </w:p>
        </w:tc>
        <w:tc>
          <w:tcPr>
            <w:tcW w:w="902" w:type="dxa"/>
            <w:vAlign w:val="center"/>
          </w:tcPr>
          <w:p>
            <w:pPr>
              <w:pStyle w:val="0"/>
              <w:jc w:val="center"/>
            </w:pPr>
            <w:r>
              <w:rPr>
                <w:sz w:val="20"/>
              </w:rPr>
              <w:t xml:space="preserve">15,0</w:t>
            </w:r>
          </w:p>
        </w:tc>
        <w:tc>
          <w:tcPr>
            <w:tcW w:w="1247" w:type="dxa"/>
            <w:vAlign w:val="center"/>
          </w:tcPr>
          <w:p>
            <w:pPr>
              <w:pStyle w:val="0"/>
              <w:jc w:val="center"/>
            </w:pPr>
            <w:r>
              <w:rPr>
                <w:sz w:val="20"/>
              </w:rPr>
              <w:t xml:space="preserve">20,0</w:t>
            </w:r>
          </w:p>
        </w:tc>
      </w:tr>
      <w:tr>
        <w:tc>
          <w:tcPr>
            <w:tcW w:w="2721" w:type="dxa"/>
            <w:vAlign w:val="center"/>
          </w:tcPr>
          <w:p>
            <w:pPr>
              <w:pStyle w:val="0"/>
              <w:jc w:val="center"/>
            </w:pPr>
            <w:r>
              <w:rPr>
                <w:sz w:val="20"/>
              </w:rPr>
              <w:t xml:space="preserve">Более 18,0 до 25,0 включительно</w:t>
            </w:r>
          </w:p>
        </w:tc>
        <w:tc>
          <w:tcPr>
            <w:tcW w:w="1171" w:type="dxa"/>
            <w:vAlign w:val="center"/>
          </w:tcPr>
          <w:p>
            <w:pPr>
              <w:pStyle w:val="0"/>
              <w:jc w:val="center"/>
            </w:pPr>
            <w:r>
              <w:rPr>
                <w:sz w:val="20"/>
              </w:rPr>
              <w:t xml:space="preserve">0,5</w:t>
            </w:r>
          </w:p>
        </w:tc>
        <w:tc>
          <w:tcPr>
            <w:tcW w:w="1104" w:type="dxa"/>
            <w:vAlign w:val="center"/>
          </w:tcPr>
          <w:p>
            <w:pPr>
              <w:pStyle w:val="0"/>
              <w:jc w:val="center"/>
            </w:pPr>
            <w:r>
              <w:rPr>
                <w:sz w:val="20"/>
              </w:rPr>
              <w:t xml:space="preserve">2,5</w:t>
            </w:r>
          </w:p>
        </w:tc>
        <w:tc>
          <w:tcPr>
            <w:tcW w:w="998" w:type="dxa"/>
            <w:vAlign w:val="center"/>
          </w:tcPr>
          <w:p>
            <w:pPr>
              <w:pStyle w:val="0"/>
              <w:jc w:val="center"/>
            </w:pPr>
            <w:r>
              <w:rPr>
                <w:sz w:val="20"/>
              </w:rPr>
              <w:t xml:space="preserve">4,0</w:t>
            </w:r>
          </w:p>
        </w:tc>
        <w:tc>
          <w:tcPr>
            <w:tcW w:w="912" w:type="dxa"/>
            <w:vAlign w:val="center"/>
          </w:tcPr>
          <w:p>
            <w:pPr>
              <w:pStyle w:val="0"/>
              <w:jc w:val="center"/>
            </w:pPr>
            <w:r>
              <w:rPr>
                <w:sz w:val="20"/>
              </w:rPr>
              <w:t xml:space="preserve">12,0</w:t>
            </w:r>
          </w:p>
        </w:tc>
        <w:tc>
          <w:tcPr>
            <w:tcW w:w="902" w:type="dxa"/>
            <w:vAlign w:val="center"/>
          </w:tcPr>
          <w:p>
            <w:pPr>
              <w:pStyle w:val="0"/>
              <w:jc w:val="center"/>
            </w:pPr>
            <w:r>
              <w:rPr>
                <w:sz w:val="20"/>
              </w:rPr>
              <w:t xml:space="preserve">18,0</w:t>
            </w:r>
          </w:p>
        </w:tc>
        <w:tc>
          <w:tcPr>
            <w:tcW w:w="1247" w:type="dxa"/>
            <w:vAlign w:val="center"/>
          </w:tcPr>
          <w:p>
            <w:pPr>
              <w:pStyle w:val="0"/>
              <w:jc w:val="center"/>
            </w:pPr>
            <w:r>
              <w:rPr>
                <w:sz w:val="20"/>
              </w:rPr>
              <w:t xml:space="preserve">24,0</w:t>
            </w:r>
          </w:p>
        </w:tc>
      </w:tr>
      <w:tr>
        <w:tc>
          <w:tcPr>
            <w:tcW w:w="2721" w:type="dxa"/>
            <w:vAlign w:val="center"/>
          </w:tcPr>
          <w:p>
            <w:pPr>
              <w:pStyle w:val="0"/>
              <w:jc w:val="center"/>
            </w:pPr>
            <w:r>
              <w:rPr>
                <w:sz w:val="20"/>
              </w:rPr>
              <w:t xml:space="preserve">Более 25,0 до 30,0 включительно</w:t>
            </w:r>
          </w:p>
        </w:tc>
        <w:tc>
          <w:tcPr>
            <w:tcW w:w="1171" w:type="dxa"/>
            <w:vAlign w:val="center"/>
          </w:tcPr>
          <w:p>
            <w:pPr>
              <w:pStyle w:val="0"/>
              <w:jc w:val="center"/>
            </w:pPr>
            <w:r>
              <w:rPr>
                <w:sz w:val="20"/>
              </w:rPr>
              <w:t xml:space="preserve">0,5</w:t>
            </w:r>
          </w:p>
        </w:tc>
        <w:tc>
          <w:tcPr>
            <w:tcW w:w="1104" w:type="dxa"/>
            <w:vAlign w:val="center"/>
          </w:tcPr>
          <w:p>
            <w:pPr>
              <w:pStyle w:val="0"/>
              <w:jc w:val="center"/>
            </w:pPr>
            <w:r>
              <w:rPr>
                <w:sz w:val="20"/>
              </w:rPr>
              <w:t xml:space="preserve">3,0</w:t>
            </w:r>
          </w:p>
        </w:tc>
        <w:tc>
          <w:tcPr>
            <w:tcW w:w="998" w:type="dxa"/>
            <w:vAlign w:val="center"/>
          </w:tcPr>
          <w:p>
            <w:pPr>
              <w:pStyle w:val="0"/>
              <w:jc w:val="center"/>
            </w:pPr>
            <w:r>
              <w:rPr>
                <w:sz w:val="20"/>
              </w:rPr>
              <w:t xml:space="preserve">5,0</w:t>
            </w:r>
          </w:p>
        </w:tc>
        <w:tc>
          <w:tcPr>
            <w:tcW w:w="912" w:type="dxa"/>
            <w:vAlign w:val="center"/>
          </w:tcPr>
          <w:p>
            <w:pPr>
              <w:pStyle w:val="0"/>
              <w:jc w:val="center"/>
            </w:pPr>
            <w:r>
              <w:rPr>
                <w:sz w:val="20"/>
              </w:rPr>
              <w:t xml:space="preserve">14,0</w:t>
            </w:r>
          </w:p>
        </w:tc>
        <w:tc>
          <w:tcPr>
            <w:tcW w:w="902" w:type="dxa"/>
            <w:vAlign w:val="center"/>
          </w:tcPr>
          <w:p>
            <w:pPr>
              <w:pStyle w:val="0"/>
              <w:jc w:val="center"/>
            </w:pPr>
            <w:r>
              <w:rPr>
                <w:sz w:val="20"/>
              </w:rPr>
              <w:t xml:space="preserve">20,0</w:t>
            </w:r>
          </w:p>
        </w:tc>
        <w:tc>
          <w:tcPr>
            <w:tcW w:w="1247" w:type="dxa"/>
            <w:vAlign w:val="center"/>
          </w:tcPr>
          <w:p>
            <w:pPr>
              <w:pStyle w:val="0"/>
              <w:jc w:val="center"/>
            </w:pPr>
            <w:r>
              <w:rPr>
                <w:sz w:val="20"/>
              </w:rPr>
              <w:t xml:space="preserve">26,0</w:t>
            </w:r>
          </w:p>
        </w:tc>
      </w:tr>
    </w:tbl>
    <w:p>
      <w:pPr>
        <w:pStyle w:val="0"/>
        <w:jc w:val="both"/>
      </w:pPr>
      <w:r>
        <w:rPr>
          <w:sz w:val="20"/>
        </w:rPr>
      </w:r>
    </w:p>
    <w:p>
      <w:pPr>
        <w:pStyle w:val="0"/>
        <w:ind w:firstLine="540"/>
        <w:jc w:val="both"/>
      </w:pPr>
      <w:r>
        <w:rPr>
          <w:sz w:val="20"/>
        </w:rPr>
        <w:t xml:space="preserve">36. Нормы оценки качества сварных соединений деталей и сборочных единиц из титановых сплавов приведены в таблице N 4.11 настоящего приложения.</w:t>
      </w:r>
    </w:p>
    <w:p>
      <w:pPr>
        <w:pStyle w:val="0"/>
        <w:jc w:val="both"/>
      </w:pPr>
      <w:r>
        <w:rPr>
          <w:sz w:val="20"/>
        </w:rPr>
      </w:r>
    </w:p>
    <w:p>
      <w:pPr>
        <w:pStyle w:val="0"/>
        <w:outlineLvl w:val="3"/>
        <w:jc w:val="right"/>
      </w:pPr>
      <w:r>
        <w:rPr>
          <w:sz w:val="20"/>
        </w:rPr>
        <w:t xml:space="preserve">Таблица N 4.11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21"/>
        <w:gridCol w:w="1133"/>
        <w:gridCol w:w="1694"/>
        <w:gridCol w:w="2112"/>
        <w:gridCol w:w="1417"/>
      </w:tblGrid>
      <w:tr>
        <w:tc>
          <w:tcPr>
            <w:tcW w:w="2721" w:type="dxa"/>
            <w:vMerge w:val="restart"/>
          </w:tcPr>
          <w:p>
            <w:pPr>
              <w:pStyle w:val="0"/>
              <w:jc w:val="center"/>
            </w:pPr>
            <w:r>
              <w:rPr>
                <w:sz w:val="20"/>
              </w:rPr>
              <w:t xml:space="preserve">Номинальная толщина свариваемых деталей,</w:t>
            </w:r>
          </w:p>
          <w:p>
            <w:pPr>
              <w:pStyle w:val="0"/>
              <w:jc w:val="center"/>
            </w:pPr>
            <w:r>
              <w:rPr>
                <w:sz w:val="20"/>
              </w:rPr>
              <w:t xml:space="preserve">мм</w:t>
            </w:r>
          </w:p>
        </w:tc>
        <w:tc>
          <w:tcPr>
            <w:tcW w:w="1133" w:type="dxa"/>
            <w:vMerge w:val="restart"/>
          </w:tcPr>
          <w:p>
            <w:pPr>
              <w:pStyle w:val="0"/>
              <w:jc w:val="center"/>
            </w:pPr>
            <w:r>
              <w:rPr>
                <w:sz w:val="20"/>
              </w:rPr>
              <w:t xml:space="preserve">Категория сварного соединения</w:t>
            </w:r>
          </w:p>
        </w:tc>
        <w:tc>
          <w:tcPr>
            <w:tcW w:w="1694" w:type="dxa"/>
            <w:vMerge w:val="restart"/>
          </w:tcPr>
          <w:p>
            <w:pPr>
              <w:pStyle w:val="0"/>
              <w:jc w:val="center"/>
            </w:pPr>
            <w:r>
              <w:rPr>
                <w:sz w:val="20"/>
              </w:rPr>
              <w:t xml:space="preserve">Допустимый размер отдельной несплошности (поры и включения),</w:t>
            </w:r>
          </w:p>
          <w:p>
            <w:pPr>
              <w:pStyle w:val="0"/>
              <w:jc w:val="center"/>
            </w:pPr>
            <w:r>
              <w:rPr>
                <w:sz w:val="20"/>
              </w:rPr>
              <w:t xml:space="preserve">мм</w:t>
            </w:r>
          </w:p>
        </w:tc>
        <w:tc>
          <w:tcPr>
            <w:gridSpan w:val="2"/>
            <w:tcW w:w="3529" w:type="dxa"/>
          </w:tcPr>
          <w:p>
            <w:pPr>
              <w:pStyle w:val="0"/>
              <w:jc w:val="center"/>
            </w:pPr>
            <w:r>
              <w:rPr>
                <w:sz w:val="20"/>
              </w:rPr>
              <w:t xml:space="preserve">Допустимая суммарная длина всех допустимых несплошностей</w:t>
            </w:r>
          </w:p>
        </w:tc>
      </w:tr>
      <w:tr>
        <w:tc>
          <w:tcPr>
            <w:vMerge w:val="continue"/>
          </w:tcPr>
          <w:p/>
        </w:tc>
        <w:tc>
          <w:tcPr>
            <w:vMerge w:val="continue"/>
          </w:tcPr>
          <w:p/>
        </w:tc>
        <w:tc>
          <w:tcPr>
            <w:vMerge w:val="continue"/>
          </w:tcPr>
          <w:p/>
        </w:tc>
        <w:tc>
          <w:tcPr>
            <w:tcW w:w="2112" w:type="dxa"/>
          </w:tcPr>
          <w:p>
            <w:pPr>
              <w:pStyle w:val="0"/>
              <w:jc w:val="center"/>
            </w:pPr>
            <w:r>
              <w:rPr>
                <w:sz w:val="20"/>
              </w:rPr>
              <w:t xml:space="preserve">для любого участка радиограммы длиной 100,0 мм,</w:t>
            </w:r>
          </w:p>
          <w:p>
            <w:pPr>
              <w:pStyle w:val="0"/>
              <w:jc w:val="center"/>
            </w:pPr>
            <w:r>
              <w:rPr>
                <w:sz w:val="20"/>
              </w:rPr>
              <w:t xml:space="preserve">мм</w:t>
            </w:r>
          </w:p>
        </w:tc>
        <w:tc>
          <w:tcPr>
            <w:tcW w:w="1417" w:type="dxa"/>
          </w:tcPr>
          <w:p>
            <w:pPr>
              <w:pStyle w:val="0"/>
              <w:jc w:val="center"/>
            </w:pPr>
            <w:r>
              <w:rPr>
                <w:sz w:val="20"/>
              </w:rPr>
              <w:t xml:space="preserve">для всей радиограммы,</w:t>
            </w:r>
          </w:p>
          <w:p>
            <w:pPr>
              <w:pStyle w:val="0"/>
              <w:jc w:val="center"/>
            </w:pPr>
            <w:r>
              <w:rPr>
                <w:sz w:val="20"/>
              </w:rPr>
              <w:t xml:space="preserve">%</w:t>
            </w:r>
          </w:p>
        </w:tc>
      </w:tr>
      <w:tr>
        <w:tc>
          <w:tcPr>
            <w:tcW w:w="2721" w:type="dxa"/>
            <w:vAlign w:val="center"/>
            <w:vMerge w:val="restart"/>
          </w:tcPr>
          <w:p>
            <w:pPr>
              <w:pStyle w:val="0"/>
              <w:jc w:val="center"/>
            </w:pPr>
            <w:r>
              <w:rPr>
                <w:sz w:val="20"/>
              </w:rPr>
              <w:t xml:space="preserve">До 2,0 включительно</w:t>
            </w:r>
          </w:p>
        </w:tc>
        <w:tc>
          <w:tcPr>
            <w:tcW w:w="1133" w:type="dxa"/>
            <w:vAlign w:val="center"/>
          </w:tcPr>
          <w:p>
            <w:pPr>
              <w:pStyle w:val="0"/>
              <w:jc w:val="center"/>
            </w:pPr>
            <w:r>
              <w:rPr>
                <w:sz w:val="20"/>
              </w:rPr>
              <w:t xml:space="preserve">I, II</w:t>
            </w:r>
          </w:p>
        </w:tc>
        <w:tc>
          <w:tcPr>
            <w:tcW w:w="1694" w:type="dxa"/>
            <w:vAlign w:val="center"/>
          </w:tcPr>
          <w:p>
            <w:pPr>
              <w:pStyle w:val="0"/>
              <w:jc w:val="center"/>
            </w:pPr>
            <w:r>
              <w:rPr>
                <w:sz w:val="20"/>
              </w:rPr>
              <w:t xml:space="preserve">0,2</w:t>
            </w:r>
          </w:p>
        </w:tc>
        <w:tc>
          <w:tcPr>
            <w:tcW w:w="2112" w:type="dxa"/>
            <w:vAlign w:val="center"/>
          </w:tcPr>
          <w:p>
            <w:pPr>
              <w:pStyle w:val="0"/>
              <w:jc w:val="center"/>
            </w:pPr>
            <w:r>
              <w:rPr>
                <w:sz w:val="20"/>
              </w:rPr>
              <w:t xml:space="preserve">0,6</w:t>
            </w:r>
          </w:p>
        </w:tc>
        <w:tc>
          <w:tcPr>
            <w:tcW w:w="1417" w:type="dxa"/>
            <w:vAlign w:val="center"/>
          </w:tcPr>
          <w:p>
            <w:pPr>
              <w:pStyle w:val="0"/>
              <w:jc w:val="center"/>
            </w:pPr>
            <w:r>
              <w:rPr>
                <w:sz w:val="20"/>
              </w:rPr>
              <w:t xml:space="preserve">0,5</w:t>
            </w:r>
          </w:p>
        </w:tc>
      </w:tr>
      <w:tr>
        <w:tc>
          <w:tcPr>
            <w:vMerge w:val="continue"/>
          </w:tcPr>
          <w:p/>
        </w:tc>
        <w:tc>
          <w:tcPr>
            <w:tcW w:w="1133" w:type="dxa"/>
            <w:vAlign w:val="center"/>
          </w:tcPr>
          <w:p>
            <w:pPr>
              <w:pStyle w:val="0"/>
              <w:jc w:val="center"/>
            </w:pPr>
            <w:r>
              <w:rPr>
                <w:sz w:val="20"/>
              </w:rPr>
              <w:t xml:space="preserve">III</w:t>
            </w:r>
          </w:p>
        </w:tc>
        <w:tc>
          <w:tcPr>
            <w:tcW w:w="1694" w:type="dxa"/>
            <w:vAlign w:val="center"/>
          </w:tcPr>
          <w:p>
            <w:pPr>
              <w:pStyle w:val="0"/>
              <w:jc w:val="center"/>
            </w:pPr>
            <w:r>
              <w:rPr>
                <w:sz w:val="20"/>
              </w:rPr>
              <w:t xml:space="preserve">0,4</w:t>
            </w:r>
          </w:p>
        </w:tc>
        <w:tc>
          <w:tcPr>
            <w:tcW w:w="2112" w:type="dxa"/>
            <w:vAlign w:val="center"/>
          </w:tcPr>
          <w:p>
            <w:pPr>
              <w:pStyle w:val="0"/>
              <w:jc w:val="center"/>
            </w:pPr>
            <w:r>
              <w:rPr>
                <w:sz w:val="20"/>
              </w:rPr>
              <w:t xml:space="preserve">2,5</w:t>
            </w:r>
          </w:p>
        </w:tc>
        <w:tc>
          <w:tcPr>
            <w:tcW w:w="1417" w:type="dxa"/>
            <w:vAlign w:val="center"/>
          </w:tcPr>
          <w:p>
            <w:pPr>
              <w:pStyle w:val="0"/>
              <w:jc w:val="center"/>
            </w:pPr>
            <w:r>
              <w:rPr>
                <w:sz w:val="20"/>
              </w:rPr>
              <w:t xml:space="preserve">2,5</w:t>
            </w:r>
          </w:p>
        </w:tc>
      </w:tr>
      <w:tr>
        <w:tc>
          <w:tcPr>
            <w:tcW w:w="2721" w:type="dxa"/>
            <w:vAlign w:val="center"/>
            <w:vMerge w:val="restart"/>
          </w:tcPr>
          <w:p>
            <w:pPr>
              <w:pStyle w:val="0"/>
              <w:jc w:val="center"/>
            </w:pPr>
            <w:r>
              <w:rPr>
                <w:sz w:val="20"/>
              </w:rPr>
              <w:t xml:space="preserve">Более 2,0 до 3,0 включительно</w:t>
            </w:r>
          </w:p>
        </w:tc>
        <w:tc>
          <w:tcPr>
            <w:tcW w:w="1133" w:type="dxa"/>
            <w:vAlign w:val="center"/>
          </w:tcPr>
          <w:p>
            <w:pPr>
              <w:pStyle w:val="0"/>
              <w:jc w:val="center"/>
            </w:pPr>
            <w:r>
              <w:rPr>
                <w:sz w:val="20"/>
              </w:rPr>
              <w:t xml:space="preserve">I, II</w:t>
            </w:r>
          </w:p>
        </w:tc>
        <w:tc>
          <w:tcPr>
            <w:tcW w:w="1694" w:type="dxa"/>
            <w:vAlign w:val="center"/>
          </w:tcPr>
          <w:p>
            <w:pPr>
              <w:pStyle w:val="0"/>
              <w:jc w:val="center"/>
            </w:pPr>
            <w:r>
              <w:rPr>
                <w:sz w:val="20"/>
              </w:rPr>
              <w:t xml:space="preserve">0,3</w:t>
            </w:r>
          </w:p>
        </w:tc>
        <w:tc>
          <w:tcPr>
            <w:tcW w:w="2112" w:type="dxa"/>
            <w:vAlign w:val="center"/>
          </w:tcPr>
          <w:p>
            <w:pPr>
              <w:pStyle w:val="0"/>
              <w:jc w:val="center"/>
            </w:pPr>
            <w:r>
              <w:rPr>
                <w:sz w:val="20"/>
              </w:rPr>
              <w:t xml:space="preserve">0,9</w:t>
            </w:r>
          </w:p>
        </w:tc>
        <w:tc>
          <w:tcPr>
            <w:tcW w:w="1417" w:type="dxa"/>
            <w:vAlign w:val="center"/>
          </w:tcPr>
          <w:p>
            <w:pPr>
              <w:pStyle w:val="0"/>
              <w:jc w:val="center"/>
            </w:pPr>
            <w:r>
              <w:rPr>
                <w:sz w:val="20"/>
              </w:rPr>
              <w:t xml:space="preserve">0,7</w:t>
            </w:r>
          </w:p>
        </w:tc>
      </w:tr>
      <w:tr>
        <w:tc>
          <w:tcPr>
            <w:vMerge w:val="continue"/>
          </w:tcPr>
          <w:p/>
        </w:tc>
        <w:tc>
          <w:tcPr>
            <w:tcW w:w="1133" w:type="dxa"/>
            <w:vAlign w:val="center"/>
          </w:tcPr>
          <w:p>
            <w:pPr>
              <w:pStyle w:val="0"/>
              <w:jc w:val="center"/>
            </w:pPr>
            <w:r>
              <w:rPr>
                <w:sz w:val="20"/>
              </w:rPr>
              <w:t xml:space="preserve">III</w:t>
            </w:r>
          </w:p>
        </w:tc>
        <w:tc>
          <w:tcPr>
            <w:tcW w:w="1694" w:type="dxa"/>
            <w:vAlign w:val="center"/>
          </w:tcPr>
          <w:p>
            <w:pPr>
              <w:pStyle w:val="0"/>
              <w:jc w:val="center"/>
            </w:pPr>
            <w:r>
              <w:rPr>
                <w:sz w:val="20"/>
              </w:rPr>
              <w:t xml:space="preserve">0,6</w:t>
            </w:r>
          </w:p>
        </w:tc>
        <w:tc>
          <w:tcPr>
            <w:tcW w:w="2112" w:type="dxa"/>
            <w:vAlign w:val="center"/>
          </w:tcPr>
          <w:p>
            <w:pPr>
              <w:pStyle w:val="0"/>
              <w:jc w:val="center"/>
            </w:pPr>
            <w:r>
              <w:rPr>
                <w:sz w:val="20"/>
              </w:rPr>
              <w:t xml:space="preserve">4,5</w:t>
            </w:r>
          </w:p>
        </w:tc>
        <w:tc>
          <w:tcPr>
            <w:tcW w:w="1417" w:type="dxa"/>
            <w:vAlign w:val="center"/>
          </w:tcPr>
          <w:p>
            <w:pPr>
              <w:pStyle w:val="0"/>
              <w:jc w:val="center"/>
            </w:pPr>
            <w:r>
              <w:rPr>
                <w:sz w:val="20"/>
              </w:rPr>
              <w:t xml:space="preserve">4,0</w:t>
            </w:r>
          </w:p>
        </w:tc>
      </w:tr>
      <w:tr>
        <w:tc>
          <w:tcPr>
            <w:tcW w:w="2721" w:type="dxa"/>
            <w:vAlign w:val="center"/>
            <w:vMerge w:val="restart"/>
          </w:tcPr>
          <w:p>
            <w:pPr>
              <w:pStyle w:val="0"/>
              <w:jc w:val="center"/>
            </w:pPr>
            <w:r>
              <w:rPr>
                <w:sz w:val="20"/>
              </w:rPr>
              <w:t xml:space="preserve">Более 3,0 до 4,0 включительно</w:t>
            </w:r>
          </w:p>
        </w:tc>
        <w:tc>
          <w:tcPr>
            <w:tcW w:w="1133" w:type="dxa"/>
            <w:vAlign w:val="center"/>
          </w:tcPr>
          <w:p>
            <w:pPr>
              <w:pStyle w:val="0"/>
              <w:jc w:val="center"/>
            </w:pPr>
            <w:r>
              <w:rPr>
                <w:sz w:val="20"/>
              </w:rPr>
              <w:t xml:space="preserve">I, II</w:t>
            </w:r>
          </w:p>
        </w:tc>
        <w:tc>
          <w:tcPr>
            <w:tcW w:w="1694" w:type="dxa"/>
            <w:vAlign w:val="center"/>
          </w:tcPr>
          <w:p>
            <w:pPr>
              <w:pStyle w:val="0"/>
              <w:jc w:val="center"/>
            </w:pPr>
            <w:r>
              <w:rPr>
                <w:sz w:val="20"/>
              </w:rPr>
              <w:t xml:space="preserve">0,4</w:t>
            </w:r>
          </w:p>
        </w:tc>
        <w:tc>
          <w:tcPr>
            <w:tcW w:w="2112" w:type="dxa"/>
            <w:vAlign w:val="center"/>
          </w:tcPr>
          <w:p>
            <w:pPr>
              <w:pStyle w:val="0"/>
              <w:jc w:val="center"/>
            </w:pPr>
            <w:r>
              <w:rPr>
                <w:sz w:val="20"/>
              </w:rPr>
              <w:t xml:space="preserve">1,2</w:t>
            </w:r>
          </w:p>
        </w:tc>
        <w:tc>
          <w:tcPr>
            <w:tcW w:w="1417" w:type="dxa"/>
            <w:vAlign w:val="center"/>
          </w:tcPr>
          <w:p>
            <w:pPr>
              <w:pStyle w:val="0"/>
              <w:jc w:val="center"/>
            </w:pPr>
            <w:r>
              <w:rPr>
                <w:sz w:val="20"/>
              </w:rPr>
              <w:t xml:space="preserve">1,0</w:t>
            </w:r>
          </w:p>
        </w:tc>
      </w:tr>
      <w:tr>
        <w:tc>
          <w:tcPr>
            <w:vMerge w:val="continue"/>
          </w:tcPr>
          <w:p/>
        </w:tc>
        <w:tc>
          <w:tcPr>
            <w:tcW w:w="1133" w:type="dxa"/>
            <w:vAlign w:val="center"/>
          </w:tcPr>
          <w:p>
            <w:pPr>
              <w:pStyle w:val="0"/>
              <w:jc w:val="center"/>
            </w:pPr>
            <w:r>
              <w:rPr>
                <w:sz w:val="20"/>
              </w:rPr>
              <w:t xml:space="preserve">III</w:t>
            </w:r>
          </w:p>
        </w:tc>
        <w:tc>
          <w:tcPr>
            <w:tcW w:w="1694" w:type="dxa"/>
            <w:vAlign w:val="center"/>
          </w:tcPr>
          <w:p>
            <w:pPr>
              <w:pStyle w:val="0"/>
              <w:jc w:val="center"/>
            </w:pPr>
            <w:r>
              <w:rPr>
                <w:sz w:val="20"/>
              </w:rPr>
              <w:t xml:space="preserve">0,8</w:t>
            </w:r>
          </w:p>
        </w:tc>
        <w:tc>
          <w:tcPr>
            <w:tcW w:w="2112" w:type="dxa"/>
            <w:vAlign w:val="center"/>
          </w:tcPr>
          <w:p>
            <w:pPr>
              <w:pStyle w:val="0"/>
              <w:jc w:val="center"/>
            </w:pPr>
            <w:r>
              <w:rPr>
                <w:sz w:val="20"/>
              </w:rPr>
              <w:t xml:space="preserve">5,6</w:t>
            </w:r>
          </w:p>
        </w:tc>
        <w:tc>
          <w:tcPr>
            <w:tcW w:w="1417" w:type="dxa"/>
            <w:vAlign w:val="center"/>
          </w:tcPr>
          <w:p>
            <w:pPr>
              <w:pStyle w:val="0"/>
              <w:jc w:val="center"/>
            </w:pPr>
            <w:r>
              <w:rPr>
                <w:sz w:val="20"/>
              </w:rPr>
              <w:t xml:space="preserve">5,0</w:t>
            </w:r>
          </w:p>
        </w:tc>
      </w:tr>
      <w:tr>
        <w:tc>
          <w:tcPr>
            <w:tcW w:w="2721" w:type="dxa"/>
            <w:vAlign w:val="center"/>
            <w:vMerge w:val="restart"/>
          </w:tcPr>
          <w:p>
            <w:pPr>
              <w:pStyle w:val="0"/>
              <w:jc w:val="center"/>
            </w:pPr>
            <w:r>
              <w:rPr>
                <w:sz w:val="20"/>
              </w:rPr>
              <w:t xml:space="preserve">Более 4,0 до 5,0 включительно</w:t>
            </w:r>
          </w:p>
        </w:tc>
        <w:tc>
          <w:tcPr>
            <w:tcW w:w="1133" w:type="dxa"/>
            <w:vAlign w:val="center"/>
          </w:tcPr>
          <w:p>
            <w:pPr>
              <w:pStyle w:val="0"/>
              <w:jc w:val="center"/>
            </w:pPr>
            <w:r>
              <w:rPr>
                <w:sz w:val="20"/>
              </w:rPr>
              <w:t xml:space="preserve">I, II</w:t>
            </w:r>
          </w:p>
        </w:tc>
        <w:tc>
          <w:tcPr>
            <w:tcW w:w="1694" w:type="dxa"/>
            <w:vAlign w:val="center"/>
          </w:tcPr>
          <w:p>
            <w:pPr>
              <w:pStyle w:val="0"/>
              <w:jc w:val="center"/>
            </w:pPr>
            <w:r>
              <w:rPr>
                <w:sz w:val="20"/>
              </w:rPr>
              <w:t xml:space="preserve">0,5</w:t>
            </w:r>
          </w:p>
        </w:tc>
        <w:tc>
          <w:tcPr>
            <w:tcW w:w="2112" w:type="dxa"/>
            <w:vAlign w:val="center"/>
          </w:tcPr>
          <w:p>
            <w:pPr>
              <w:pStyle w:val="0"/>
              <w:jc w:val="center"/>
            </w:pPr>
            <w:r>
              <w:rPr>
                <w:sz w:val="20"/>
              </w:rPr>
              <w:t xml:space="preserve">1,5</w:t>
            </w:r>
          </w:p>
        </w:tc>
        <w:tc>
          <w:tcPr>
            <w:tcW w:w="1417" w:type="dxa"/>
            <w:vAlign w:val="center"/>
          </w:tcPr>
          <w:p>
            <w:pPr>
              <w:pStyle w:val="0"/>
              <w:jc w:val="center"/>
            </w:pPr>
            <w:r>
              <w:rPr>
                <w:sz w:val="20"/>
              </w:rPr>
              <w:t xml:space="preserve">1,5</w:t>
            </w:r>
          </w:p>
        </w:tc>
      </w:tr>
      <w:tr>
        <w:tc>
          <w:tcPr>
            <w:vMerge w:val="continue"/>
          </w:tcPr>
          <w:p/>
        </w:tc>
        <w:tc>
          <w:tcPr>
            <w:tcW w:w="1133" w:type="dxa"/>
            <w:vAlign w:val="center"/>
          </w:tcPr>
          <w:p>
            <w:pPr>
              <w:pStyle w:val="0"/>
              <w:jc w:val="center"/>
            </w:pPr>
            <w:r>
              <w:rPr>
                <w:sz w:val="20"/>
              </w:rPr>
              <w:t xml:space="preserve">III</w:t>
            </w:r>
          </w:p>
        </w:tc>
        <w:tc>
          <w:tcPr>
            <w:tcW w:w="1694" w:type="dxa"/>
            <w:vAlign w:val="center"/>
          </w:tcPr>
          <w:p>
            <w:pPr>
              <w:pStyle w:val="0"/>
              <w:jc w:val="center"/>
            </w:pPr>
            <w:r>
              <w:rPr>
                <w:sz w:val="20"/>
              </w:rPr>
              <w:t xml:space="preserve">1,0</w:t>
            </w:r>
          </w:p>
        </w:tc>
        <w:tc>
          <w:tcPr>
            <w:tcW w:w="2112" w:type="dxa"/>
            <w:vAlign w:val="center"/>
          </w:tcPr>
          <w:p>
            <w:pPr>
              <w:pStyle w:val="0"/>
              <w:jc w:val="center"/>
            </w:pPr>
            <w:r>
              <w:rPr>
                <w:sz w:val="20"/>
              </w:rPr>
              <w:t xml:space="preserve">7,0</w:t>
            </w:r>
          </w:p>
        </w:tc>
        <w:tc>
          <w:tcPr>
            <w:tcW w:w="1417" w:type="dxa"/>
            <w:vAlign w:val="center"/>
          </w:tcPr>
          <w:p>
            <w:pPr>
              <w:pStyle w:val="0"/>
              <w:jc w:val="center"/>
            </w:pPr>
            <w:r>
              <w:rPr>
                <w:sz w:val="20"/>
              </w:rPr>
              <w:t xml:space="preserve">7,0</w:t>
            </w:r>
          </w:p>
        </w:tc>
      </w:tr>
      <w:tr>
        <w:tc>
          <w:tcPr>
            <w:tcW w:w="2721" w:type="dxa"/>
            <w:vAlign w:val="center"/>
            <w:vMerge w:val="restart"/>
          </w:tcPr>
          <w:p>
            <w:pPr>
              <w:pStyle w:val="0"/>
              <w:jc w:val="center"/>
            </w:pPr>
            <w:r>
              <w:rPr>
                <w:sz w:val="20"/>
              </w:rPr>
              <w:t xml:space="preserve">Более 5,0 до 12,0 включительно</w:t>
            </w:r>
          </w:p>
        </w:tc>
        <w:tc>
          <w:tcPr>
            <w:tcW w:w="1133" w:type="dxa"/>
            <w:vAlign w:val="center"/>
          </w:tcPr>
          <w:p>
            <w:pPr>
              <w:pStyle w:val="0"/>
              <w:jc w:val="center"/>
            </w:pPr>
            <w:r>
              <w:rPr>
                <w:sz w:val="20"/>
              </w:rPr>
              <w:t xml:space="preserve">I, II</w:t>
            </w:r>
          </w:p>
        </w:tc>
        <w:tc>
          <w:tcPr>
            <w:tcW w:w="1694" w:type="dxa"/>
            <w:vAlign w:val="center"/>
          </w:tcPr>
          <w:p>
            <w:pPr>
              <w:pStyle w:val="0"/>
              <w:jc w:val="center"/>
            </w:pPr>
            <w:r>
              <w:rPr>
                <w:sz w:val="20"/>
              </w:rPr>
              <w:t xml:space="preserve">1,2</w:t>
            </w:r>
          </w:p>
        </w:tc>
        <w:tc>
          <w:tcPr>
            <w:tcW w:w="2112" w:type="dxa"/>
            <w:vAlign w:val="center"/>
          </w:tcPr>
          <w:p>
            <w:pPr>
              <w:pStyle w:val="0"/>
              <w:jc w:val="center"/>
            </w:pPr>
            <w:r>
              <w:rPr>
                <w:sz w:val="20"/>
              </w:rPr>
              <w:t xml:space="preserve">2,4</w:t>
            </w:r>
          </w:p>
        </w:tc>
        <w:tc>
          <w:tcPr>
            <w:tcW w:w="1417" w:type="dxa"/>
            <w:vAlign w:val="center"/>
          </w:tcPr>
          <w:p>
            <w:pPr>
              <w:pStyle w:val="0"/>
              <w:jc w:val="center"/>
            </w:pPr>
            <w:r>
              <w:rPr>
                <w:sz w:val="20"/>
              </w:rPr>
              <w:t xml:space="preserve">2,0</w:t>
            </w:r>
          </w:p>
        </w:tc>
      </w:tr>
      <w:tr>
        <w:tc>
          <w:tcPr>
            <w:vMerge w:val="continue"/>
          </w:tcPr>
          <w:p/>
        </w:tc>
        <w:tc>
          <w:tcPr>
            <w:tcW w:w="1133" w:type="dxa"/>
            <w:vAlign w:val="center"/>
          </w:tcPr>
          <w:p>
            <w:pPr>
              <w:pStyle w:val="0"/>
              <w:jc w:val="center"/>
            </w:pPr>
            <w:r>
              <w:rPr>
                <w:sz w:val="20"/>
              </w:rPr>
              <w:t xml:space="preserve">III</w:t>
            </w:r>
          </w:p>
        </w:tc>
        <w:tc>
          <w:tcPr>
            <w:tcW w:w="1694" w:type="dxa"/>
            <w:vAlign w:val="center"/>
          </w:tcPr>
          <w:p>
            <w:pPr>
              <w:pStyle w:val="0"/>
              <w:jc w:val="center"/>
            </w:pPr>
            <w:r>
              <w:rPr>
                <w:sz w:val="20"/>
              </w:rPr>
              <w:t xml:space="preserve">1,5</w:t>
            </w:r>
          </w:p>
        </w:tc>
        <w:tc>
          <w:tcPr>
            <w:tcW w:w="2112" w:type="dxa"/>
            <w:vAlign w:val="center"/>
          </w:tcPr>
          <w:p>
            <w:pPr>
              <w:pStyle w:val="0"/>
              <w:jc w:val="center"/>
            </w:pPr>
            <w:r>
              <w:rPr>
                <w:sz w:val="20"/>
              </w:rPr>
              <w:t xml:space="preserve">9,0</w:t>
            </w:r>
          </w:p>
        </w:tc>
        <w:tc>
          <w:tcPr>
            <w:tcW w:w="1417" w:type="dxa"/>
            <w:vAlign w:val="center"/>
          </w:tcPr>
          <w:p>
            <w:pPr>
              <w:pStyle w:val="0"/>
              <w:jc w:val="center"/>
            </w:pPr>
            <w:r>
              <w:rPr>
                <w:sz w:val="20"/>
              </w:rPr>
              <w:t xml:space="preserve">9,0</w:t>
            </w:r>
          </w:p>
        </w:tc>
      </w:tr>
      <w:tr>
        <w:tc>
          <w:tcPr>
            <w:tcW w:w="2721" w:type="dxa"/>
            <w:vAlign w:val="center"/>
            <w:vMerge w:val="restart"/>
          </w:tcPr>
          <w:p>
            <w:pPr>
              <w:pStyle w:val="0"/>
              <w:jc w:val="center"/>
            </w:pPr>
            <w:r>
              <w:rPr>
                <w:sz w:val="20"/>
              </w:rPr>
              <w:t xml:space="preserve">Более 12,0 до 20,0 включительно</w:t>
            </w:r>
          </w:p>
        </w:tc>
        <w:tc>
          <w:tcPr>
            <w:tcW w:w="1133" w:type="dxa"/>
            <w:vAlign w:val="center"/>
          </w:tcPr>
          <w:p>
            <w:pPr>
              <w:pStyle w:val="0"/>
              <w:jc w:val="center"/>
            </w:pPr>
            <w:r>
              <w:rPr>
                <w:sz w:val="20"/>
              </w:rPr>
              <w:t xml:space="preserve">I, II</w:t>
            </w:r>
          </w:p>
        </w:tc>
        <w:tc>
          <w:tcPr>
            <w:tcW w:w="1694" w:type="dxa"/>
            <w:vAlign w:val="center"/>
          </w:tcPr>
          <w:p>
            <w:pPr>
              <w:pStyle w:val="0"/>
              <w:jc w:val="center"/>
            </w:pPr>
            <w:r>
              <w:rPr>
                <w:sz w:val="20"/>
              </w:rPr>
              <w:t xml:space="preserve">1,5</w:t>
            </w:r>
          </w:p>
        </w:tc>
        <w:tc>
          <w:tcPr>
            <w:tcW w:w="2112" w:type="dxa"/>
            <w:vAlign w:val="center"/>
          </w:tcPr>
          <w:p>
            <w:pPr>
              <w:pStyle w:val="0"/>
              <w:jc w:val="center"/>
            </w:pPr>
            <w:r>
              <w:rPr>
                <w:sz w:val="20"/>
              </w:rPr>
              <w:t xml:space="preserve">3,6</w:t>
            </w:r>
          </w:p>
        </w:tc>
        <w:tc>
          <w:tcPr>
            <w:tcW w:w="1417" w:type="dxa"/>
            <w:vAlign w:val="center"/>
          </w:tcPr>
          <w:p>
            <w:pPr>
              <w:pStyle w:val="0"/>
              <w:jc w:val="center"/>
            </w:pPr>
            <w:r>
              <w:rPr>
                <w:sz w:val="20"/>
              </w:rPr>
              <w:t xml:space="preserve">3,0</w:t>
            </w:r>
          </w:p>
        </w:tc>
      </w:tr>
      <w:tr>
        <w:tc>
          <w:tcPr>
            <w:vMerge w:val="continue"/>
          </w:tcPr>
          <w:p/>
        </w:tc>
        <w:tc>
          <w:tcPr>
            <w:tcW w:w="1133" w:type="dxa"/>
            <w:vAlign w:val="center"/>
          </w:tcPr>
          <w:p>
            <w:pPr>
              <w:pStyle w:val="0"/>
              <w:jc w:val="center"/>
            </w:pPr>
            <w:r>
              <w:rPr>
                <w:sz w:val="20"/>
              </w:rPr>
              <w:t xml:space="preserve">III</w:t>
            </w:r>
          </w:p>
        </w:tc>
        <w:tc>
          <w:tcPr>
            <w:tcW w:w="1694" w:type="dxa"/>
            <w:vAlign w:val="center"/>
          </w:tcPr>
          <w:p>
            <w:pPr>
              <w:pStyle w:val="0"/>
              <w:jc w:val="center"/>
            </w:pPr>
            <w:r>
              <w:rPr>
                <w:sz w:val="20"/>
              </w:rPr>
              <w:t xml:space="preserve">2,0</w:t>
            </w:r>
          </w:p>
        </w:tc>
        <w:tc>
          <w:tcPr>
            <w:tcW w:w="2112" w:type="dxa"/>
            <w:vAlign w:val="center"/>
          </w:tcPr>
          <w:p>
            <w:pPr>
              <w:pStyle w:val="0"/>
              <w:jc w:val="center"/>
            </w:pPr>
            <w:r>
              <w:rPr>
                <w:sz w:val="20"/>
              </w:rPr>
              <w:t xml:space="preserve">13,0</w:t>
            </w:r>
          </w:p>
        </w:tc>
        <w:tc>
          <w:tcPr>
            <w:tcW w:w="1417" w:type="dxa"/>
            <w:vAlign w:val="center"/>
          </w:tcPr>
          <w:p>
            <w:pPr>
              <w:pStyle w:val="0"/>
              <w:jc w:val="center"/>
            </w:pPr>
            <w:r>
              <w:rPr>
                <w:sz w:val="20"/>
              </w:rPr>
              <w:t xml:space="preserve">13,0</w:t>
            </w:r>
          </w:p>
        </w:tc>
      </w:tr>
      <w:tr>
        <w:tc>
          <w:tcPr>
            <w:tcW w:w="2721" w:type="dxa"/>
            <w:vAlign w:val="center"/>
            <w:vMerge w:val="restart"/>
          </w:tcPr>
          <w:p>
            <w:pPr>
              <w:pStyle w:val="0"/>
              <w:jc w:val="center"/>
            </w:pPr>
            <w:r>
              <w:rPr>
                <w:sz w:val="20"/>
              </w:rPr>
              <w:t xml:space="preserve">Более 20,0 до 40,0 включительно</w:t>
            </w:r>
          </w:p>
        </w:tc>
        <w:tc>
          <w:tcPr>
            <w:tcW w:w="1133" w:type="dxa"/>
            <w:vAlign w:val="center"/>
          </w:tcPr>
          <w:p>
            <w:pPr>
              <w:pStyle w:val="0"/>
              <w:jc w:val="center"/>
            </w:pPr>
            <w:r>
              <w:rPr>
                <w:sz w:val="20"/>
              </w:rPr>
              <w:t xml:space="preserve">I, II</w:t>
            </w:r>
          </w:p>
        </w:tc>
        <w:tc>
          <w:tcPr>
            <w:tcW w:w="1694" w:type="dxa"/>
            <w:vAlign w:val="center"/>
          </w:tcPr>
          <w:p>
            <w:pPr>
              <w:pStyle w:val="0"/>
              <w:jc w:val="center"/>
            </w:pPr>
            <w:r>
              <w:rPr>
                <w:sz w:val="20"/>
              </w:rPr>
              <w:t xml:space="preserve">2,0</w:t>
            </w:r>
          </w:p>
        </w:tc>
        <w:tc>
          <w:tcPr>
            <w:tcW w:w="2112" w:type="dxa"/>
            <w:vAlign w:val="center"/>
          </w:tcPr>
          <w:p>
            <w:pPr>
              <w:pStyle w:val="0"/>
              <w:jc w:val="center"/>
            </w:pPr>
            <w:r>
              <w:rPr>
                <w:sz w:val="20"/>
              </w:rPr>
              <w:t xml:space="preserve">6,0</w:t>
            </w:r>
          </w:p>
        </w:tc>
        <w:tc>
          <w:tcPr>
            <w:tcW w:w="1417" w:type="dxa"/>
            <w:vAlign w:val="center"/>
          </w:tcPr>
          <w:p>
            <w:pPr>
              <w:pStyle w:val="0"/>
              <w:jc w:val="center"/>
            </w:pPr>
            <w:r>
              <w:rPr>
                <w:sz w:val="20"/>
              </w:rPr>
              <w:t xml:space="preserve">5,0</w:t>
            </w:r>
          </w:p>
        </w:tc>
      </w:tr>
      <w:tr>
        <w:tc>
          <w:tcPr>
            <w:vMerge w:val="continue"/>
          </w:tcPr>
          <w:p/>
        </w:tc>
        <w:tc>
          <w:tcPr>
            <w:tcW w:w="1133" w:type="dxa"/>
            <w:vAlign w:val="center"/>
          </w:tcPr>
          <w:p>
            <w:pPr>
              <w:pStyle w:val="0"/>
              <w:jc w:val="center"/>
            </w:pPr>
            <w:r>
              <w:rPr>
                <w:sz w:val="20"/>
              </w:rPr>
              <w:t xml:space="preserve">III</w:t>
            </w:r>
          </w:p>
        </w:tc>
        <w:tc>
          <w:tcPr>
            <w:tcW w:w="1694" w:type="dxa"/>
            <w:vAlign w:val="center"/>
          </w:tcPr>
          <w:p>
            <w:pPr>
              <w:pStyle w:val="0"/>
              <w:jc w:val="center"/>
            </w:pPr>
            <w:r>
              <w:rPr>
                <w:sz w:val="20"/>
              </w:rPr>
              <w:t xml:space="preserve">3,5</w:t>
            </w:r>
          </w:p>
        </w:tc>
        <w:tc>
          <w:tcPr>
            <w:tcW w:w="2112" w:type="dxa"/>
            <w:vAlign w:val="center"/>
          </w:tcPr>
          <w:p>
            <w:pPr>
              <w:pStyle w:val="0"/>
              <w:jc w:val="center"/>
            </w:pPr>
            <w:r>
              <w:rPr>
                <w:sz w:val="20"/>
              </w:rPr>
              <w:t xml:space="preserve">15,0</w:t>
            </w:r>
          </w:p>
        </w:tc>
        <w:tc>
          <w:tcPr>
            <w:tcW w:w="1417" w:type="dxa"/>
            <w:vAlign w:val="center"/>
          </w:tcPr>
          <w:p>
            <w:pPr>
              <w:pStyle w:val="0"/>
              <w:jc w:val="center"/>
            </w:pPr>
            <w:r>
              <w:rPr>
                <w:sz w:val="20"/>
              </w:rPr>
              <w:t xml:space="preserve">15,0</w:t>
            </w:r>
          </w:p>
        </w:tc>
      </w:tr>
      <w:tr>
        <w:tc>
          <w:tcPr>
            <w:tcW w:w="2721" w:type="dxa"/>
            <w:vAlign w:val="center"/>
            <w:vMerge w:val="restart"/>
          </w:tcPr>
          <w:p>
            <w:pPr>
              <w:pStyle w:val="0"/>
              <w:jc w:val="center"/>
            </w:pPr>
            <w:r>
              <w:rPr>
                <w:sz w:val="20"/>
              </w:rPr>
              <w:t xml:space="preserve">Более 40,0 до 100,0 включительно</w:t>
            </w:r>
          </w:p>
        </w:tc>
        <w:tc>
          <w:tcPr>
            <w:tcW w:w="1133" w:type="dxa"/>
            <w:vAlign w:val="center"/>
          </w:tcPr>
          <w:p>
            <w:pPr>
              <w:pStyle w:val="0"/>
              <w:jc w:val="center"/>
            </w:pPr>
            <w:r>
              <w:rPr>
                <w:sz w:val="20"/>
              </w:rPr>
              <w:t xml:space="preserve">I, II</w:t>
            </w:r>
          </w:p>
        </w:tc>
        <w:tc>
          <w:tcPr>
            <w:tcW w:w="1694" w:type="dxa"/>
            <w:vAlign w:val="center"/>
          </w:tcPr>
          <w:p>
            <w:pPr>
              <w:pStyle w:val="0"/>
              <w:jc w:val="center"/>
            </w:pPr>
            <w:r>
              <w:rPr>
                <w:sz w:val="20"/>
              </w:rPr>
              <w:t xml:space="preserve">2,5</w:t>
            </w:r>
          </w:p>
        </w:tc>
        <w:tc>
          <w:tcPr>
            <w:tcW w:w="2112" w:type="dxa"/>
            <w:vAlign w:val="center"/>
          </w:tcPr>
          <w:p>
            <w:pPr>
              <w:pStyle w:val="0"/>
              <w:jc w:val="center"/>
            </w:pPr>
            <w:r>
              <w:rPr>
                <w:sz w:val="20"/>
              </w:rPr>
              <w:t xml:space="preserve">7,5</w:t>
            </w:r>
          </w:p>
        </w:tc>
        <w:tc>
          <w:tcPr>
            <w:tcW w:w="1417" w:type="dxa"/>
            <w:vAlign w:val="center"/>
          </w:tcPr>
          <w:p>
            <w:pPr>
              <w:pStyle w:val="0"/>
              <w:jc w:val="center"/>
            </w:pPr>
            <w:r>
              <w:rPr>
                <w:sz w:val="20"/>
              </w:rPr>
              <w:t xml:space="preserve">6,0</w:t>
            </w:r>
          </w:p>
        </w:tc>
      </w:tr>
      <w:tr>
        <w:tc>
          <w:tcPr>
            <w:vMerge w:val="continue"/>
          </w:tcPr>
          <w:p/>
        </w:tc>
        <w:tc>
          <w:tcPr>
            <w:tcW w:w="1133" w:type="dxa"/>
            <w:vAlign w:val="center"/>
          </w:tcPr>
          <w:p>
            <w:pPr>
              <w:pStyle w:val="0"/>
              <w:jc w:val="center"/>
            </w:pPr>
            <w:r>
              <w:rPr>
                <w:sz w:val="20"/>
              </w:rPr>
              <w:t xml:space="preserve">III</w:t>
            </w:r>
          </w:p>
        </w:tc>
        <w:tc>
          <w:tcPr>
            <w:tcW w:w="1694" w:type="dxa"/>
            <w:vAlign w:val="center"/>
          </w:tcPr>
          <w:p>
            <w:pPr>
              <w:pStyle w:val="0"/>
              <w:jc w:val="center"/>
            </w:pPr>
            <w:r>
              <w:rPr>
                <w:sz w:val="20"/>
              </w:rPr>
              <w:t xml:space="preserve">4,5</w:t>
            </w:r>
          </w:p>
        </w:tc>
        <w:tc>
          <w:tcPr>
            <w:tcW w:w="2112" w:type="dxa"/>
            <w:vAlign w:val="center"/>
          </w:tcPr>
          <w:p>
            <w:pPr>
              <w:pStyle w:val="0"/>
              <w:jc w:val="center"/>
            </w:pPr>
            <w:r>
              <w:rPr>
                <w:sz w:val="20"/>
              </w:rPr>
              <w:t xml:space="preserve">25,0</w:t>
            </w:r>
          </w:p>
        </w:tc>
        <w:tc>
          <w:tcPr>
            <w:tcW w:w="1417" w:type="dxa"/>
            <w:vAlign w:val="center"/>
          </w:tcPr>
          <w:p>
            <w:pPr>
              <w:pStyle w:val="0"/>
              <w:jc w:val="center"/>
            </w:pPr>
            <w:r>
              <w:rPr>
                <w:sz w:val="20"/>
              </w:rPr>
              <w:t xml:space="preserve">25,0</w:t>
            </w:r>
          </w:p>
        </w:tc>
      </w:tr>
      <w:tr>
        <w:tc>
          <w:tcPr>
            <w:gridSpan w:val="5"/>
            <w:tcW w:w="9077" w:type="dxa"/>
          </w:tcPr>
          <w:p>
            <w:pPr>
              <w:pStyle w:val="0"/>
              <w:jc w:val="both"/>
            </w:pPr>
            <w:r>
              <w:rPr>
                <w:sz w:val="20"/>
              </w:rPr>
              <w:t xml:space="preserve">Примечания.</w:t>
            </w:r>
          </w:p>
          <w:p>
            <w:pPr>
              <w:pStyle w:val="0"/>
              <w:jc w:val="both"/>
            </w:pPr>
            <w:r>
              <w:rPr>
                <w:sz w:val="20"/>
              </w:rPr>
              <w:t xml:space="preserve">1. При протяженности шва менее 100,0 мм контроль проводится по всей длине шва.</w:t>
            </w:r>
          </w:p>
          <w:p>
            <w:pPr>
              <w:pStyle w:val="0"/>
              <w:jc w:val="both"/>
            </w:pPr>
            <w:r>
              <w:rPr>
                <w:sz w:val="20"/>
              </w:rPr>
              <w:t xml:space="preserve">2. Скопления или цепочки пор, или включений не допускаются.</w:t>
            </w:r>
          </w:p>
        </w:tc>
      </w:tr>
    </w:tbl>
    <w:p>
      <w:pPr>
        <w:pStyle w:val="0"/>
        <w:jc w:val="both"/>
      </w:pPr>
      <w:r>
        <w:rPr>
          <w:sz w:val="20"/>
        </w:rPr>
      </w:r>
    </w:p>
    <w:p>
      <w:pPr>
        <w:pStyle w:val="2"/>
        <w:outlineLvl w:val="2"/>
        <w:jc w:val="center"/>
      </w:pPr>
      <w:r>
        <w:rPr>
          <w:sz w:val="20"/>
        </w:rPr>
        <w:t xml:space="preserve">Ультразвуковой контроль</w:t>
      </w:r>
    </w:p>
    <w:p>
      <w:pPr>
        <w:pStyle w:val="0"/>
        <w:jc w:val="both"/>
      </w:pPr>
      <w:r>
        <w:rPr>
          <w:sz w:val="20"/>
        </w:rPr>
      </w:r>
    </w:p>
    <w:p>
      <w:pPr>
        <w:pStyle w:val="0"/>
        <w:ind w:firstLine="540"/>
        <w:jc w:val="both"/>
      </w:pPr>
      <w:r>
        <w:rPr>
          <w:sz w:val="20"/>
        </w:rPr>
        <w:t xml:space="preserve">37. Нормы допустимых одиночных несплошностей при ультразвуковом контроле стыковых сварных соединений деталей и сборочных единиц с толщиной от 2,0 до 5,5 мм из сталей перлитного класса и (или) из высокохромистых сталей приведены в таблице N 4.12 настоящего приложения.</w:t>
      </w:r>
    </w:p>
    <w:p>
      <w:pPr>
        <w:pStyle w:val="0"/>
        <w:jc w:val="both"/>
      </w:pPr>
      <w:r>
        <w:rPr>
          <w:sz w:val="20"/>
        </w:rPr>
      </w:r>
    </w:p>
    <w:bookmarkStart w:id="2853" w:name="P2853"/>
    <w:bookmarkEnd w:id="2853"/>
    <w:p>
      <w:pPr>
        <w:pStyle w:val="0"/>
        <w:outlineLvl w:val="3"/>
        <w:jc w:val="right"/>
      </w:pPr>
      <w:r>
        <w:rPr>
          <w:sz w:val="20"/>
        </w:rPr>
        <w:t xml:space="preserve">Таблица N 4.12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38"/>
        <w:gridCol w:w="3110"/>
        <w:gridCol w:w="3005"/>
      </w:tblGrid>
      <w:tr>
        <w:tc>
          <w:tcPr>
            <w:tcW w:w="2938" w:type="dxa"/>
          </w:tcPr>
          <w:p>
            <w:pPr>
              <w:pStyle w:val="0"/>
              <w:jc w:val="center"/>
            </w:pPr>
            <w:r>
              <w:rPr>
                <w:sz w:val="20"/>
              </w:rPr>
              <w:t xml:space="preserve">Номинальная толщина сваренных деталей, мм</w:t>
            </w:r>
          </w:p>
        </w:tc>
        <w:tc>
          <w:tcPr>
            <w:tcW w:w="3110" w:type="dxa"/>
          </w:tcPr>
          <w:p>
            <w:pPr>
              <w:pStyle w:val="0"/>
              <w:jc w:val="center"/>
            </w:pPr>
            <w:r>
              <w:rPr>
                <w:sz w:val="20"/>
              </w:rPr>
              <w:t xml:space="preserve">Браковочный уровень чувствительности от опорного углового отражателя в виде зарубки (ширина x высота), мм</w:t>
            </w:r>
          </w:p>
        </w:tc>
        <w:tc>
          <w:tcPr>
            <w:tcW w:w="3005" w:type="dxa"/>
          </w:tcPr>
          <w:p>
            <w:pPr>
              <w:pStyle w:val="0"/>
              <w:jc w:val="center"/>
            </w:pPr>
            <w:r>
              <w:rPr>
                <w:sz w:val="20"/>
              </w:rPr>
              <w:t xml:space="preserve">Допустимое число фиксируемых одиночных несплошностей на любые 100,0 мм протяженности сварного соединения, шт.</w:t>
            </w:r>
          </w:p>
        </w:tc>
      </w:tr>
      <w:tr>
        <w:tc>
          <w:tcPr>
            <w:tcW w:w="2938" w:type="dxa"/>
            <w:vAlign w:val="center"/>
          </w:tcPr>
          <w:p>
            <w:pPr>
              <w:pStyle w:val="0"/>
              <w:jc w:val="center"/>
            </w:pPr>
            <w:r>
              <w:rPr>
                <w:sz w:val="20"/>
              </w:rPr>
              <w:t xml:space="preserve">От 2,0 до 2,5 включительно</w:t>
            </w:r>
          </w:p>
        </w:tc>
        <w:tc>
          <w:tcPr>
            <w:tcW w:w="3110" w:type="dxa"/>
            <w:vAlign w:val="center"/>
          </w:tcPr>
          <w:p>
            <w:pPr>
              <w:pStyle w:val="0"/>
              <w:jc w:val="center"/>
            </w:pPr>
            <w:r>
              <w:rPr>
                <w:sz w:val="20"/>
              </w:rPr>
              <w:t xml:space="preserve">1,0 x 0,4</w:t>
            </w:r>
          </w:p>
        </w:tc>
        <w:tc>
          <w:tcPr>
            <w:tcW w:w="3005" w:type="dxa"/>
            <w:vAlign w:val="center"/>
          </w:tcPr>
          <w:p>
            <w:pPr>
              <w:pStyle w:val="0"/>
              <w:jc w:val="center"/>
            </w:pPr>
            <w:r>
              <w:rPr>
                <w:sz w:val="20"/>
              </w:rPr>
              <w:t xml:space="preserve">4</w:t>
            </w:r>
          </w:p>
        </w:tc>
      </w:tr>
      <w:tr>
        <w:tc>
          <w:tcPr>
            <w:tcW w:w="2938" w:type="dxa"/>
            <w:vAlign w:val="center"/>
          </w:tcPr>
          <w:p>
            <w:pPr>
              <w:pStyle w:val="0"/>
              <w:jc w:val="center"/>
            </w:pPr>
            <w:r>
              <w:rPr>
                <w:sz w:val="20"/>
              </w:rPr>
              <w:t xml:space="preserve">Более 2,5 до 3,5 включительно</w:t>
            </w:r>
          </w:p>
        </w:tc>
        <w:tc>
          <w:tcPr>
            <w:tcW w:w="3110" w:type="dxa"/>
            <w:vAlign w:val="center"/>
          </w:tcPr>
          <w:p>
            <w:pPr>
              <w:pStyle w:val="0"/>
              <w:jc w:val="center"/>
            </w:pPr>
            <w:r>
              <w:rPr>
                <w:sz w:val="20"/>
              </w:rPr>
              <w:t xml:space="preserve">1,0 x 0,6</w:t>
            </w:r>
          </w:p>
        </w:tc>
        <w:tc>
          <w:tcPr>
            <w:tcW w:w="3005" w:type="dxa"/>
            <w:vAlign w:val="center"/>
          </w:tcPr>
          <w:p>
            <w:pPr>
              <w:pStyle w:val="0"/>
              <w:jc w:val="center"/>
            </w:pPr>
            <w:r>
              <w:rPr>
                <w:sz w:val="20"/>
              </w:rPr>
              <w:t xml:space="preserve">5</w:t>
            </w:r>
          </w:p>
        </w:tc>
      </w:tr>
      <w:tr>
        <w:tc>
          <w:tcPr>
            <w:tcW w:w="2938" w:type="dxa"/>
            <w:vAlign w:val="center"/>
          </w:tcPr>
          <w:p>
            <w:pPr>
              <w:pStyle w:val="0"/>
              <w:jc w:val="center"/>
            </w:pPr>
            <w:r>
              <w:rPr>
                <w:sz w:val="20"/>
              </w:rPr>
              <w:t xml:space="preserve">Более 3,5 до 4,0 включительно</w:t>
            </w:r>
          </w:p>
        </w:tc>
        <w:tc>
          <w:tcPr>
            <w:tcW w:w="3110" w:type="dxa"/>
            <w:vAlign w:val="center"/>
          </w:tcPr>
          <w:p>
            <w:pPr>
              <w:pStyle w:val="0"/>
              <w:jc w:val="center"/>
            </w:pPr>
            <w:r>
              <w:rPr>
                <w:sz w:val="20"/>
              </w:rPr>
              <w:t xml:space="preserve">1,0 x 0,8</w:t>
            </w:r>
          </w:p>
        </w:tc>
        <w:tc>
          <w:tcPr>
            <w:tcW w:w="3005" w:type="dxa"/>
            <w:vAlign w:val="center"/>
          </w:tcPr>
          <w:p>
            <w:pPr>
              <w:pStyle w:val="0"/>
              <w:jc w:val="center"/>
            </w:pPr>
            <w:r>
              <w:rPr>
                <w:sz w:val="20"/>
              </w:rPr>
              <w:t xml:space="preserve">5</w:t>
            </w:r>
          </w:p>
        </w:tc>
      </w:tr>
      <w:tr>
        <w:tc>
          <w:tcPr>
            <w:tcW w:w="2938" w:type="dxa"/>
            <w:vAlign w:val="center"/>
          </w:tcPr>
          <w:p>
            <w:pPr>
              <w:pStyle w:val="0"/>
              <w:jc w:val="center"/>
            </w:pPr>
            <w:r>
              <w:rPr>
                <w:sz w:val="20"/>
              </w:rPr>
              <w:t xml:space="preserve">Более 4,0 до 4,5 включительно</w:t>
            </w:r>
          </w:p>
        </w:tc>
        <w:tc>
          <w:tcPr>
            <w:tcW w:w="3110" w:type="dxa"/>
            <w:vAlign w:val="center"/>
          </w:tcPr>
          <w:p>
            <w:pPr>
              <w:pStyle w:val="0"/>
              <w:jc w:val="center"/>
            </w:pPr>
            <w:r>
              <w:rPr>
                <w:sz w:val="20"/>
              </w:rPr>
              <w:t xml:space="preserve">1,2 x 0,8</w:t>
            </w:r>
          </w:p>
        </w:tc>
        <w:tc>
          <w:tcPr>
            <w:tcW w:w="3005" w:type="dxa"/>
            <w:vAlign w:val="center"/>
          </w:tcPr>
          <w:p>
            <w:pPr>
              <w:pStyle w:val="0"/>
              <w:jc w:val="center"/>
            </w:pPr>
            <w:r>
              <w:rPr>
                <w:sz w:val="20"/>
              </w:rPr>
              <w:t xml:space="preserve">6</w:t>
            </w:r>
          </w:p>
        </w:tc>
      </w:tr>
      <w:tr>
        <w:tc>
          <w:tcPr>
            <w:tcW w:w="2938" w:type="dxa"/>
            <w:vAlign w:val="center"/>
          </w:tcPr>
          <w:p>
            <w:pPr>
              <w:pStyle w:val="0"/>
              <w:jc w:val="center"/>
            </w:pPr>
            <w:r>
              <w:rPr>
                <w:sz w:val="20"/>
              </w:rPr>
              <w:t xml:space="preserve">Более 4,5 до 5,0 включительно</w:t>
            </w:r>
          </w:p>
        </w:tc>
        <w:tc>
          <w:tcPr>
            <w:tcW w:w="3110" w:type="dxa"/>
            <w:vAlign w:val="center"/>
          </w:tcPr>
          <w:p>
            <w:pPr>
              <w:pStyle w:val="0"/>
              <w:jc w:val="center"/>
            </w:pPr>
            <w:r>
              <w:rPr>
                <w:sz w:val="20"/>
              </w:rPr>
              <w:t xml:space="preserve">1,2 x 1,0</w:t>
            </w:r>
          </w:p>
        </w:tc>
        <w:tc>
          <w:tcPr>
            <w:tcW w:w="3005" w:type="dxa"/>
            <w:vAlign w:val="center"/>
          </w:tcPr>
          <w:p>
            <w:pPr>
              <w:pStyle w:val="0"/>
              <w:jc w:val="center"/>
            </w:pPr>
            <w:r>
              <w:rPr>
                <w:sz w:val="20"/>
              </w:rPr>
              <w:t xml:space="preserve">6</w:t>
            </w:r>
          </w:p>
        </w:tc>
      </w:tr>
      <w:tr>
        <w:tc>
          <w:tcPr>
            <w:tcW w:w="2938" w:type="dxa"/>
            <w:vAlign w:val="center"/>
          </w:tcPr>
          <w:p>
            <w:pPr>
              <w:pStyle w:val="0"/>
              <w:jc w:val="center"/>
            </w:pPr>
            <w:r>
              <w:rPr>
                <w:sz w:val="20"/>
              </w:rPr>
              <w:t xml:space="preserve">Более 5,0 до 5,5 включительно</w:t>
            </w:r>
          </w:p>
        </w:tc>
        <w:tc>
          <w:tcPr>
            <w:tcW w:w="3110" w:type="dxa"/>
            <w:vAlign w:val="center"/>
          </w:tcPr>
          <w:p>
            <w:pPr>
              <w:pStyle w:val="0"/>
              <w:jc w:val="center"/>
            </w:pPr>
            <w:r>
              <w:rPr>
                <w:sz w:val="20"/>
              </w:rPr>
              <w:t xml:space="preserve">1,2 x 1,1</w:t>
            </w:r>
          </w:p>
        </w:tc>
        <w:tc>
          <w:tcPr>
            <w:tcW w:w="3005" w:type="dxa"/>
            <w:vAlign w:val="center"/>
          </w:tcPr>
          <w:p>
            <w:pPr>
              <w:pStyle w:val="0"/>
              <w:jc w:val="center"/>
            </w:pPr>
            <w:r>
              <w:rPr>
                <w:sz w:val="20"/>
              </w:rPr>
              <w:t xml:space="preserve">6</w:t>
            </w:r>
          </w:p>
        </w:tc>
      </w:tr>
      <w:tr>
        <w:tc>
          <w:tcPr>
            <w:gridSpan w:val="3"/>
            <w:tcW w:w="9053" w:type="dxa"/>
          </w:tcPr>
          <w:p>
            <w:pPr>
              <w:pStyle w:val="0"/>
            </w:pPr>
            <w:r>
              <w:rPr>
                <w:sz w:val="20"/>
              </w:rPr>
              <w:t xml:space="preserve">Примечания.</w:t>
            </w:r>
          </w:p>
          <w:p>
            <w:pPr>
              <w:pStyle w:val="0"/>
            </w:pPr>
            <w:r>
              <w:rPr>
                <w:sz w:val="20"/>
              </w:rPr>
              <w:t xml:space="preserve">1. Браковочный уровень чувствительности установлен применительно к контролю с использованием стандартного отражателя в виде зарубки.</w:t>
            </w:r>
          </w:p>
          <w:p>
            <w:pPr>
              <w:pStyle w:val="0"/>
            </w:pPr>
            <w:r>
              <w:rPr>
                <w:sz w:val="20"/>
              </w:rPr>
              <w:t xml:space="preserve">2. Допускается контроль по другим отражателям при условии обеспечения идентичности результатов контроля.</w:t>
            </w:r>
          </w:p>
          <w:p>
            <w:pPr>
              <w:pStyle w:val="0"/>
            </w:pPr>
            <w:r>
              <w:rPr>
                <w:sz w:val="20"/>
              </w:rPr>
              <w:t xml:space="preserve">3. Контрольный уровень чувствительности (уровень фиксации) достигается увеличением чувствительности дефектоскопа на 6 дБ по сравнению с браковочным уровнем.</w:t>
            </w:r>
          </w:p>
          <w:p>
            <w:pPr>
              <w:pStyle w:val="0"/>
            </w:pPr>
            <w:r>
              <w:rPr>
                <w:sz w:val="20"/>
              </w:rPr>
              <w:t xml:space="preserve">4. Допуск на размеры стандартного углового отражателя при изготовлении не должен превышать +/- 10%, перпендикулярность отражающей поверхности зарубки - 90 +/- 1,0°.</w:t>
            </w:r>
          </w:p>
        </w:tc>
      </w:tr>
    </w:tbl>
    <w:p>
      <w:pPr>
        <w:pStyle w:val="0"/>
        <w:jc w:val="both"/>
      </w:pPr>
      <w:r>
        <w:rPr>
          <w:sz w:val="20"/>
        </w:rPr>
      </w:r>
    </w:p>
    <w:p>
      <w:pPr>
        <w:pStyle w:val="0"/>
        <w:ind w:firstLine="540"/>
        <w:jc w:val="both"/>
      </w:pPr>
      <w:r>
        <w:rPr>
          <w:sz w:val="20"/>
        </w:rPr>
        <w:t xml:space="preserve">38. Нормы допустимых одиночных несплошностей при ультразвуковом контроле стыковых сварных соединений деталей и сборочных единиц с толщиной более 5,5 мм из сталей перлитного класса и (или) из высокохромистых сталей приведены в таблице N 4.13 настоящего приложения.</w:t>
      </w:r>
    </w:p>
    <w:p>
      <w:pPr>
        <w:pStyle w:val="0"/>
        <w:jc w:val="both"/>
      </w:pPr>
      <w:r>
        <w:rPr>
          <w:sz w:val="20"/>
        </w:rPr>
      </w:r>
    </w:p>
    <w:bookmarkStart w:id="2884" w:name="P2884"/>
    <w:bookmarkEnd w:id="2884"/>
    <w:p>
      <w:pPr>
        <w:pStyle w:val="0"/>
        <w:outlineLvl w:val="3"/>
        <w:jc w:val="right"/>
      </w:pPr>
      <w:r>
        <w:rPr>
          <w:sz w:val="20"/>
        </w:rPr>
        <w:t xml:space="preserve">Таблица N 4.13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21"/>
        <w:gridCol w:w="701"/>
        <w:gridCol w:w="680"/>
        <w:gridCol w:w="701"/>
        <w:gridCol w:w="710"/>
        <w:gridCol w:w="701"/>
        <w:gridCol w:w="706"/>
        <w:gridCol w:w="706"/>
        <w:gridCol w:w="680"/>
        <w:gridCol w:w="737"/>
      </w:tblGrid>
      <w:tr>
        <w:tc>
          <w:tcPr>
            <w:tcW w:w="2721" w:type="dxa"/>
            <w:vMerge w:val="restart"/>
          </w:tcPr>
          <w:p>
            <w:pPr>
              <w:pStyle w:val="0"/>
              <w:jc w:val="center"/>
            </w:pPr>
            <w:r>
              <w:rPr>
                <w:sz w:val="20"/>
              </w:rPr>
              <w:t xml:space="preserve">Номинальная толщина сваренных деталей, мм</w:t>
            </w:r>
          </w:p>
        </w:tc>
        <w:tc>
          <w:tcPr>
            <w:gridSpan w:val="6"/>
            <w:tcW w:w="4199" w:type="dxa"/>
          </w:tcPr>
          <w:p>
            <w:pPr>
              <w:pStyle w:val="0"/>
              <w:jc w:val="center"/>
            </w:pPr>
            <w:r>
              <w:rPr>
                <w:sz w:val="20"/>
              </w:rPr>
              <w:t xml:space="preserve">Эквивалентная площадь одиночных несплошностей, мм</w:t>
            </w:r>
            <w:r>
              <w:rPr>
                <w:sz w:val="20"/>
                <w:vertAlign w:val="superscript"/>
              </w:rPr>
              <w:t xml:space="preserve">2</w:t>
            </w:r>
          </w:p>
        </w:tc>
        <w:tc>
          <w:tcPr>
            <w:gridSpan w:val="3"/>
            <w:tcW w:w="2123" w:type="dxa"/>
            <w:vMerge w:val="restart"/>
          </w:tcPr>
          <w:p>
            <w:pPr>
              <w:pStyle w:val="0"/>
              <w:jc w:val="center"/>
            </w:pPr>
            <w:r>
              <w:rPr>
                <w:sz w:val="20"/>
              </w:rPr>
              <w:t xml:space="preserve">Допустимое число фиксируемых одиночных несплошностей на любые 100,0 мм протяженности сварного соединения, шт.</w:t>
            </w:r>
          </w:p>
        </w:tc>
      </w:tr>
      <w:tr>
        <w:tc>
          <w:tcPr>
            <w:vMerge w:val="continue"/>
          </w:tcPr>
          <w:p/>
        </w:tc>
        <w:tc>
          <w:tcPr>
            <w:gridSpan w:val="3"/>
            <w:tcW w:w="2082" w:type="dxa"/>
          </w:tcPr>
          <w:p>
            <w:pPr>
              <w:pStyle w:val="0"/>
              <w:jc w:val="center"/>
            </w:pPr>
            <w:r>
              <w:rPr>
                <w:sz w:val="20"/>
              </w:rPr>
              <w:t xml:space="preserve">минимально фиксируемая</w:t>
            </w:r>
          </w:p>
        </w:tc>
        <w:tc>
          <w:tcPr>
            <w:gridSpan w:val="3"/>
            <w:tcW w:w="2117" w:type="dxa"/>
          </w:tcPr>
          <w:p>
            <w:pPr>
              <w:pStyle w:val="0"/>
              <w:jc w:val="center"/>
            </w:pPr>
            <w:r>
              <w:rPr>
                <w:sz w:val="20"/>
              </w:rPr>
              <w:t xml:space="preserve">максимально допустимая</w:t>
            </w:r>
          </w:p>
        </w:tc>
        <w:tc>
          <w:tcPr>
            <w:gridSpan w:val="3"/>
            <w:vMerge w:val="continue"/>
          </w:tcPr>
          <w:p/>
        </w:tc>
      </w:tr>
      <w:tr>
        <w:tc>
          <w:tcPr>
            <w:vMerge w:val="continue"/>
          </w:tcPr>
          <w:p/>
        </w:tc>
        <w:tc>
          <w:tcPr>
            <w:gridSpan w:val="9"/>
            <w:tcW w:w="6322" w:type="dxa"/>
          </w:tcPr>
          <w:p>
            <w:pPr>
              <w:pStyle w:val="0"/>
              <w:jc w:val="center"/>
            </w:pPr>
            <w:r>
              <w:rPr>
                <w:sz w:val="20"/>
              </w:rPr>
              <w:t xml:space="preserve">категория сварного соединения</w:t>
            </w:r>
          </w:p>
        </w:tc>
      </w:tr>
      <w:tr>
        <w:tc>
          <w:tcPr>
            <w:vMerge w:val="continue"/>
          </w:tcPr>
          <w:p/>
        </w:tc>
        <w:tc>
          <w:tcPr>
            <w:tcW w:w="701" w:type="dxa"/>
          </w:tcPr>
          <w:p>
            <w:pPr>
              <w:pStyle w:val="0"/>
              <w:jc w:val="center"/>
            </w:pPr>
            <w:r>
              <w:rPr>
                <w:sz w:val="20"/>
              </w:rPr>
              <w:t xml:space="preserve">I, Iн, IIн</w:t>
            </w:r>
          </w:p>
        </w:tc>
        <w:tc>
          <w:tcPr>
            <w:tcW w:w="680" w:type="dxa"/>
          </w:tcPr>
          <w:p>
            <w:pPr>
              <w:pStyle w:val="0"/>
              <w:jc w:val="center"/>
            </w:pPr>
            <w:r>
              <w:rPr>
                <w:sz w:val="20"/>
              </w:rPr>
              <w:t xml:space="preserve">II</w:t>
            </w:r>
          </w:p>
        </w:tc>
        <w:tc>
          <w:tcPr>
            <w:tcW w:w="701" w:type="dxa"/>
          </w:tcPr>
          <w:p>
            <w:pPr>
              <w:pStyle w:val="0"/>
              <w:jc w:val="center"/>
            </w:pPr>
            <w:r>
              <w:rPr>
                <w:sz w:val="20"/>
              </w:rPr>
              <w:t xml:space="preserve">III</w:t>
            </w:r>
          </w:p>
        </w:tc>
        <w:tc>
          <w:tcPr>
            <w:tcW w:w="710" w:type="dxa"/>
          </w:tcPr>
          <w:p>
            <w:pPr>
              <w:pStyle w:val="0"/>
              <w:jc w:val="center"/>
            </w:pPr>
            <w:r>
              <w:rPr>
                <w:sz w:val="20"/>
              </w:rPr>
              <w:t xml:space="preserve">I, Iн, IIн</w:t>
            </w:r>
          </w:p>
        </w:tc>
        <w:tc>
          <w:tcPr>
            <w:tcW w:w="701" w:type="dxa"/>
          </w:tcPr>
          <w:p>
            <w:pPr>
              <w:pStyle w:val="0"/>
              <w:jc w:val="center"/>
            </w:pPr>
            <w:r>
              <w:rPr>
                <w:sz w:val="20"/>
              </w:rPr>
              <w:t xml:space="preserve">II</w:t>
            </w:r>
          </w:p>
        </w:tc>
        <w:tc>
          <w:tcPr>
            <w:tcW w:w="706" w:type="dxa"/>
          </w:tcPr>
          <w:p>
            <w:pPr>
              <w:pStyle w:val="0"/>
              <w:jc w:val="center"/>
            </w:pPr>
            <w:r>
              <w:rPr>
                <w:sz w:val="20"/>
              </w:rPr>
              <w:t xml:space="preserve">III</w:t>
            </w:r>
          </w:p>
        </w:tc>
        <w:tc>
          <w:tcPr>
            <w:tcW w:w="706" w:type="dxa"/>
          </w:tcPr>
          <w:p>
            <w:pPr>
              <w:pStyle w:val="0"/>
              <w:jc w:val="center"/>
            </w:pPr>
            <w:r>
              <w:rPr>
                <w:sz w:val="20"/>
              </w:rPr>
              <w:t xml:space="preserve">I, Iн, IIн</w:t>
            </w:r>
          </w:p>
        </w:tc>
        <w:tc>
          <w:tcPr>
            <w:tcW w:w="680" w:type="dxa"/>
          </w:tcPr>
          <w:p>
            <w:pPr>
              <w:pStyle w:val="0"/>
              <w:jc w:val="center"/>
            </w:pPr>
            <w:r>
              <w:rPr>
                <w:sz w:val="20"/>
              </w:rPr>
              <w:t xml:space="preserve">II</w:t>
            </w:r>
          </w:p>
        </w:tc>
        <w:tc>
          <w:tcPr>
            <w:tcW w:w="737" w:type="dxa"/>
          </w:tcPr>
          <w:p>
            <w:pPr>
              <w:pStyle w:val="0"/>
              <w:jc w:val="center"/>
            </w:pPr>
            <w:r>
              <w:rPr>
                <w:sz w:val="20"/>
              </w:rPr>
              <w:t xml:space="preserve">III</w:t>
            </w:r>
          </w:p>
        </w:tc>
      </w:tr>
      <w:tr>
        <w:tc>
          <w:tcPr>
            <w:tcW w:w="2721" w:type="dxa"/>
            <w:vAlign w:val="center"/>
          </w:tcPr>
          <w:p>
            <w:pPr>
              <w:pStyle w:val="0"/>
              <w:jc w:val="center"/>
            </w:pPr>
            <w:r>
              <w:rPr>
                <w:sz w:val="20"/>
              </w:rPr>
              <w:t xml:space="preserve">От 5,5 до 10,0 включительно</w:t>
            </w:r>
          </w:p>
        </w:tc>
        <w:tc>
          <w:tcPr>
            <w:tcW w:w="701" w:type="dxa"/>
            <w:vAlign w:val="center"/>
          </w:tcPr>
          <w:p>
            <w:pPr>
              <w:pStyle w:val="0"/>
              <w:jc w:val="center"/>
            </w:pPr>
            <w:r>
              <w:rPr>
                <w:sz w:val="20"/>
              </w:rPr>
              <w:t xml:space="preserve">2,0</w:t>
            </w:r>
          </w:p>
        </w:tc>
        <w:tc>
          <w:tcPr>
            <w:tcW w:w="680" w:type="dxa"/>
            <w:vAlign w:val="center"/>
          </w:tcPr>
          <w:p>
            <w:pPr>
              <w:pStyle w:val="0"/>
              <w:jc w:val="center"/>
            </w:pPr>
            <w:r>
              <w:rPr>
                <w:sz w:val="20"/>
              </w:rPr>
              <w:t xml:space="preserve">2,5</w:t>
            </w:r>
          </w:p>
        </w:tc>
        <w:tc>
          <w:tcPr>
            <w:tcW w:w="701" w:type="dxa"/>
            <w:vAlign w:val="center"/>
          </w:tcPr>
          <w:p>
            <w:pPr>
              <w:pStyle w:val="0"/>
              <w:jc w:val="center"/>
            </w:pPr>
            <w:r>
              <w:rPr>
                <w:sz w:val="20"/>
              </w:rPr>
              <w:t xml:space="preserve">3,5</w:t>
            </w:r>
          </w:p>
        </w:tc>
        <w:tc>
          <w:tcPr>
            <w:tcW w:w="710" w:type="dxa"/>
            <w:vAlign w:val="center"/>
          </w:tcPr>
          <w:p>
            <w:pPr>
              <w:pStyle w:val="0"/>
              <w:jc w:val="center"/>
            </w:pPr>
            <w:r>
              <w:rPr>
                <w:sz w:val="20"/>
              </w:rPr>
              <w:t xml:space="preserve">4,0</w:t>
            </w:r>
          </w:p>
        </w:tc>
        <w:tc>
          <w:tcPr>
            <w:tcW w:w="701" w:type="dxa"/>
            <w:vAlign w:val="center"/>
          </w:tcPr>
          <w:p>
            <w:pPr>
              <w:pStyle w:val="0"/>
              <w:jc w:val="center"/>
            </w:pPr>
            <w:r>
              <w:rPr>
                <w:sz w:val="20"/>
              </w:rPr>
              <w:t xml:space="preserve">5,0</w:t>
            </w:r>
          </w:p>
        </w:tc>
        <w:tc>
          <w:tcPr>
            <w:tcW w:w="706" w:type="dxa"/>
            <w:vAlign w:val="center"/>
          </w:tcPr>
          <w:p>
            <w:pPr>
              <w:pStyle w:val="0"/>
              <w:jc w:val="center"/>
            </w:pPr>
            <w:r>
              <w:rPr>
                <w:sz w:val="20"/>
              </w:rPr>
              <w:t xml:space="preserve">7,0</w:t>
            </w:r>
          </w:p>
        </w:tc>
        <w:tc>
          <w:tcPr>
            <w:tcW w:w="706" w:type="dxa"/>
            <w:vAlign w:val="center"/>
          </w:tcPr>
          <w:p>
            <w:pPr>
              <w:pStyle w:val="0"/>
              <w:jc w:val="center"/>
            </w:pPr>
            <w:r>
              <w:rPr>
                <w:sz w:val="20"/>
              </w:rPr>
              <w:t xml:space="preserve">4,0</w:t>
            </w:r>
          </w:p>
        </w:tc>
        <w:tc>
          <w:tcPr>
            <w:tcW w:w="680" w:type="dxa"/>
            <w:vAlign w:val="center"/>
          </w:tcPr>
          <w:p>
            <w:pPr>
              <w:pStyle w:val="0"/>
              <w:jc w:val="center"/>
            </w:pPr>
            <w:r>
              <w:rPr>
                <w:sz w:val="20"/>
              </w:rPr>
              <w:t xml:space="preserve">5,0</w:t>
            </w:r>
          </w:p>
        </w:tc>
        <w:tc>
          <w:tcPr>
            <w:tcW w:w="737" w:type="dxa"/>
            <w:vAlign w:val="center"/>
          </w:tcPr>
          <w:p>
            <w:pPr>
              <w:pStyle w:val="0"/>
              <w:jc w:val="center"/>
            </w:pPr>
            <w:r>
              <w:rPr>
                <w:sz w:val="20"/>
              </w:rPr>
              <w:t xml:space="preserve">7,0</w:t>
            </w:r>
          </w:p>
        </w:tc>
      </w:tr>
      <w:tr>
        <w:tc>
          <w:tcPr>
            <w:tcW w:w="2721" w:type="dxa"/>
            <w:vAlign w:val="center"/>
          </w:tcPr>
          <w:p>
            <w:pPr>
              <w:pStyle w:val="0"/>
              <w:jc w:val="center"/>
            </w:pPr>
            <w:r>
              <w:rPr>
                <w:sz w:val="20"/>
              </w:rPr>
              <w:t xml:space="preserve">Более 10,0 до 20,0 включительно</w:t>
            </w:r>
          </w:p>
        </w:tc>
        <w:tc>
          <w:tcPr>
            <w:tcW w:w="701" w:type="dxa"/>
            <w:vAlign w:val="center"/>
          </w:tcPr>
          <w:p>
            <w:pPr>
              <w:pStyle w:val="0"/>
              <w:jc w:val="center"/>
            </w:pPr>
            <w:r>
              <w:rPr>
                <w:sz w:val="20"/>
              </w:rPr>
              <w:t xml:space="preserve">2,0</w:t>
            </w:r>
          </w:p>
        </w:tc>
        <w:tc>
          <w:tcPr>
            <w:tcW w:w="680" w:type="dxa"/>
            <w:vAlign w:val="center"/>
          </w:tcPr>
          <w:p>
            <w:pPr>
              <w:pStyle w:val="0"/>
              <w:jc w:val="center"/>
            </w:pPr>
            <w:r>
              <w:rPr>
                <w:sz w:val="20"/>
              </w:rPr>
              <w:t xml:space="preserve">2,5</w:t>
            </w:r>
          </w:p>
        </w:tc>
        <w:tc>
          <w:tcPr>
            <w:tcW w:w="701" w:type="dxa"/>
            <w:vAlign w:val="center"/>
          </w:tcPr>
          <w:p>
            <w:pPr>
              <w:pStyle w:val="0"/>
              <w:jc w:val="center"/>
            </w:pPr>
            <w:r>
              <w:rPr>
                <w:sz w:val="20"/>
              </w:rPr>
              <w:t xml:space="preserve">3,5</w:t>
            </w:r>
          </w:p>
        </w:tc>
        <w:tc>
          <w:tcPr>
            <w:tcW w:w="710" w:type="dxa"/>
            <w:vAlign w:val="center"/>
          </w:tcPr>
          <w:p>
            <w:pPr>
              <w:pStyle w:val="0"/>
              <w:jc w:val="center"/>
            </w:pPr>
            <w:r>
              <w:rPr>
                <w:sz w:val="20"/>
              </w:rPr>
              <w:t xml:space="preserve">4,0</w:t>
            </w:r>
          </w:p>
        </w:tc>
        <w:tc>
          <w:tcPr>
            <w:tcW w:w="701" w:type="dxa"/>
            <w:vAlign w:val="center"/>
          </w:tcPr>
          <w:p>
            <w:pPr>
              <w:pStyle w:val="0"/>
              <w:jc w:val="center"/>
            </w:pPr>
            <w:r>
              <w:rPr>
                <w:sz w:val="20"/>
              </w:rPr>
              <w:t xml:space="preserve">5,0</w:t>
            </w:r>
          </w:p>
        </w:tc>
        <w:tc>
          <w:tcPr>
            <w:tcW w:w="706" w:type="dxa"/>
            <w:vAlign w:val="center"/>
          </w:tcPr>
          <w:p>
            <w:pPr>
              <w:pStyle w:val="0"/>
              <w:jc w:val="center"/>
            </w:pPr>
            <w:r>
              <w:rPr>
                <w:sz w:val="20"/>
              </w:rPr>
              <w:t xml:space="preserve">7,0</w:t>
            </w:r>
          </w:p>
        </w:tc>
        <w:tc>
          <w:tcPr>
            <w:tcW w:w="706" w:type="dxa"/>
            <w:vAlign w:val="center"/>
          </w:tcPr>
          <w:p>
            <w:pPr>
              <w:pStyle w:val="0"/>
              <w:jc w:val="center"/>
            </w:pPr>
            <w:r>
              <w:rPr>
                <w:sz w:val="20"/>
              </w:rPr>
              <w:t xml:space="preserve">5,0</w:t>
            </w:r>
          </w:p>
        </w:tc>
        <w:tc>
          <w:tcPr>
            <w:tcW w:w="680" w:type="dxa"/>
            <w:vAlign w:val="center"/>
          </w:tcPr>
          <w:p>
            <w:pPr>
              <w:pStyle w:val="0"/>
              <w:jc w:val="center"/>
            </w:pPr>
            <w:r>
              <w:rPr>
                <w:sz w:val="20"/>
              </w:rPr>
              <w:t xml:space="preserve">6,0</w:t>
            </w:r>
          </w:p>
        </w:tc>
        <w:tc>
          <w:tcPr>
            <w:tcW w:w="737" w:type="dxa"/>
            <w:vAlign w:val="center"/>
          </w:tcPr>
          <w:p>
            <w:pPr>
              <w:pStyle w:val="0"/>
              <w:jc w:val="center"/>
            </w:pPr>
            <w:r>
              <w:rPr>
                <w:sz w:val="20"/>
              </w:rPr>
              <w:t xml:space="preserve">8,0</w:t>
            </w:r>
          </w:p>
        </w:tc>
      </w:tr>
      <w:tr>
        <w:tc>
          <w:tcPr>
            <w:tcW w:w="2721" w:type="dxa"/>
            <w:vAlign w:val="center"/>
          </w:tcPr>
          <w:p>
            <w:pPr>
              <w:pStyle w:val="0"/>
              <w:jc w:val="center"/>
            </w:pPr>
            <w:r>
              <w:rPr>
                <w:sz w:val="20"/>
              </w:rPr>
              <w:t xml:space="preserve">Более 20,0 до 40,0 включительно</w:t>
            </w:r>
          </w:p>
        </w:tc>
        <w:tc>
          <w:tcPr>
            <w:tcW w:w="701" w:type="dxa"/>
            <w:vAlign w:val="center"/>
          </w:tcPr>
          <w:p>
            <w:pPr>
              <w:pStyle w:val="0"/>
              <w:jc w:val="center"/>
            </w:pPr>
            <w:r>
              <w:rPr>
                <w:sz w:val="20"/>
              </w:rPr>
              <w:t xml:space="preserve">2,0</w:t>
            </w:r>
          </w:p>
        </w:tc>
        <w:tc>
          <w:tcPr>
            <w:tcW w:w="680" w:type="dxa"/>
            <w:vAlign w:val="center"/>
          </w:tcPr>
          <w:p>
            <w:pPr>
              <w:pStyle w:val="0"/>
              <w:jc w:val="center"/>
            </w:pPr>
            <w:r>
              <w:rPr>
                <w:sz w:val="20"/>
              </w:rPr>
              <w:t xml:space="preserve">2,5</w:t>
            </w:r>
          </w:p>
        </w:tc>
        <w:tc>
          <w:tcPr>
            <w:tcW w:w="701" w:type="dxa"/>
            <w:vAlign w:val="center"/>
          </w:tcPr>
          <w:p>
            <w:pPr>
              <w:pStyle w:val="0"/>
              <w:jc w:val="center"/>
            </w:pPr>
            <w:r>
              <w:rPr>
                <w:sz w:val="20"/>
              </w:rPr>
              <w:t xml:space="preserve">3,5</w:t>
            </w:r>
          </w:p>
        </w:tc>
        <w:tc>
          <w:tcPr>
            <w:tcW w:w="710" w:type="dxa"/>
            <w:vAlign w:val="center"/>
          </w:tcPr>
          <w:p>
            <w:pPr>
              <w:pStyle w:val="0"/>
              <w:jc w:val="center"/>
            </w:pPr>
            <w:r>
              <w:rPr>
                <w:sz w:val="20"/>
              </w:rPr>
              <w:t xml:space="preserve">4,0</w:t>
            </w:r>
          </w:p>
        </w:tc>
        <w:tc>
          <w:tcPr>
            <w:tcW w:w="701" w:type="dxa"/>
            <w:vAlign w:val="center"/>
          </w:tcPr>
          <w:p>
            <w:pPr>
              <w:pStyle w:val="0"/>
              <w:jc w:val="center"/>
            </w:pPr>
            <w:r>
              <w:rPr>
                <w:sz w:val="20"/>
              </w:rPr>
              <w:t xml:space="preserve">5,0</w:t>
            </w:r>
          </w:p>
        </w:tc>
        <w:tc>
          <w:tcPr>
            <w:tcW w:w="706" w:type="dxa"/>
            <w:vAlign w:val="center"/>
          </w:tcPr>
          <w:p>
            <w:pPr>
              <w:pStyle w:val="0"/>
              <w:jc w:val="center"/>
            </w:pPr>
            <w:r>
              <w:rPr>
                <w:sz w:val="20"/>
              </w:rPr>
              <w:t xml:space="preserve">7,0</w:t>
            </w:r>
          </w:p>
        </w:tc>
        <w:tc>
          <w:tcPr>
            <w:tcW w:w="706" w:type="dxa"/>
            <w:vAlign w:val="center"/>
          </w:tcPr>
          <w:p>
            <w:pPr>
              <w:pStyle w:val="0"/>
              <w:jc w:val="center"/>
            </w:pPr>
            <w:r>
              <w:rPr>
                <w:sz w:val="20"/>
              </w:rPr>
              <w:t xml:space="preserve">6,0</w:t>
            </w:r>
          </w:p>
        </w:tc>
        <w:tc>
          <w:tcPr>
            <w:tcW w:w="680" w:type="dxa"/>
            <w:vAlign w:val="center"/>
          </w:tcPr>
          <w:p>
            <w:pPr>
              <w:pStyle w:val="0"/>
              <w:jc w:val="center"/>
            </w:pPr>
            <w:r>
              <w:rPr>
                <w:sz w:val="20"/>
              </w:rPr>
              <w:t xml:space="preserve">7,0</w:t>
            </w:r>
          </w:p>
        </w:tc>
        <w:tc>
          <w:tcPr>
            <w:tcW w:w="737" w:type="dxa"/>
            <w:vAlign w:val="center"/>
          </w:tcPr>
          <w:p>
            <w:pPr>
              <w:pStyle w:val="0"/>
              <w:jc w:val="center"/>
            </w:pPr>
            <w:r>
              <w:rPr>
                <w:sz w:val="20"/>
              </w:rPr>
              <w:t xml:space="preserve">9,0</w:t>
            </w:r>
          </w:p>
        </w:tc>
      </w:tr>
      <w:tr>
        <w:tc>
          <w:tcPr>
            <w:tcW w:w="2721" w:type="dxa"/>
            <w:vAlign w:val="center"/>
          </w:tcPr>
          <w:p>
            <w:pPr>
              <w:pStyle w:val="0"/>
              <w:jc w:val="center"/>
            </w:pPr>
            <w:r>
              <w:rPr>
                <w:sz w:val="20"/>
              </w:rPr>
              <w:t xml:space="preserve">Более 40,0 до 60,0 включительно</w:t>
            </w:r>
          </w:p>
        </w:tc>
        <w:tc>
          <w:tcPr>
            <w:tcW w:w="701" w:type="dxa"/>
            <w:vAlign w:val="center"/>
          </w:tcPr>
          <w:p>
            <w:pPr>
              <w:pStyle w:val="0"/>
              <w:jc w:val="center"/>
            </w:pPr>
            <w:r>
              <w:rPr>
                <w:sz w:val="20"/>
              </w:rPr>
              <w:t xml:space="preserve">2,5</w:t>
            </w:r>
          </w:p>
        </w:tc>
        <w:tc>
          <w:tcPr>
            <w:tcW w:w="680" w:type="dxa"/>
            <w:vAlign w:val="center"/>
          </w:tcPr>
          <w:p>
            <w:pPr>
              <w:pStyle w:val="0"/>
              <w:jc w:val="center"/>
            </w:pPr>
            <w:r>
              <w:rPr>
                <w:sz w:val="20"/>
              </w:rPr>
              <w:t xml:space="preserve">3,5</w:t>
            </w:r>
          </w:p>
        </w:tc>
        <w:tc>
          <w:tcPr>
            <w:tcW w:w="701" w:type="dxa"/>
            <w:vAlign w:val="center"/>
          </w:tcPr>
          <w:p>
            <w:pPr>
              <w:pStyle w:val="0"/>
              <w:jc w:val="center"/>
            </w:pPr>
            <w:r>
              <w:rPr>
                <w:sz w:val="20"/>
              </w:rPr>
              <w:t xml:space="preserve">5,0</w:t>
            </w:r>
          </w:p>
        </w:tc>
        <w:tc>
          <w:tcPr>
            <w:tcW w:w="710" w:type="dxa"/>
            <w:vAlign w:val="center"/>
          </w:tcPr>
          <w:p>
            <w:pPr>
              <w:pStyle w:val="0"/>
              <w:jc w:val="center"/>
            </w:pPr>
            <w:r>
              <w:rPr>
                <w:sz w:val="20"/>
              </w:rPr>
              <w:t xml:space="preserve">5,0</w:t>
            </w:r>
          </w:p>
        </w:tc>
        <w:tc>
          <w:tcPr>
            <w:tcW w:w="701" w:type="dxa"/>
            <w:vAlign w:val="center"/>
          </w:tcPr>
          <w:p>
            <w:pPr>
              <w:pStyle w:val="0"/>
              <w:jc w:val="center"/>
            </w:pPr>
            <w:r>
              <w:rPr>
                <w:sz w:val="20"/>
              </w:rPr>
              <w:t xml:space="preserve">7,0</w:t>
            </w:r>
          </w:p>
        </w:tc>
        <w:tc>
          <w:tcPr>
            <w:tcW w:w="706" w:type="dxa"/>
            <w:vAlign w:val="center"/>
          </w:tcPr>
          <w:p>
            <w:pPr>
              <w:pStyle w:val="0"/>
              <w:jc w:val="center"/>
            </w:pPr>
            <w:r>
              <w:rPr>
                <w:sz w:val="20"/>
              </w:rPr>
              <w:t xml:space="preserve">10,0</w:t>
            </w:r>
          </w:p>
        </w:tc>
        <w:tc>
          <w:tcPr>
            <w:tcW w:w="706" w:type="dxa"/>
            <w:vAlign w:val="center"/>
          </w:tcPr>
          <w:p>
            <w:pPr>
              <w:pStyle w:val="0"/>
              <w:jc w:val="center"/>
            </w:pPr>
            <w:r>
              <w:rPr>
                <w:sz w:val="20"/>
              </w:rPr>
              <w:t xml:space="preserve">7,0</w:t>
            </w:r>
          </w:p>
        </w:tc>
        <w:tc>
          <w:tcPr>
            <w:tcW w:w="680" w:type="dxa"/>
            <w:vAlign w:val="center"/>
          </w:tcPr>
          <w:p>
            <w:pPr>
              <w:pStyle w:val="0"/>
              <w:jc w:val="center"/>
            </w:pPr>
            <w:r>
              <w:rPr>
                <w:sz w:val="20"/>
              </w:rPr>
              <w:t xml:space="preserve">8,0</w:t>
            </w:r>
          </w:p>
        </w:tc>
        <w:tc>
          <w:tcPr>
            <w:tcW w:w="737" w:type="dxa"/>
            <w:vAlign w:val="center"/>
          </w:tcPr>
          <w:p>
            <w:pPr>
              <w:pStyle w:val="0"/>
              <w:jc w:val="center"/>
            </w:pPr>
            <w:r>
              <w:rPr>
                <w:sz w:val="20"/>
              </w:rPr>
              <w:t xml:space="preserve">10,0</w:t>
            </w:r>
          </w:p>
        </w:tc>
      </w:tr>
      <w:tr>
        <w:tc>
          <w:tcPr>
            <w:tcW w:w="2721" w:type="dxa"/>
            <w:vAlign w:val="center"/>
          </w:tcPr>
          <w:p>
            <w:pPr>
              <w:pStyle w:val="0"/>
              <w:jc w:val="center"/>
            </w:pPr>
            <w:r>
              <w:rPr>
                <w:sz w:val="20"/>
              </w:rPr>
              <w:t xml:space="preserve">Более 60,0 до 80,0 включительно</w:t>
            </w:r>
          </w:p>
        </w:tc>
        <w:tc>
          <w:tcPr>
            <w:tcW w:w="701" w:type="dxa"/>
            <w:vAlign w:val="center"/>
          </w:tcPr>
          <w:p>
            <w:pPr>
              <w:pStyle w:val="0"/>
              <w:jc w:val="center"/>
            </w:pPr>
            <w:r>
              <w:rPr>
                <w:sz w:val="20"/>
              </w:rPr>
              <w:t xml:space="preserve">3,5</w:t>
            </w:r>
          </w:p>
        </w:tc>
        <w:tc>
          <w:tcPr>
            <w:tcW w:w="680" w:type="dxa"/>
            <w:vAlign w:val="center"/>
          </w:tcPr>
          <w:p>
            <w:pPr>
              <w:pStyle w:val="0"/>
              <w:jc w:val="center"/>
            </w:pPr>
            <w:r>
              <w:rPr>
                <w:sz w:val="20"/>
              </w:rPr>
              <w:t xml:space="preserve">5,0</w:t>
            </w:r>
          </w:p>
        </w:tc>
        <w:tc>
          <w:tcPr>
            <w:tcW w:w="701" w:type="dxa"/>
            <w:vAlign w:val="center"/>
          </w:tcPr>
          <w:p>
            <w:pPr>
              <w:pStyle w:val="0"/>
              <w:jc w:val="center"/>
            </w:pPr>
            <w:r>
              <w:rPr>
                <w:sz w:val="20"/>
              </w:rPr>
              <w:t xml:space="preserve">7,5</w:t>
            </w:r>
          </w:p>
        </w:tc>
        <w:tc>
          <w:tcPr>
            <w:tcW w:w="710" w:type="dxa"/>
            <w:vAlign w:val="center"/>
          </w:tcPr>
          <w:p>
            <w:pPr>
              <w:pStyle w:val="0"/>
              <w:jc w:val="center"/>
            </w:pPr>
            <w:r>
              <w:rPr>
                <w:sz w:val="20"/>
              </w:rPr>
              <w:t xml:space="preserve">7,0</w:t>
            </w:r>
          </w:p>
        </w:tc>
        <w:tc>
          <w:tcPr>
            <w:tcW w:w="701" w:type="dxa"/>
            <w:vAlign w:val="center"/>
          </w:tcPr>
          <w:p>
            <w:pPr>
              <w:pStyle w:val="0"/>
              <w:jc w:val="center"/>
            </w:pPr>
            <w:r>
              <w:rPr>
                <w:sz w:val="20"/>
              </w:rPr>
              <w:t xml:space="preserve">10,0</w:t>
            </w:r>
          </w:p>
        </w:tc>
        <w:tc>
          <w:tcPr>
            <w:tcW w:w="706" w:type="dxa"/>
            <w:vAlign w:val="center"/>
          </w:tcPr>
          <w:p>
            <w:pPr>
              <w:pStyle w:val="0"/>
              <w:jc w:val="center"/>
            </w:pPr>
            <w:r>
              <w:rPr>
                <w:sz w:val="20"/>
              </w:rPr>
              <w:t xml:space="preserve">15,0</w:t>
            </w:r>
          </w:p>
        </w:tc>
        <w:tc>
          <w:tcPr>
            <w:tcW w:w="706" w:type="dxa"/>
            <w:vAlign w:val="center"/>
          </w:tcPr>
          <w:p>
            <w:pPr>
              <w:pStyle w:val="0"/>
              <w:jc w:val="center"/>
            </w:pPr>
            <w:r>
              <w:rPr>
                <w:sz w:val="20"/>
              </w:rPr>
              <w:t xml:space="preserve">7,0</w:t>
            </w:r>
          </w:p>
        </w:tc>
        <w:tc>
          <w:tcPr>
            <w:tcW w:w="680" w:type="dxa"/>
            <w:vAlign w:val="center"/>
          </w:tcPr>
          <w:p>
            <w:pPr>
              <w:pStyle w:val="0"/>
              <w:jc w:val="center"/>
            </w:pPr>
            <w:r>
              <w:rPr>
                <w:sz w:val="20"/>
              </w:rPr>
              <w:t xml:space="preserve">9,0</w:t>
            </w:r>
          </w:p>
        </w:tc>
        <w:tc>
          <w:tcPr>
            <w:tcW w:w="737" w:type="dxa"/>
            <w:vAlign w:val="center"/>
          </w:tcPr>
          <w:p>
            <w:pPr>
              <w:pStyle w:val="0"/>
              <w:jc w:val="center"/>
            </w:pPr>
            <w:r>
              <w:rPr>
                <w:sz w:val="20"/>
              </w:rPr>
              <w:t xml:space="preserve">11,0</w:t>
            </w:r>
          </w:p>
        </w:tc>
      </w:tr>
      <w:tr>
        <w:tc>
          <w:tcPr>
            <w:tcW w:w="2721" w:type="dxa"/>
            <w:vAlign w:val="center"/>
          </w:tcPr>
          <w:p>
            <w:pPr>
              <w:pStyle w:val="0"/>
              <w:jc w:val="center"/>
            </w:pPr>
            <w:r>
              <w:rPr>
                <w:sz w:val="20"/>
              </w:rPr>
              <w:t xml:space="preserve">Более 80,0 до 100,0 включительно</w:t>
            </w:r>
          </w:p>
        </w:tc>
        <w:tc>
          <w:tcPr>
            <w:tcW w:w="701" w:type="dxa"/>
            <w:vAlign w:val="center"/>
          </w:tcPr>
          <w:p>
            <w:pPr>
              <w:pStyle w:val="0"/>
              <w:jc w:val="center"/>
            </w:pPr>
            <w:r>
              <w:rPr>
                <w:sz w:val="20"/>
              </w:rPr>
              <w:t xml:space="preserve">5,0</w:t>
            </w:r>
          </w:p>
        </w:tc>
        <w:tc>
          <w:tcPr>
            <w:tcW w:w="680" w:type="dxa"/>
            <w:vAlign w:val="center"/>
          </w:tcPr>
          <w:p>
            <w:pPr>
              <w:pStyle w:val="0"/>
              <w:jc w:val="center"/>
            </w:pPr>
            <w:r>
              <w:rPr>
                <w:sz w:val="20"/>
              </w:rPr>
              <w:t xml:space="preserve">7,5</w:t>
            </w:r>
          </w:p>
        </w:tc>
        <w:tc>
          <w:tcPr>
            <w:tcW w:w="701" w:type="dxa"/>
            <w:vAlign w:val="center"/>
          </w:tcPr>
          <w:p>
            <w:pPr>
              <w:pStyle w:val="0"/>
              <w:jc w:val="center"/>
            </w:pPr>
            <w:r>
              <w:rPr>
                <w:sz w:val="20"/>
              </w:rPr>
              <w:t xml:space="preserve">10,0</w:t>
            </w:r>
          </w:p>
        </w:tc>
        <w:tc>
          <w:tcPr>
            <w:tcW w:w="710" w:type="dxa"/>
            <w:vAlign w:val="center"/>
          </w:tcPr>
          <w:p>
            <w:pPr>
              <w:pStyle w:val="0"/>
              <w:jc w:val="center"/>
            </w:pPr>
            <w:r>
              <w:rPr>
                <w:sz w:val="20"/>
              </w:rPr>
              <w:t xml:space="preserve">10,0</w:t>
            </w:r>
          </w:p>
        </w:tc>
        <w:tc>
          <w:tcPr>
            <w:tcW w:w="701" w:type="dxa"/>
            <w:vAlign w:val="center"/>
          </w:tcPr>
          <w:p>
            <w:pPr>
              <w:pStyle w:val="0"/>
              <w:jc w:val="center"/>
            </w:pPr>
            <w:r>
              <w:rPr>
                <w:sz w:val="20"/>
              </w:rPr>
              <w:t xml:space="preserve">15,0</w:t>
            </w:r>
          </w:p>
        </w:tc>
        <w:tc>
          <w:tcPr>
            <w:tcW w:w="706" w:type="dxa"/>
            <w:vAlign w:val="center"/>
          </w:tcPr>
          <w:p>
            <w:pPr>
              <w:pStyle w:val="0"/>
              <w:jc w:val="center"/>
            </w:pPr>
            <w:r>
              <w:rPr>
                <w:sz w:val="20"/>
              </w:rPr>
              <w:t xml:space="preserve">20,0</w:t>
            </w:r>
          </w:p>
        </w:tc>
        <w:tc>
          <w:tcPr>
            <w:tcW w:w="706" w:type="dxa"/>
            <w:vAlign w:val="center"/>
          </w:tcPr>
          <w:p>
            <w:pPr>
              <w:pStyle w:val="0"/>
              <w:jc w:val="center"/>
            </w:pPr>
            <w:r>
              <w:rPr>
                <w:sz w:val="20"/>
              </w:rPr>
              <w:t xml:space="preserve">7,0</w:t>
            </w:r>
          </w:p>
        </w:tc>
        <w:tc>
          <w:tcPr>
            <w:tcW w:w="680" w:type="dxa"/>
            <w:vAlign w:val="center"/>
          </w:tcPr>
          <w:p>
            <w:pPr>
              <w:pStyle w:val="0"/>
              <w:jc w:val="center"/>
            </w:pPr>
            <w:r>
              <w:rPr>
                <w:sz w:val="20"/>
              </w:rPr>
              <w:t xml:space="preserve">9,0</w:t>
            </w:r>
          </w:p>
        </w:tc>
        <w:tc>
          <w:tcPr>
            <w:tcW w:w="737" w:type="dxa"/>
            <w:vAlign w:val="center"/>
          </w:tcPr>
          <w:p>
            <w:pPr>
              <w:pStyle w:val="0"/>
              <w:jc w:val="center"/>
            </w:pPr>
            <w:r>
              <w:rPr>
                <w:sz w:val="20"/>
              </w:rPr>
              <w:t xml:space="preserve">11,0</w:t>
            </w:r>
          </w:p>
        </w:tc>
      </w:tr>
      <w:tr>
        <w:tc>
          <w:tcPr>
            <w:tcW w:w="2721" w:type="dxa"/>
            <w:vAlign w:val="center"/>
          </w:tcPr>
          <w:p>
            <w:pPr>
              <w:pStyle w:val="0"/>
              <w:jc w:val="center"/>
            </w:pPr>
            <w:r>
              <w:rPr>
                <w:sz w:val="20"/>
              </w:rPr>
              <w:t xml:space="preserve">Более 100,0 до 120,0 включительно</w:t>
            </w:r>
          </w:p>
        </w:tc>
        <w:tc>
          <w:tcPr>
            <w:tcW w:w="701" w:type="dxa"/>
            <w:vAlign w:val="center"/>
          </w:tcPr>
          <w:p>
            <w:pPr>
              <w:pStyle w:val="0"/>
              <w:jc w:val="center"/>
            </w:pPr>
            <w:r>
              <w:rPr>
                <w:sz w:val="20"/>
              </w:rPr>
              <w:t xml:space="preserve">5,0</w:t>
            </w:r>
          </w:p>
        </w:tc>
        <w:tc>
          <w:tcPr>
            <w:tcW w:w="680" w:type="dxa"/>
            <w:vAlign w:val="center"/>
          </w:tcPr>
          <w:p>
            <w:pPr>
              <w:pStyle w:val="0"/>
              <w:jc w:val="center"/>
            </w:pPr>
            <w:r>
              <w:rPr>
                <w:sz w:val="20"/>
              </w:rPr>
              <w:t xml:space="preserve">7,5</w:t>
            </w:r>
          </w:p>
        </w:tc>
        <w:tc>
          <w:tcPr>
            <w:tcW w:w="701" w:type="dxa"/>
            <w:vAlign w:val="center"/>
          </w:tcPr>
          <w:p>
            <w:pPr>
              <w:pStyle w:val="0"/>
              <w:jc w:val="center"/>
            </w:pPr>
            <w:r>
              <w:rPr>
                <w:sz w:val="20"/>
              </w:rPr>
              <w:t xml:space="preserve">10,0</w:t>
            </w:r>
          </w:p>
        </w:tc>
        <w:tc>
          <w:tcPr>
            <w:tcW w:w="710" w:type="dxa"/>
            <w:vAlign w:val="center"/>
          </w:tcPr>
          <w:p>
            <w:pPr>
              <w:pStyle w:val="0"/>
              <w:jc w:val="center"/>
            </w:pPr>
            <w:r>
              <w:rPr>
                <w:sz w:val="20"/>
              </w:rPr>
              <w:t xml:space="preserve">10,0</w:t>
            </w:r>
          </w:p>
        </w:tc>
        <w:tc>
          <w:tcPr>
            <w:tcW w:w="701" w:type="dxa"/>
            <w:vAlign w:val="center"/>
          </w:tcPr>
          <w:p>
            <w:pPr>
              <w:pStyle w:val="0"/>
              <w:jc w:val="center"/>
            </w:pPr>
            <w:r>
              <w:rPr>
                <w:sz w:val="20"/>
              </w:rPr>
              <w:t xml:space="preserve">15,0</w:t>
            </w:r>
          </w:p>
        </w:tc>
        <w:tc>
          <w:tcPr>
            <w:tcW w:w="706" w:type="dxa"/>
            <w:vAlign w:val="center"/>
          </w:tcPr>
          <w:p>
            <w:pPr>
              <w:pStyle w:val="0"/>
              <w:jc w:val="center"/>
            </w:pPr>
            <w:r>
              <w:rPr>
                <w:sz w:val="20"/>
              </w:rPr>
              <w:t xml:space="preserve">20,0</w:t>
            </w:r>
          </w:p>
        </w:tc>
        <w:tc>
          <w:tcPr>
            <w:tcW w:w="706" w:type="dxa"/>
            <w:vAlign w:val="center"/>
          </w:tcPr>
          <w:p>
            <w:pPr>
              <w:pStyle w:val="0"/>
              <w:jc w:val="center"/>
            </w:pPr>
            <w:r>
              <w:rPr>
                <w:sz w:val="20"/>
              </w:rPr>
              <w:t xml:space="preserve">8,0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12,0</w:t>
            </w:r>
          </w:p>
        </w:tc>
      </w:tr>
      <w:tr>
        <w:tc>
          <w:tcPr>
            <w:tcW w:w="2721" w:type="dxa"/>
            <w:vAlign w:val="center"/>
          </w:tcPr>
          <w:p>
            <w:pPr>
              <w:pStyle w:val="0"/>
              <w:jc w:val="center"/>
            </w:pPr>
            <w:r>
              <w:rPr>
                <w:sz w:val="20"/>
              </w:rPr>
              <w:t xml:space="preserve">Более 120,0 до 200,0 включительно</w:t>
            </w:r>
          </w:p>
        </w:tc>
        <w:tc>
          <w:tcPr>
            <w:tcW w:w="701" w:type="dxa"/>
            <w:vAlign w:val="center"/>
          </w:tcPr>
          <w:p>
            <w:pPr>
              <w:pStyle w:val="0"/>
              <w:jc w:val="center"/>
            </w:pPr>
            <w:r>
              <w:rPr>
                <w:sz w:val="20"/>
              </w:rPr>
              <w:t xml:space="preserve">7,5</w:t>
            </w:r>
          </w:p>
        </w:tc>
        <w:tc>
          <w:tcPr>
            <w:tcW w:w="680" w:type="dxa"/>
            <w:vAlign w:val="center"/>
          </w:tcPr>
          <w:p>
            <w:pPr>
              <w:pStyle w:val="0"/>
              <w:jc w:val="center"/>
            </w:pPr>
            <w:r>
              <w:rPr>
                <w:sz w:val="20"/>
              </w:rPr>
              <w:t xml:space="preserve">10,0</w:t>
            </w:r>
          </w:p>
        </w:tc>
        <w:tc>
          <w:tcPr>
            <w:tcW w:w="701" w:type="dxa"/>
            <w:vAlign w:val="center"/>
          </w:tcPr>
          <w:p>
            <w:pPr>
              <w:pStyle w:val="0"/>
              <w:jc w:val="center"/>
            </w:pPr>
            <w:r>
              <w:rPr>
                <w:sz w:val="20"/>
              </w:rPr>
              <w:t xml:space="preserve">15,0</w:t>
            </w:r>
          </w:p>
        </w:tc>
        <w:tc>
          <w:tcPr>
            <w:tcW w:w="710" w:type="dxa"/>
            <w:vAlign w:val="center"/>
          </w:tcPr>
          <w:p>
            <w:pPr>
              <w:pStyle w:val="0"/>
              <w:jc w:val="center"/>
            </w:pPr>
            <w:r>
              <w:rPr>
                <w:sz w:val="20"/>
              </w:rPr>
              <w:t xml:space="preserve">15,0</w:t>
            </w:r>
          </w:p>
        </w:tc>
        <w:tc>
          <w:tcPr>
            <w:tcW w:w="701" w:type="dxa"/>
            <w:vAlign w:val="center"/>
          </w:tcPr>
          <w:p>
            <w:pPr>
              <w:pStyle w:val="0"/>
              <w:jc w:val="center"/>
            </w:pPr>
            <w:r>
              <w:rPr>
                <w:sz w:val="20"/>
              </w:rPr>
              <w:t xml:space="preserve">20,0</w:t>
            </w:r>
          </w:p>
        </w:tc>
        <w:tc>
          <w:tcPr>
            <w:tcW w:w="706" w:type="dxa"/>
            <w:vAlign w:val="center"/>
          </w:tcPr>
          <w:p>
            <w:pPr>
              <w:pStyle w:val="0"/>
              <w:jc w:val="center"/>
            </w:pPr>
            <w:r>
              <w:rPr>
                <w:sz w:val="20"/>
              </w:rPr>
              <w:t xml:space="preserve">30,0</w:t>
            </w:r>
          </w:p>
        </w:tc>
        <w:tc>
          <w:tcPr>
            <w:tcW w:w="706" w:type="dxa"/>
            <w:vAlign w:val="center"/>
          </w:tcPr>
          <w:p>
            <w:pPr>
              <w:pStyle w:val="0"/>
              <w:jc w:val="center"/>
            </w:pPr>
            <w:r>
              <w:rPr>
                <w:sz w:val="20"/>
              </w:rPr>
              <w:t xml:space="preserve">8,0</w:t>
            </w:r>
          </w:p>
        </w:tc>
        <w:tc>
          <w:tcPr>
            <w:tcW w:w="680" w:type="dxa"/>
            <w:vAlign w:val="center"/>
          </w:tcPr>
          <w:p>
            <w:pPr>
              <w:pStyle w:val="0"/>
              <w:jc w:val="center"/>
            </w:pPr>
            <w:r>
              <w:rPr>
                <w:sz w:val="20"/>
              </w:rPr>
              <w:t xml:space="preserve">10,0</w:t>
            </w:r>
          </w:p>
        </w:tc>
        <w:tc>
          <w:tcPr>
            <w:tcW w:w="737" w:type="dxa"/>
            <w:vAlign w:val="center"/>
          </w:tcPr>
          <w:p>
            <w:pPr>
              <w:pStyle w:val="0"/>
              <w:jc w:val="center"/>
            </w:pPr>
            <w:r>
              <w:rPr>
                <w:sz w:val="20"/>
              </w:rPr>
              <w:t xml:space="preserve">12,0</w:t>
            </w:r>
          </w:p>
        </w:tc>
      </w:tr>
      <w:tr>
        <w:tc>
          <w:tcPr>
            <w:tcW w:w="2721" w:type="dxa"/>
            <w:vAlign w:val="center"/>
          </w:tcPr>
          <w:p>
            <w:pPr>
              <w:pStyle w:val="0"/>
              <w:jc w:val="center"/>
            </w:pPr>
            <w:r>
              <w:rPr>
                <w:sz w:val="20"/>
              </w:rPr>
              <w:t xml:space="preserve">Более 200,0 до 300,0 включительно</w:t>
            </w:r>
          </w:p>
        </w:tc>
        <w:tc>
          <w:tcPr>
            <w:tcW w:w="701" w:type="dxa"/>
            <w:vAlign w:val="center"/>
          </w:tcPr>
          <w:p>
            <w:pPr>
              <w:pStyle w:val="0"/>
              <w:jc w:val="center"/>
            </w:pPr>
            <w:r>
              <w:rPr>
                <w:sz w:val="20"/>
              </w:rPr>
              <w:t xml:space="preserve">15,0</w:t>
            </w:r>
          </w:p>
        </w:tc>
        <w:tc>
          <w:tcPr>
            <w:tcW w:w="680" w:type="dxa"/>
            <w:vAlign w:val="center"/>
          </w:tcPr>
          <w:p>
            <w:pPr>
              <w:pStyle w:val="0"/>
              <w:jc w:val="center"/>
            </w:pPr>
            <w:r>
              <w:rPr>
                <w:sz w:val="20"/>
              </w:rPr>
              <w:t xml:space="preserve">20,0</w:t>
            </w:r>
          </w:p>
        </w:tc>
        <w:tc>
          <w:tcPr>
            <w:tcW w:w="701" w:type="dxa"/>
            <w:vAlign w:val="center"/>
          </w:tcPr>
          <w:p>
            <w:pPr>
              <w:pStyle w:val="0"/>
              <w:jc w:val="center"/>
            </w:pPr>
            <w:r>
              <w:rPr>
                <w:sz w:val="20"/>
              </w:rPr>
              <w:t xml:space="preserve">25,0</w:t>
            </w:r>
          </w:p>
        </w:tc>
        <w:tc>
          <w:tcPr>
            <w:tcW w:w="710" w:type="dxa"/>
            <w:vAlign w:val="center"/>
          </w:tcPr>
          <w:p>
            <w:pPr>
              <w:pStyle w:val="0"/>
              <w:jc w:val="center"/>
            </w:pPr>
            <w:r>
              <w:rPr>
                <w:sz w:val="20"/>
              </w:rPr>
              <w:t xml:space="preserve">30,0</w:t>
            </w:r>
          </w:p>
        </w:tc>
        <w:tc>
          <w:tcPr>
            <w:tcW w:w="701" w:type="dxa"/>
            <w:vAlign w:val="center"/>
          </w:tcPr>
          <w:p>
            <w:pPr>
              <w:pStyle w:val="0"/>
              <w:jc w:val="center"/>
            </w:pPr>
            <w:r>
              <w:rPr>
                <w:sz w:val="20"/>
              </w:rPr>
              <w:t xml:space="preserve">40,0</w:t>
            </w:r>
          </w:p>
        </w:tc>
        <w:tc>
          <w:tcPr>
            <w:tcW w:w="706" w:type="dxa"/>
            <w:vAlign w:val="center"/>
          </w:tcPr>
          <w:p>
            <w:pPr>
              <w:pStyle w:val="0"/>
              <w:jc w:val="center"/>
            </w:pPr>
            <w:r>
              <w:rPr>
                <w:sz w:val="20"/>
              </w:rPr>
              <w:t xml:space="preserve">50,0</w:t>
            </w:r>
          </w:p>
        </w:tc>
        <w:tc>
          <w:tcPr>
            <w:tcW w:w="706" w:type="dxa"/>
            <w:vAlign w:val="center"/>
          </w:tcPr>
          <w:p>
            <w:pPr>
              <w:pStyle w:val="0"/>
              <w:jc w:val="center"/>
            </w:pPr>
            <w:r>
              <w:rPr>
                <w:sz w:val="20"/>
              </w:rPr>
              <w:t xml:space="preserve">9,0</w:t>
            </w:r>
          </w:p>
        </w:tc>
        <w:tc>
          <w:tcPr>
            <w:tcW w:w="680" w:type="dxa"/>
            <w:vAlign w:val="center"/>
          </w:tcPr>
          <w:p>
            <w:pPr>
              <w:pStyle w:val="0"/>
              <w:jc w:val="center"/>
            </w:pPr>
            <w:r>
              <w:rPr>
                <w:sz w:val="20"/>
              </w:rPr>
              <w:t xml:space="preserve">11,0</w:t>
            </w:r>
          </w:p>
        </w:tc>
        <w:tc>
          <w:tcPr>
            <w:tcW w:w="737" w:type="dxa"/>
            <w:vAlign w:val="center"/>
          </w:tcPr>
          <w:p>
            <w:pPr>
              <w:pStyle w:val="0"/>
              <w:jc w:val="center"/>
            </w:pPr>
            <w:r>
              <w:rPr>
                <w:sz w:val="20"/>
              </w:rPr>
              <w:t xml:space="preserve">13,0</w:t>
            </w:r>
          </w:p>
        </w:tc>
      </w:tr>
      <w:tr>
        <w:tc>
          <w:tcPr>
            <w:tcW w:w="2721" w:type="dxa"/>
            <w:vAlign w:val="center"/>
          </w:tcPr>
          <w:p>
            <w:pPr>
              <w:pStyle w:val="0"/>
              <w:jc w:val="center"/>
            </w:pPr>
            <w:r>
              <w:rPr>
                <w:sz w:val="20"/>
              </w:rPr>
              <w:t xml:space="preserve">Более 300,0 до 400,0 включительно</w:t>
            </w:r>
          </w:p>
        </w:tc>
        <w:tc>
          <w:tcPr>
            <w:tcW w:w="701" w:type="dxa"/>
            <w:vAlign w:val="center"/>
          </w:tcPr>
          <w:p>
            <w:pPr>
              <w:pStyle w:val="0"/>
              <w:jc w:val="center"/>
            </w:pPr>
            <w:r>
              <w:rPr>
                <w:sz w:val="20"/>
              </w:rPr>
              <w:t xml:space="preserve">25,0</w:t>
            </w:r>
          </w:p>
        </w:tc>
        <w:tc>
          <w:tcPr>
            <w:tcW w:w="680" w:type="dxa"/>
            <w:vAlign w:val="center"/>
          </w:tcPr>
          <w:p>
            <w:pPr>
              <w:pStyle w:val="0"/>
              <w:jc w:val="center"/>
            </w:pPr>
            <w:r>
              <w:rPr>
                <w:sz w:val="20"/>
              </w:rPr>
              <w:t xml:space="preserve">-</w:t>
            </w:r>
          </w:p>
        </w:tc>
        <w:tc>
          <w:tcPr>
            <w:tcW w:w="701" w:type="dxa"/>
            <w:vAlign w:val="center"/>
          </w:tcPr>
          <w:p>
            <w:pPr>
              <w:pStyle w:val="0"/>
              <w:jc w:val="center"/>
            </w:pPr>
            <w:r>
              <w:rPr>
                <w:sz w:val="20"/>
              </w:rPr>
              <w:t xml:space="preserve">-</w:t>
            </w:r>
          </w:p>
        </w:tc>
        <w:tc>
          <w:tcPr>
            <w:tcW w:w="710" w:type="dxa"/>
            <w:vAlign w:val="center"/>
          </w:tcPr>
          <w:p>
            <w:pPr>
              <w:pStyle w:val="0"/>
              <w:jc w:val="center"/>
            </w:pPr>
            <w:r>
              <w:rPr>
                <w:sz w:val="20"/>
              </w:rPr>
              <w:t xml:space="preserve">50,0</w:t>
            </w:r>
          </w:p>
        </w:tc>
        <w:tc>
          <w:tcPr>
            <w:tcW w:w="701" w:type="dxa"/>
            <w:vAlign w:val="center"/>
          </w:tcPr>
          <w:p>
            <w:pPr>
              <w:pStyle w:val="0"/>
              <w:jc w:val="center"/>
            </w:pPr>
            <w:r>
              <w:rPr>
                <w:sz w:val="20"/>
              </w:rPr>
              <w:t xml:space="preserve">-</w:t>
            </w:r>
          </w:p>
        </w:tc>
        <w:tc>
          <w:tcPr>
            <w:tcW w:w="706" w:type="dxa"/>
            <w:vAlign w:val="center"/>
          </w:tcPr>
          <w:p>
            <w:pPr>
              <w:pStyle w:val="0"/>
              <w:jc w:val="center"/>
            </w:pPr>
            <w:r>
              <w:rPr>
                <w:sz w:val="20"/>
              </w:rPr>
              <w:t xml:space="preserve">-</w:t>
            </w:r>
          </w:p>
        </w:tc>
        <w:tc>
          <w:tcPr>
            <w:tcW w:w="706" w:type="dxa"/>
            <w:vAlign w:val="center"/>
          </w:tcPr>
          <w:p>
            <w:pPr>
              <w:pStyle w:val="0"/>
              <w:jc w:val="center"/>
            </w:pPr>
            <w:r>
              <w:rPr>
                <w:sz w:val="20"/>
              </w:rPr>
              <w:t xml:space="preserve">10,0</w:t>
            </w:r>
          </w:p>
        </w:tc>
        <w:tc>
          <w:tcPr>
            <w:tcW w:w="680"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r>
      <w:tr>
        <w:tc>
          <w:tcPr>
            <w:tcW w:w="2721" w:type="dxa"/>
            <w:vAlign w:val="center"/>
          </w:tcPr>
          <w:p>
            <w:pPr>
              <w:pStyle w:val="0"/>
              <w:jc w:val="center"/>
            </w:pPr>
            <w:r>
              <w:rPr>
                <w:sz w:val="20"/>
              </w:rPr>
              <w:t xml:space="preserve">Более 400,0 до 600,0 включительно</w:t>
            </w:r>
          </w:p>
        </w:tc>
        <w:tc>
          <w:tcPr>
            <w:tcW w:w="701" w:type="dxa"/>
            <w:vAlign w:val="center"/>
          </w:tcPr>
          <w:p>
            <w:pPr>
              <w:pStyle w:val="0"/>
              <w:jc w:val="center"/>
            </w:pPr>
            <w:r>
              <w:rPr>
                <w:sz w:val="20"/>
              </w:rPr>
              <w:t xml:space="preserve">35,0</w:t>
            </w:r>
          </w:p>
        </w:tc>
        <w:tc>
          <w:tcPr>
            <w:tcW w:w="680" w:type="dxa"/>
            <w:vAlign w:val="center"/>
          </w:tcPr>
          <w:p>
            <w:pPr>
              <w:pStyle w:val="0"/>
              <w:jc w:val="center"/>
            </w:pPr>
            <w:r>
              <w:rPr>
                <w:sz w:val="20"/>
              </w:rPr>
              <w:t xml:space="preserve">-</w:t>
            </w:r>
          </w:p>
        </w:tc>
        <w:tc>
          <w:tcPr>
            <w:tcW w:w="701" w:type="dxa"/>
            <w:vAlign w:val="center"/>
          </w:tcPr>
          <w:p>
            <w:pPr>
              <w:pStyle w:val="0"/>
              <w:jc w:val="center"/>
            </w:pPr>
            <w:r>
              <w:rPr>
                <w:sz w:val="20"/>
              </w:rPr>
              <w:t xml:space="preserve">-</w:t>
            </w:r>
          </w:p>
        </w:tc>
        <w:tc>
          <w:tcPr>
            <w:tcW w:w="710" w:type="dxa"/>
            <w:vAlign w:val="center"/>
          </w:tcPr>
          <w:p>
            <w:pPr>
              <w:pStyle w:val="0"/>
              <w:jc w:val="center"/>
            </w:pPr>
            <w:r>
              <w:rPr>
                <w:sz w:val="20"/>
              </w:rPr>
              <w:t xml:space="preserve">60,0</w:t>
            </w:r>
          </w:p>
        </w:tc>
        <w:tc>
          <w:tcPr>
            <w:tcW w:w="701" w:type="dxa"/>
            <w:vAlign w:val="center"/>
          </w:tcPr>
          <w:p>
            <w:pPr>
              <w:pStyle w:val="0"/>
              <w:jc w:val="center"/>
            </w:pPr>
            <w:r>
              <w:rPr>
                <w:sz w:val="20"/>
              </w:rPr>
              <w:t xml:space="preserve">-</w:t>
            </w:r>
          </w:p>
        </w:tc>
        <w:tc>
          <w:tcPr>
            <w:tcW w:w="706" w:type="dxa"/>
            <w:vAlign w:val="center"/>
          </w:tcPr>
          <w:p>
            <w:pPr>
              <w:pStyle w:val="0"/>
              <w:jc w:val="center"/>
            </w:pPr>
            <w:r>
              <w:rPr>
                <w:sz w:val="20"/>
              </w:rPr>
              <w:t xml:space="preserve">-</w:t>
            </w:r>
          </w:p>
        </w:tc>
        <w:tc>
          <w:tcPr>
            <w:tcW w:w="706" w:type="dxa"/>
            <w:vAlign w:val="center"/>
          </w:tcPr>
          <w:p>
            <w:pPr>
              <w:pStyle w:val="0"/>
              <w:jc w:val="center"/>
            </w:pPr>
            <w:r>
              <w:rPr>
                <w:sz w:val="20"/>
              </w:rPr>
              <w:t xml:space="preserve">10,0</w:t>
            </w:r>
          </w:p>
        </w:tc>
        <w:tc>
          <w:tcPr>
            <w:tcW w:w="680" w:type="dxa"/>
            <w:vAlign w:val="center"/>
          </w:tcPr>
          <w:p>
            <w:pPr>
              <w:pStyle w:val="0"/>
              <w:jc w:val="center"/>
            </w:pPr>
            <w:r>
              <w:rPr>
                <w:sz w:val="20"/>
              </w:rPr>
              <w:t xml:space="preserve">-</w:t>
            </w:r>
          </w:p>
        </w:tc>
        <w:tc>
          <w:tcPr>
            <w:tcW w:w="737" w:type="dxa"/>
            <w:vAlign w:val="center"/>
          </w:tcPr>
          <w:p>
            <w:pPr>
              <w:pStyle w:val="0"/>
              <w:jc w:val="center"/>
            </w:pPr>
            <w:r>
              <w:rPr>
                <w:sz w:val="20"/>
              </w:rPr>
              <w:t xml:space="preserve">-</w:t>
            </w:r>
          </w:p>
        </w:tc>
      </w:tr>
      <w:tr>
        <w:tc>
          <w:tcPr>
            <w:gridSpan w:val="10"/>
            <w:tcW w:w="9043" w:type="dxa"/>
          </w:tcPr>
          <w:p>
            <w:pPr>
              <w:pStyle w:val="0"/>
              <w:jc w:val="both"/>
            </w:pPr>
            <w:r>
              <w:rPr>
                <w:sz w:val="20"/>
              </w:rPr>
              <w:t xml:space="preserve">Примечания.</w:t>
            </w:r>
          </w:p>
          <w:p>
            <w:pPr>
              <w:pStyle w:val="0"/>
              <w:jc w:val="both"/>
            </w:pPr>
            <w:r>
              <w:rPr>
                <w:sz w:val="20"/>
              </w:rPr>
              <w:t xml:space="preserve">1. Протяженные несплошности не допускаются.</w:t>
            </w:r>
          </w:p>
          <w:p>
            <w:pPr>
              <w:pStyle w:val="0"/>
              <w:jc w:val="both"/>
            </w:pPr>
            <w:r>
              <w:rPr>
                <w:sz w:val="20"/>
              </w:rPr>
              <w:t xml:space="preserve">2. Нормы оценки качества по эквивалентной площади даны применительно к контролю с использованием стандартного плоскодонного отражателя.</w:t>
            </w:r>
          </w:p>
          <w:p>
            <w:pPr>
              <w:pStyle w:val="0"/>
              <w:jc w:val="both"/>
            </w:pPr>
            <w:r>
              <w:rPr>
                <w:sz w:val="20"/>
              </w:rPr>
              <w:t xml:space="preserve">3. При контроле сварных соединений деталей и сборочных единиц из стали с номинальной толщиной стенки до 20,0 мм допускается использование угловых отражателей (зарубок), размеры которых рассчитывают с учетом норм допустимых одиночных несплошностей.</w:t>
            </w:r>
          </w:p>
          <w:p>
            <w:pPr>
              <w:pStyle w:val="0"/>
              <w:jc w:val="both"/>
            </w:pPr>
            <w:r>
              <w:rPr>
                <w:sz w:val="20"/>
              </w:rPr>
              <w:t xml:space="preserve">4. Контроль по другим отражателям допускается при условии соблюдения требований </w:t>
            </w:r>
            <w:hyperlink w:history="0" r:id="rId88" w:tooltip="Ссылка на КонсультантПлюс">
              <w:r>
                <w:rPr>
                  <w:sz w:val="20"/>
                  <w:color w:val="0000ff"/>
                </w:rPr>
                <w:t xml:space="preserve">ГОСТ Р 55724-2013</w:t>
              </w:r>
            </w:hyperlink>
            <w:r>
              <w:rPr>
                <w:sz w:val="20"/>
              </w:rPr>
              <w:t xml:space="preserve"> "Контроль неразрушающий. Соединения сварные. Методы ультразвуковые" в части идентичности результатов контроля", утвержденного </w:t>
            </w:r>
            <w:hyperlink w:history="0" r:id="rId89" w:tooltip="Приказ Росстандарта от 08.11.2013 N 1410-ст &quot;Об утверждении национального стандарта&quot; {КонсультантПлюс}">
              <w:r>
                <w:rPr>
                  <w:sz w:val="20"/>
                  <w:color w:val="0000ff"/>
                </w:rPr>
                <w:t xml:space="preserve">приказом</w:t>
              </w:r>
            </w:hyperlink>
            <w:r>
              <w:rPr>
                <w:sz w:val="20"/>
              </w:rPr>
              <w:t xml:space="preserve"> Федерального агентства по техническому регулированию и метрологии от 8 ноября 2013 г. N 1410-ст (Стандартинформ, 2013).</w:t>
            </w:r>
          </w:p>
        </w:tc>
      </w:tr>
    </w:tbl>
    <w:p>
      <w:pPr>
        <w:pStyle w:val="0"/>
        <w:jc w:val="both"/>
      </w:pPr>
      <w:r>
        <w:rPr>
          <w:sz w:val="20"/>
        </w:rPr>
      </w:r>
    </w:p>
    <w:p>
      <w:pPr>
        <w:pStyle w:val="0"/>
        <w:ind w:firstLine="540"/>
        <w:jc w:val="both"/>
      </w:pPr>
      <w:r>
        <w:rPr>
          <w:sz w:val="20"/>
        </w:rPr>
        <w:t xml:space="preserve">Кромки, предварительно наплавленные высокохромистыми сварочными материалами, контролируются в составе готового сварного соединения по нормам оценки качества, приведенным в </w:t>
      </w:r>
      <w:hyperlink w:history="0" w:anchor="P2884" w:tooltip="Таблица N 4.13">
        <w:r>
          <w:rPr>
            <w:sz w:val="20"/>
            <w:color w:val="0000ff"/>
          </w:rPr>
          <w:t xml:space="preserve">таблице N 4.13</w:t>
        </w:r>
      </w:hyperlink>
      <w:r>
        <w:rPr>
          <w:sz w:val="20"/>
        </w:rPr>
        <w:t xml:space="preserve"> настоящего приложения, без разделения на предварительную наплавку и металл шва. При контроле сварных соединений труб с номинальной толщиной стенки до 50,0 мм допускается использование стандартного отражателя в виде зарубки и применение норм допустимых одиночных несплошностей, приведенных в </w:t>
      </w:r>
      <w:hyperlink w:history="0" w:anchor="P2884" w:tooltip="Таблица N 4.13">
        <w:r>
          <w:rPr>
            <w:sz w:val="20"/>
            <w:color w:val="0000ff"/>
          </w:rPr>
          <w:t xml:space="preserve">таблице N 4.13</w:t>
        </w:r>
      </w:hyperlink>
      <w:r>
        <w:rPr>
          <w:sz w:val="20"/>
        </w:rPr>
        <w:t xml:space="preserve"> настоящего приложения.</w:t>
      </w:r>
    </w:p>
    <w:p>
      <w:pPr>
        <w:pStyle w:val="0"/>
        <w:spacing w:before="200" w:line-rule="auto"/>
        <w:ind w:firstLine="540"/>
        <w:jc w:val="both"/>
      </w:pPr>
      <w:r>
        <w:rPr>
          <w:sz w:val="20"/>
        </w:rPr>
        <w:t xml:space="preserve">39. Нормы допустимых одиночных несплошностей в зоне сплавления наплавленного металла с основным при контроле наплавленных аустенитными сварочными материалами кромок деталей из сталей перлитного класса или из высокохромистых сталей приведены в таблице N 4.14 настоящего приложения.</w:t>
      </w:r>
    </w:p>
    <w:p>
      <w:pPr>
        <w:pStyle w:val="0"/>
        <w:jc w:val="both"/>
      </w:pPr>
      <w:r>
        <w:rPr>
          <w:sz w:val="20"/>
        </w:rPr>
      </w:r>
    </w:p>
    <w:p>
      <w:pPr>
        <w:pStyle w:val="0"/>
        <w:outlineLvl w:val="3"/>
        <w:jc w:val="right"/>
      </w:pPr>
      <w:r>
        <w:rPr>
          <w:sz w:val="20"/>
        </w:rPr>
        <w:t xml:space="preserve">Таблица N 4.14</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35"/>
        <w:gridCol w:w="1555"/>
        <w:gridCol w:w="1550"/>
        <w:gridCol w:w="1133"/>
        <w:gridCol w:w="989"/>
        <w:gridCol w:w="994"/>
      </w:tblGrid>
      <w:tr>
        <w:tc>
          <w:tcPr>
            <w:tcW w:w="2835" w:type="dxa"/>
            <w:vMerge w:val="restart"/>
          </w:tcPr>
          <w:p>
            <w:pPr>
              <w:pStyle w:val="0"/>
              <w:jc w:val="center"/>
            </w:pPr>
            <w:r>
              <w:rPr>
                <w:sz w:val="20"/>
              </w:rPr>
              <w:t xml:space="preserve">Номинальная толщина основного металла с наплавленной кромкой, мм</w:t>
            </w:r>
          </w:p>
        </w:tc>
        <w:tc>
          <w:tcPr>
            <w:gridSpan w:val="2"/>
            <w:tcW w:w="3105" w:type="dxa"/>
          </w:tcPr>
          <w:p>
            <w:pPr>
              <w:pStyle w:val="0"/>
              <w:jc w:val="center"/>
            </w:pPr>
            <w:r>
              <w:rPr>
                <w:sz w:val="20"/>
              </w:rPr>
              <w:t xml:space="preserve">Эквивалентная площадь одиночных несплошностей, мм</w:t>
            </w:r>
            <w:r>
              <w:rPr>
                <w:sz w:val="20"/>
                <w:vertAlign w:val="superscript"/>
              </w:rPr>
              <w:t xml:space="preserve">2</w:t>
            </w:r>
          </w:p>
        </w:tc>
        <w:tc>
          <w:tcPr>
            <w:gridSpan w:val="3"/>
            <w:tcW w:w="3116" w:type="dxa"/>
          </w:tcPr>
          <w:p>
            <w:pPr>
              <w:pStyle w:val="0"/>
              <w:jc w:val="center"/>
            </w:pPr>
            <w:r>
              <w:rPr>
                <w:sz w:val="20"/>
              </w:rPr>
              <w:t xml:space="preserve">Допустимое число фиксируемых одиночных несплошностей на любых 100,0 мм протяженности наплавленной кромки, шт.</w:t>
            </w:r>
          </w:p>
        </w:tc>
      </w:tr>
      <w:tr>
        <w:tc>
          <w:tcPr>
            <w:vMerge w:val="continue"/>
          </w:tcPr>
          <w:p/>
        </w:tc>
        <w:tc>
          <w:tcPr>
            <w:tcW w:w="1555" w:type="dxa"/>
            <w:vMerge w:val="restart"/>
          </w:tcPr>
          <w:p>
            <w:pPr>
              <w:pStyle w:val="0"/>
              <w:jc w:val="center"/>
            </w:pPr>
            <w:r>
              <w:rPr>
                <w:sz w:val="20"/>
              </w:rPr>
              <w:t xml:space="preserve">минимально фиксируемая</w:t>
            </w:r>
          </w:p>
        </w:tc>
        <w:tc>
          <w:tcPr>
            <w:tcW w:w="1550" w:type="dxa"/>
            <w:vMerge w:val="restart"/>
          </w:tcPr>
          <w:p>
            <w:pPr>
              <w:pStyle w:val="0"/>
              <w:jc w:val="center"/>
            </w:pPr>
            <w:r>
              <w:rPr>
                <w:sz w:val="20"/>
              </w:rPr>
              <w:t xml:space="preserve">максимально допустимая</w:t>
            </w:r>
          </w:p>
        </w:tc>
        <w:tc>
          <w:tcPr>
            <w:gridSpan w:val="3"/>
            <w:tcW w:w="3116" w:type="dxa"/>
          </w:tcPr>
          <w:p>
            <w:pPr>
              <w:pStyle w:val="0"/>
              <w:jc w:val="center"/>
            </w:pPr>
            <w:r>
              <w:rPr>
                <w:sz w:val="20"/>
              </w:rPr>
              <w:t xml:space="preserve">категория сварного соединения</w:t>
            </w:r>
          </w:p>
        </w:tc>
      </w:tr>
      <w:tr>
        <w:tc>
          <w:tcPr>
            <w:vMerge w:val="continue"/>
          </w:tcPr>
          <w:p/>
        </w:tc>
        <w:tc>
          <w:tcPr>
            <w:vMerge w:val="continue"/>
          </w:tcPr>
          <w:p/>
        </w:tc>
        <w:tc>
          <w:tcPr>
            <w:vMerge w:val="continue"/>
          </w:tcPr>
          <w:p/>
        </w:tc>
        <w:tc>
          <w:tcPr>
            <w:tcW w:w="1133" w:type="dxa"/>
          </w:tcPr>
          <w:p>
            <w:pPr>
              <w:pStyle w:val="0"/>
              <w:jc w:val="center"/>
            </w:pPr>
            <w:r>
              <w:rPr>
                <w:sz w:val="20"/>
              </w:rPr>
              <w:t xml:space="preserve">I, Iн, IIн</w:t>
            </w:r>
          </w:p>
        </w:tc>
        <w:tc>
          <w:tcPr>
            <w:tcW w:w="989" w:type="dxa"/>
          </w:tcPr>
          <w:p>
            <w:pPr>
              <w:pStyle w:val="0"/>
              <w:jc w:val="center"/>
            </w:pPr>
            <w:r>
              <w:rPr>
                <w:sz w:val="20"/>
              </w:rPr>
              <w:t xml:space="preserve">II</w:t>
            </w:r>
          </w:p>
        </w:tc>
        <w:tc>
          <w:tcPr>
            <w:tcW w:w="994" w:type="dxa"/>
          </w:tcPr>
          <w:p>
            <w:pPr>
              <w:pStyle w:val="0"/>
              <w:jc w:val="center"/>
            </w:pPr>
            <w:r>
              <w:rPr>
                <w:sz w:val="20"/>
              </w:rPr>
              <w:t xml:space="preserve">III</w:t>
            </w:r>
          </w:p>
        </w:tc>
      </w:tr>
      <w:tr>
        <w:tc>
          <w:tcPr>
            <w:tcW w:w="2835" w:type="dxa"/>
            <w:vAlign w:val="center"/>
          </w:tcPr>
          <w:p>
            <w:pPr>
              <w:pStyle w:val="0"/>
              <w:jc w:val="center"/>
            </w:pPr>
            <w:r>
              <w:rPr>
                <w:sz w:val="20"/>
              </w:rPr>
              <w:t xml:space="preserve">Более 10,0 до 40,0 включительно</w:t>
            </w:r>
          </w:p>
        </w:tc>
        <w:tc>
          <w:tcPr>
            <w:tcW w:w="1555" w:type="dxa"/>
            <w:vAlign w:val="center"/>
          </w:tcPr>
          <w:p>
            <w:pPr>
              <w:pStyle w:val="0"/>
              <w:jc w:val="center"/>
            </w:pPr>
            <w:r>
              <w:rPr>
                <w:sz w:val="20"/>
              </w:rPr>
              <w:t xml:space="preserve">3,5</w:t>
            </w:r>
          </w:p>
        </w:tc>
        <w:tc>
          <w:tcPr>
            <w:tcW w:w="1550" w:type="dxa"/>
            <w:vAlign w:val="center"/>
          </w:tcPr>
          <w:p>
            <w:pPr>
              <w:pStyle w:val="0"/>
              <w:jc w:val="center"/>
            </w:pPr>
            <w:r>
              <w:rPr>
                <w:sz w:val="20"/>
              </w:rPr>
              <w:t xml:space="preserve">7,0</w:t>
            </w:r>
          </w:p>
        </w:tc>
        <w:tc>
          <w:tcPr>
            <w:tcW w:w="1133" w:type="dxa"/>
            <w:vAlign w:val="center"/>
          </w:tcPr>
          <w:p>
            <w:pPr>
              <w:pStyle w:val="0"/>
              <w:jc w:val="center"/>
            </w:pPr>
            <w:r>
              <w:rPr>
                <w:sz w:val="20"/>
              </w:rPr>
              <w:t xml:space="preserve">3</w:t>
            </w:r>
          </w:p>
        </w:tc>
        <w:tc>
          <w:tcPr>
            <w:tcW w:w="989" w:type="dxa"/>
            <w:vAlign w:val="center"/>
          </w:tcPr>
          <w:p>
            <w:pPr>
              <w:pStyle w:val="0"/>
              <w:jc w:val="center"/>
            </w:pPr>
            <w:r>
              <w:rPr>
                <w:sz w:val="20"/>
              </w:rPr>
              <w:t xml:space="preserve">4</w:t>
            </w:r>
          </w:p>
        </w:tc>
        <w:tc>
          <w:tcPr>
            <w:tcW w:w="994" w:type="dxa"/>
            <w:vAlign w:val="center"/>
          </w:tcPr>
          <w:p>
            <w:pPr>
              <w:pStyle w:val="0"/>
              <w:jc w:val="center"/>
            </w:pPr>
            <w:r>
              <w:rPr>
                <w:sz w:val="20"/>
              </w:rPr>
              <w:t xml:space="preserve">5</w:t>
            </w:r>
          </w:p>
        </w:tc>
      </w:tr>
      <w:tr>
        <w:tc>
          <w:tcPr>
            <w:tcW w:w="2835" w:type="dxa"/>
            <w:vAlign w:val="center"/>
          </w:tcPr>
          <w:p>
            <w:pPr>
              <w:pStyle w:val="0"/>
              <w:jc w:val="center"/>
            </w:pPr>
            <w:r>
              <w:rPr>
                <w:sz w:val="20"/>
              </w:rPr>
              <w:t xml:space="preserve">Более 40,0 до 60,0 включительно</w:t>
            </w:r>
          </w:p>
        </w:tc>
        <w:tc>
          <w:tcPr>
            <w:tcW w:w="1555" w:type="dxa"/>
            <w:vAlign w:val="center"/>
          </w:tcPr>
          <w:p>
            <w:pPr>
              <w:pStyle w:val="0"/>
              <w:jc w:val="center"/>
            </w:pPr>
            <w:r>
              <w:rPr>
                <w:sz w:val="20"/>
              </w:rPr>
              <w:t xml:space="preserve">3,5</w:t>
            </w:r>
          </w:p>
        </w:tc>
        <w:tc>
          <w:tcPr>
            <w:tcW w:w="1550" w:type="dxa"/>
            <w:vAlign w:val="center"/>
          </w:tcPr>
          <w:p>
            <w:pPr>
              <w:pStyle w:val="0"/>
              <w:jc w:val="center"/>
            </w:pPr>
            <w:r>
              <w:rPr>
                <w:sz w:val="20"/>
              </w:rPr>
              <w:t xml:space="preserve">7,0</w:t>
            </w:r>
          </w:p>
        </w:tc>
        <w:tc>
          <w:tcPr>
            <w:tcW w:w="1133" w:type="dxa"/>
            <w:vAlign w:val="center"/>
          </w:tcPr>
          <w:p>
            <w:pPr>
              <w:pStyle w:val="0"/>
              <w:jc w:val="center"/>
            </w:pPr>
            <w:r>
              <w:rPr>
                <w:sz w:val="20"/>
              </w:rPr>
              <w:t xml:space="preserve">4</w:t>
            </w:r>
          </w:p>
        </w:tc>
        <w:tc>
          <w:tcPr>
            <w:tcW w:w="989" w:type="dxa"/>
            <w:vAlign w:val="center"/>
          </w:tcPr>
          <w:p>
            <w:pPr>
              <w:pStyle w:val="0"/>
              <w:jc w:val="center"/>
            </w:pPr>
            <w:r>
              <w:rPr>
                <w:sz w:val="20"/>
              </w:rPr>
              <w:t xml:space="preserve">5</w:t>
            </w:r>
          </w:p>
        </w:tc>
        <w:tc>
          <w:tcPr>
            <w:tcW w:w="994" w:type="dxa"/>
            <w:vAlign w:val="center"/>
          </w:tcPr>
          <w:p>
            <w:pPr>
              <w:pStyle w:val="0"/>
              <w:jc w:val="center"/>
            </w:pPr>
            <w:r>
              <w:rPr>
                <w:sz w:val="20"/>
              </w:rPr>
              <w:t xml:space="preserve">6</w:t>
            </w:r>
          </w:p>
        </w:tc>
      </w:tr>
      <w:tr>
        <w:tc>
          <w:tcPr>
            <w:tcW w:w="2835" w:type="dxa"/>
            <w:vAlign w:val="center"/>
          </w:tcPr>
          <w:p>
            <w:pPr>
              <w:pStyle w:val="0"/>
              <w:jc w:val="center"/>
            </w:pPr>
            <w:r>
              <w:rPr>
                <w:sz w:val="20"/>
              </w:rPr>
              <w:t xml:space="preserve">Более 60,0</w:t>
            </w:r>
          </w:p>
        </w:tc>
        <w:tc>
          <w:tcPr>
            <w:tcW w:w="1555" w:type="dxa"/>
            <w:vAlign w:val="center"/>
          </w:tcPr>
          <w:p>
            <w:pPr>
              <w:pStyle w:val="0"/>
              <w:jc w:val="center"/>
            </w:pPr>
            <w:r>
              <w:rPr>
                <w:sz w:val="20"/>
              </w:rPr>
              <w:t xml:space="preserve">3,5</w:t>
            </w:r>
          </w:p>
        </w:tc>
        <w:tc>
          <w:tcPr>
            <w:tcW w:w="1550" w:type="dxa"/>
            <w:vAlign w:val="center"/>
          </w:tcPr>
          <w:p>
            <w:pPr>
              <w:pStyle w:val="0"/>
              <w:jc w:val="center"/>
            </w:pPr>
            <w:r>
              <w:rPr>
                <w:sz w:val="20"/>
              </w:rPr>
              <w:t xml:space="preserve">7,0</w:t>
            </w:r>
          </w:p>
        </w:tc>
        <w:tc>
          <w:tcPr>
            <w:tcW w:w="1133" w:type="dxa"/>
            <w:vAlign w:val="center"/>
          </w:tcPr>
          <w:p>
            <w:pPr>
              <w:pStyle w:val="0"/>
              <w:jc w:val="center"/>
            </w:pPr>
            <w:r>
              <w:rPr>
                <w:sz w:val="20"/>
              </w:rPr>
              <w:t xml:space="preserve">5</w:t>
            </w:r>
          </w:p>
        </w:tc>
        <w:tc>
          <w:tcPr>
            <w:tcW w:w="989" w:type="dxa"/>
            <w:vAlign w:val="center"/>
          </w:tcPr>
          <w:p>
            <w:pPr>
              <w:pStyle w:val="0"/>
              <w:jc w:val="center"/>
            </w:pPr>
            <w:r>
              <w:rPr>
                <w:sz w:val="20"/>
              </w:rPr>
              <w:t xml:space="preserve">6</w:t>
            </w:r>
          </w:p>
        </w:tc>
        <w:tc>
          <w:tcPr>
            <w:tcW w:w="994" w:type="dxa"/>
            <w:vAlign w:val="center"/>
          </w:tcPr>
          <w:p>
            <w:pPr>
              <w:pStyle w:val="0"/>
              <w:jc w:val="center"/>
            </w:pPr>
            <w:r>
              <w:rPr>
                <w:sz w:val="20"/>
              </w:rPr>
              <w:t xml:space="preserve">7</w:t>
            </w:r>
          </w:p>
        </w:tc>
      </w:tr>
      <w:tr>
        <w:tc>
          <w:tcPr>
            <w:gridSpan w:val="6"/>
            <w:tcW w:w="9056" w:type="dxa"/>
          </w:tcPr>
          <w:p>
            <w:pPr>
              <w:pStyle w:val="0"/>
              <w:jc w:val="both"/>
            </w:pPr>
            <w:r>
              <w:rPr>
                <w:sz w:val="20"/>
              </w:rPr>
              <w:t xml:space="preserve">Примечание. Протяженные несплошности не допускаются.</w:t>
            </w:r>
          </w:p>
        </w:tc>
      </w:tr>
    </w:tbl>
    <w:p>
      <w:pPr>
        <w:pStyle w:val="0"/>
        <w:jc w:val="both"/>
      </w:pPr>
      <w:r>
        <w:rPr>
          <w:sz w:val="20"/>
        </w:rPr>
      </w:r>
    </w:p>
    <w:p>
      <w:pPr>
        <w:pStyle w:val="0"/>
        <w:ind w:firstLine="540"/>
        <w:jc w:val="both"/>
      </w:pPr>
      <w:r>
        <w:rPr>
          <w:sz w:val="20"/>
        </w:rPr>
        <w:t xml:space="preserve">40. Нормы допустимых несплошностей в зоне сплавления наплавленного металла с основным при контроле антикоррозионной наплавки приведены в таблице N 4.15 настоящего приложения.</w:t>
      </w:r>
    </w:p>
    <w:p>
      <w:pPr>
        <w:pStyle w:val="0"/>
        <w:jc w:val="both"/>
      </w:pPr>
      <w:r>
        <w:rPr>
          <w:sz w:val="20"/>
        </w:rPr>
      </w:r>
    </w:p>
    <w:p>
      <w:pPr>
        <w:pStyle w:val="0"/>
        <w:outlineLvl w:val="3"/>
        <w:jc w:val="right"/>
      </w:pPr>
      <w:r>
        <w:rPr>
          <w:sz w:val="20"/>
        </w:rPr>
        <w:t xml:space="preserve">Таблица N 4.15</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75"/>
        <w:gridCol w:w="1531"/>
        <w:gridCol w:w="1694"/>
        <w:gridCol w:w="2665"/>
      </w:tblGrid>
      <w:tr>
        <w:tc>
          <w:tcPr>
            <w:tcW w:w="3175" w:type="dxa"/>
            <w:vMerge w:val="restart"/>
          </w:tcPr>
          <w:p>
            <w:pPr>
              <w:pStyle w:val="0"/>
              <w:jc w:val="center"/>
            </w:pPr>
            <w:r>
              <w:rPr>
                <w:sz w:val="20"/>
              </w:rPr>
              <w:t xml:space="preserve">Номинальная толщина наплавленной детали без учета покрытия, мм</w:t>
            </w:r>
          </w:p>
        </w:tc>
        <w:tc>
          <w:tcPr>
            <w:gridSpan w:val="2"/>
            <w:tcW w:w="3225" w:type="dxa"/>
          </w:tcPr>
          <w:p>
            <w:pPr>
              <w:pStyle w:val="0"/>
              <w:jc w:val="center"/>
            </w:pPr>
            <w:r>
              <w:rPr>
                <w:sz w:val="20"/>
              </w:rPr>
              <w:t xml:space="preserve">Эквивалентная площадь одиночных несплошностей, мм</w:t>
            </w:r>
            <w:r>
              <w:rPr>
                <w:sz w:val="20"/>
                <w:vertAlign w:val="superscript"/>
              </w:rPr>
              <w:t xml:space="preserve">2</w:t>
            </w:r>
          </w:p>
        </w:tc>
        <w:tc>
          <w:tcPr>
            <w:tcW w:w="2665" w:type="dxa"/>
            <w:vMerge w:val="restart"/>
          </w:tcPr>
          <w:p>
            <w:pPr>
              <w:pStyle w:val="0"/>
              <w:jc w:val="center"/>
            </w:pPr>
            <w:r>
              <w:rPr>
                <w:sz w:val="20"/>
              </w:rPr>
              <w:t xml:space="preserve">Допустимая суммарная эквивалентная площадь одиночных несплошностей на любом участке размером 200 x 200 мм, мм</w:t>
            </w:r>
            <w:r>
              <w:rPr>
                <w:sz w:val="20"/>
                <w:vertAlign w:val="superscript"/>
              </w:rPr>
              <w:t xml:space="preserve">2</w:t>
            </w:r>
          </w:p>
        </w:tc>
      </w:tr>
      <w:tr>
        <w:tc>
          <w:tcPr>
            <w:vMerge w:val="continue"/>
          </w:tcPr>
          <w:p/>
        </w:tc>
        <w:tc>
          <w:tcPr>
            <w:tcW w:w="1531" w:type="dxa"/>
          </w:tcPr>
          <w:p>
            <w:pPr>
              <w:pStyle w:val="0"/>
              <w:jc w:val="center"/>
            </w:pPr>
            <w:r>
              <w:rPr>
                <w:sz w:val="20"/>
              </w:rPr>
              <w:t xml:space="preserve">минимально фиксируемая</w:t>
            </w:r>
          </w:p>
        </w:tc>
        <w:tc>
          <w:tcPr>
            <w:tcW w:w="1694" w:type="dxa"/>
          </w:tcPr>
          <w:p>
            <w:pPr>
              <w:pStyle w:val="0"/>
              <w:jc w:val="center"/>
            </w:pPr>
            <w:r>
              <w:rPr>
                <w:sz w:val="20"/>
              </w:rPr>
              <w:t xml:space="preserve">максимально допускаемая</w:t>
            </w:r>
          </w:p>
        </w:tc>
        <w:tc>
          <w:tcPr>
            <w:vMerge w:val="continue"/>
          </w:tcPr>
          <w:p/>
        </w:tc>
      </w:tr>
      <w:tr>
        <w:tc>
          <w:tcPr>
            <w:tcW w:w="3175" w:type="dxa"/>
            <w:vAlign w:val="center"/>
          </w:tcPr>
          <w:p>
            <w:pPr>
              <w:pStyle w:val="0"/>
              <w:jc w:val="center"/>
            </w:pPr>
            <w:r>
              <w:rPr>
                <w:sz w:val="20"/>
              </w:rPr>
              <w:t xml:space="preserve">До 100,0 включительно</w:t>
            </w:r>
          </w:p>
        </w:tc>
        <w:tc>
          <w:tcPr>
            <w:tcW w:w="1531" w:type="dxa"/>
            <w:vAlign w:val="center"/>
          </w:tcPr>
          <w:p>
            <w:pPr>
              <w:pStyle w:val="0"/>
              <w:jc w:val="center"/>
            </w:pPr>
            <w:r>
              <w:rPr>
                <w:sz w:val="20"/>
              </w:rPr>
              <w:t xml:space="preserve">10,0</w:t>
            </w:r>
          </w:p>
        </w:tc>
        <w:tc>
          <w:tcPr>
            <w:tcW w:w="1694" w:type="dxa"/>
            <w:vAlign w:val="center"/>
          </w:tcPr>
          <w:p>
            <w:pPr>
              <w:pStyle w:val="0"/>
              <w:jc w:val="center"/>
            </w:pPr>
            <w:r>
              <w:rPr>
                <w:sz w:val="20"/>
              </w:rPr>
              <w:t xml:space="preserve">20,0</w:t>
            </w:r>
          </w:p>
        </w:tc>
        <w:tc>
          <w:tcPr>
            <w:tcW w:w="2665" w:type="dxa"/>
            <w:vAlign w:val="center"/>
          </w:tcPr>
          <w:p>
            <w:pPr>
              <w:pStyle w:val="0"/>
              <w:jc w:val="center"/>
            </w:pPr>
            <w:r>
              <w:rPr>
                <w:sz w:val="20"/>
              </w:rPr>
              <w:t xml:space="preserve">75,0</w:t>
            </w:r>
          </w:p>
        </w:tc>
      </w:tr>
      <w:tr>
        <w:tc>
          <w:tcPr>
            <w:tcW w:w="3175" w:type="dxa"/>
            <w:vAlign w:val="center"/>
          </w:tcPr>
          <w:p>
            <w:pPr>
              <w:pStyle w:val="0"/>
              <w:jc w:val="center"/>
            </w:pPr>
            <w:r>
              <w:rPr>
                <w:sz w:val="20"/>
              </w:rPr>
              <w:t xml:space="preserve">Более 100,0 до 300,0 включительно</w:t>
            </w:r>
          </w:p>
        </w:tc>
        <w:tc>
          <w:tcPr>
            <w:tcW w:w="1531" w:type="dxa"/>
            <w:vAlign w:val="center"/>
          </w:tcPr>
          <w:p>
            <w:pPr>
              <w:pStyle w:val="0"/>
              <w:jc w:val="center"/>
            </w:pPr>
            <w:r>
              <w:rPr>
                <w:sz w:val="20"/>
              </w:rPr>
              <w:t xml:space="preserve">15,0</w:t>
            </w:r>
          </w:p>
        </w:tc>
        <w:tc>
          <w:tcPr>
            <w:tcW w:w="1694" w:type="dxa"/>
            <w:vAlign w:val="center"/>
          </w:tcPr>
          <w:p>
            <w:pPr>
              <w:pStyle w:val="0"/>
              <w:jc w:val="center"/>
            </w:pPr>
            <w:r>
              <w:rPr>
                <w:sz w:val="20"/>
              </w:rPr>
              <w:t xml:space="preserve">30,0</w:t>
            </w:r>
          </w:p>
        </w:tc>
        <w:tc>
          <w:tcPr>
            <w:tcW w:w="2665" w:type="dxa"/>
            <w:vAlign w:val="center"/>
          </w:tcPr>
          <w:p>
            <w:pPr>
              <w:pStyle w:val="0"/>
              <w:jc w:val="center"/>
            </w:pPr>
            <w:r>
              <w:rPr>
                <w:sz w:val="20"/>
              </w:rPr>
              <w:t xml:space="preserve">100,0</w:t>
            </w:r>
          </w:p>
        </w:tc>
      </w:tr>
      <w:tr>
        <w:tc>
          <w:tcPr>
            <w:tcW w:w="3175" w:type="dxa"/>
            <w:vAlign w:val="center"/>
          </w:tcPr>
          <w:p>
            <w:pPr>
              <w:pStyle w:val="0"/>
              <w:jc w:val="center"/>
            </w:pPr>
            <w:r>
              <w:rPr>
                <w:sz w:val="20"/>
              </w:rPr>
              <w:t xml:space="preserve">Более 300,0</w:t>
            </w:r>
          </w:p>
        </w:tc>
        <w:tc>
          <w:tcPr>
            <w:tcW w:w="1531" w:type="dxa"/>
            <w:vAlign w:val="center"/>
          </w:tcPr>
          <w:p>
            <w:pPr>
              <w:pStyle w:val="0"/>
              <w:jc w:val="center"/>
            </w:pPr>
            <w:r>
              <w:rPr>
                <w:sz w:val="20"/>
              </w:rPr>
              <w:t xml:space="preserve">20,0</w:t>
            </w:r>
          </w:p>
        </w:tc>
        <w:tc>
          <w:tcPr>
            <w:tcW w:w="1694" w:type="dxa"/>
            <w:vAlign w:val="center"/>
          </w:tcPr>
          <w:p>
            <w:pPr>
              <w:pStyle w:val="0"/>
              <w:jc w:val="center"/>
            </w:pPr>
            <w:r>
              <w:rPr>
                <w:sz w:val="20"/>
              </w:rPr>
              <w:t xml:space="preserve">40,0</w:t>
            </w:r>
          </w:p>
        </w:tc>
        <w:tc>
          <w:tcPr>
            <w:tcW w:w="2665" w:type="dxa"/>
            <w:vAlign w:val="center"/>
          </w:tcPr>
          <w:p>
            <w:pPr>
              <w:pStyle w:val="0"/>
              <w:jc w:val="center"/>
            </w:pPr>
            <w:r>
              <w:rPr>
                <w:sz w:val="20"/>
              </w:rPr>
              <w:t xml:space="preserve">125,0</w:t>
            </w:r>
          </w:p>
        </w:tc>
      </w:tr>
      <w:tr>
        <w:tc>
          <w:tcPr>
            <w:gridSpan w:val="4"/>
            <w:tcW w:w="9065" w:type="dxa"/>
          </w:tcPr>
          <w:p>
            <w:pPr>
              <w:pStyle w:val="0"/>
              <w:jc w:val="both"/>
            </w:pPr>
            <w:r>
              <w:rPr>
                <w:sz w:val="20"/>
              </w:rPr>
              <w:t xml:space="preserve">Примечание. Протяженные несплошности не допускаются.</w:t>
            </w:r>
          </w:p>
        </w:tc>
      </w:tr>
    </w:tbl>
    <w:p>
      <w:pPr>
        <w:pStyle w:val="0"/>
        <w:jc w:val="both"/>
      </w:pPr>
      <w:r>
        <w:rPr>
          <w:sz w:val="20"/>
        </w:rPr>
      </w:r>
    </w:p>
    <w:p>
      <w:pPr>
        <w:pStyle w:val="0"/>
        <w:ind w:firstLine="540"/>
        <w:jc w:val="both"/>
      </w:pPr>
      <w:r>
        <w:rPr>
          <w:sz w:val="20"/>
        </w:rPr>
        <w:t xml:space="preserve">41. По требованию конструкторской документации для деталей из стали марок 10ГН2МФА, 12Х2МФА, 12Х2МФА-А, 15Х2МФА, 15Х2МФА-А, 15Х2МФА мод. А, 15Х2МФА-А мод. А, 15Х2МФА-А мод. Б, 15Х2НМФА, 15Х2НМФА-А, 15Х2НМФА класс 1, 15Х3НМФА, 15Х3НМФА-А, 15Х2НМ1ФА, 15Х2НМ1ФА-А с антикоррозионной наплавкой проводят ультразвуковой контроль поднаплавочной зоны шириной не менее 10,0 мм в целях выявления поднаплавочных трещин. Браковочный уровень чувствительности контроля устанавливается в соответствии с </w:t>
      </w:r>
      <w:hyperlink w:history="0" w:anchor="P3077" w:tooltip="Таблица N 4.16">
        <w:r>
          <w:rPr>
            <w:sz w:val="20"/>
            <w:color w:val="0000ff"/>
          </w:rPr>
          <w:t xml:space="preserve">таблицей N 4.16</w:t>
        </w:r>
      </w:hyperlink>
      <w:r>
        <w:rPr>
          <w:sz w:val="20"/>
        </w:rPr>
        <w:t xml:space="preserve"> настоящего приложения.</w:t>
      </w:r>
    </w:p>
    <w:p>
      <w:pPr>
        <w:pStyle w:val="0"/>
        <w:spacing w:before="200" w:line-rule="auto"/>
        <w:ind w:firstLine="540"/>
        <w:jc w:val="both"/>
      </w:pPr>
      <w:r>
        <w:rPr>
          <w:sz w:val="20"/>
        </w:rPr>
        <w:t xml:space="preserve">Качество поднаплавочной зоны считается удовлетворительным, если не выявлены протяженные несплошности с амплитудой сигнала, превышающей браковочный уровень.</w:t>
      </w:r>
    </w:p>
    <w:p>
      <w:pPr>
        <w:pStyle w:val="0"/>
        <w:jc w:val="both"/>
      </w:pPr>
      <w:r>
        <w:rPr>
          <w:sz w:val="20"/>
        </w:rPr>
      </w:r>
    </w:p>
    <w:bookmarkStart w:id="3077" w:name="P3077"/>
    <w:bookmarkEnd w:id="3077"/>
    <w:p>
      <w:pPr>
        <w:pStyle w:val="0"/>
        <w:outlineLvl w:val="3"/>
        <w:jc w:val="right"/>
      </w:pPr>
      <w:r>
        <w:rPr>
          <w:sz w:val="20"/>
        </w:rPr>
        <w:t xml:space="preserve">Таблица N 4.16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4365"/>
      </w:tblGrid>
      <w:tr>
        <w:tc>
          <w:tcPr>
            <w:tcW w:w="4706" w:type="dxa"/>
          </w:tcPr>
          <w:p>
            <w:pPr>
              <w:pStyle w:val="0"/>
              <w:jc w:val="center"/>
            </w:pPr>
            <w:r>
              <w:rPr>
                <w:sz w:val="20"/>
              </w:rPr>
              <w:t xml:space="preserve">Толщина наплавленного металла, мм</w:t>
            </w:r>
          </w:p>
        </w:tc>
        <w:tc>
          <w:tcPr>
            <w:tcW w:w="4365" w:type="dxa"/>
          </w:tcPr>
          <w:p>
            <w:pPr>
              <w:pStyle w:val="0"/>
              <w:jc w:val="center"/>
            </w:pPr>
            <w:r>
              <w:rPr>
                <w:sz w:val="20"/>
              </w:rPr>
              <w:t xml:space="preserve">Браковочный уровень чувствительности, мм</w:t>
            </w:r>
          </w:p>
        </w:tc>
      </w:tr>
      <w:tr>
        <w:tc>
          <w:tcPr>
            <w:tcW w:w="4706" w:type="dxa"/>
            <w:vAlign w:val="center"/>
          </w:tcPr>
          <w:p>
            <w:pPr>
              <w:pStyle w:val="0"/>
              <w:jc w:val="center"/>
            </w:pPr>
            <w:r>
              <w:rPr>
                <w:sz w:val="20"/>
              </w:rPr>
              <w:t xml:space="preserve">До 6,0 включительно</w:t>
            </w:r>
          </w:p>
        </w:tc>
        <w:tc>
          <w:tcPr>
            <w:tcW w:w="4365" w:type="dxa"/>
            <w:vAlign w:val="center"/>
          </w:tcPr>
          <w:p>
            <w:pPr>
              <w:pStyle w:val="0"/>
              <w:jc w:val="center"/>
            </w:pPr>
            <w:r>
              <w:rPr>
                <w:sz w:val="20"/>
              </w:rPr>
              <w:t xml:space="preserve">2</w:t>
            </w:r>
          </w:p>
        </w:tc>
      </w:tr>
      <w:tr>
        <w:tc>
          <w:tcPr>
            <w:tcW w:w="4706" w:type="dxa"/>
            <w:vAlign w:val="center"/>
          </w:tcPr>
          <w:p>
            <w:pPr>
              <w:pStyle w:val="0"/>
              <w:jc w:val="center"/>
            </w:pPr>
            <w:r>
              <w:rPr>
                <w:sz w:val="20"/>
              </w:rPr>
              <w:t xml:space="preserve">Более 6,0 до 11,0 включительно</w:t>
            </w:r>
          </w:p>
        </w:tc>
        <w:tc>
          <w:tcPr>
            <w:tcW w:w="4365" w:type="dxa"/>
            <w:vAlign w:val="center"/>
          </w:tcPr>
          <w:p>
            <w:pPr>
              <w:pStyle w:val="0"/>
              <w:jc w:val="center"/>
            </w:pPr>
            <w:r>
              <w:rPr>
                <w:sz w:val="20"/>
              </w:rPr>
              <w:t xml:space="preserve">3</w:t>
            </w:r>
          </w:p>
        </w:tc>
      </w:tr>
      <w:tr>
        <w:tc>
          <w:tcPr>
            <w:tcW w:w="4706" w:type="dxa"/>
            <w:vAlign w:val="center"/>
          </w:tcPr>
          <w:p>
            <w:pPr>
              <w:pStyle w:val="0"/>
              <w:jc w:val="center"/>
            </w:pPr>
            <w:r>
              <w:rPr>
                <w:sz w:val="20"/>
              </w:rPr>
              <w:t xml:space="preserve">Более 11,0</w:t>
            </w:r>
          </w:p>
        </w:tc>
        <w:tc>
          <w:tcPr>
            <w:tcW w:w="4365" w:type="dxa"/>
            <w:vAlign w:val="center"/>
          </w:tcPr>
          <w:p>
            <w:pPr>
              <w:pStyle w:val="0"/>
              <w:jc w:val="center"/>
            </w:pPr>
            <w:r>
              <w:rPr>
                <w:sz w:val="20"/>
              </w:rPr>
              <w:t xml:space="preserve">4</w:t>
            </w:r>
          </w:p>
        </w:tc>
      </w:tr>
      <w:tr>
        <w:tc>
          <w:tcPr>
            <w:gridSpan w:val="2"/>
            <w:tcW w:w="9071" w:type="dxa"/>
          </w:tcPr>
          <w:p>
            <w:pPr>
              <w:pStyle w:val="0"/>
            </w:pPr>
            <w:r>
              <w:rPr>
                <w:sz w:val="20"/>
              </w:rPr>
              <w:t xml:space="preserve">Примечание. Браковочный уровень чувствительности дан применительно к контролю с использованием плоскодонного отражателя.</w:t>
            </w:r>
          </w:p>
        </w:tc>
      </w:tr>
    </w:tbl>
    <w:p>
      <w:pPr>
        <w:pStyle w:val="0"/>
        <w:jc w:val="both"/>
      </w:pPr>
      <w:r>
        <w:rPr>
          <w:sz w:val="20"/>
        </w:rPr>
      </w:r>
    </w:p>
    <w:p>
      <w:pPr>
        <w:pStyle w:val="0"/>
        <w:ind w:firstLine="540"/>
        <w:jc w:val="both"/>
      </w:pPr>
      <w:r>
        <w:rPr>
          <w:sz w:val="20"/>
        </w:rPr>
        <w:t xml:space="preserve">42. Нормы оценки качества по результатам ультразвукового контроля сварных соединений деталей и сборочных единиц из алюминиевых сплавов приведены в таблице N 4.17 настоящего приложения.</w:t>
      </w:r>
    </w:p>
    <w:p>
      <w:pPr>
        <w:pStyle w:val="0"/>
        <w:jc w:val="both"/>
      </w:pPr>
      <w:r>
        <w:rPr>
          <w:sz w:val="20"/>
        </w:rPr>
      </w:r>
    </w:p>
    <w:p>
      <w:pPr>
        <w:pStyle w:val="0"/>
        <w:outlineLvl w:val="3"/>
        <w:jc w:val="right"/>
      </w:pPr>
      <w:r>
        <w:rPr>
          <w:sz w:val="20"/>
        </w:rPr>
        <w:t xml:space="preserve">Таблица N 4.17</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88"/>
        <w:gridCol w:w="2683"/>
        <w:gridCol w:w="3061"/>
      </w:tblGrid>
      <w:tr>
        <w:tc>
          <w:tcPr>
            <w:tcW w:w="3288" w:type="dxa"/>
          </w:tcPr>
          <w:p>
            <w:pPr>
              <w:pStyle w:val="0"/>
              <w:jc w:val="center"/>
            </w:pPr>
            <w:r>
              <w:rPr>
                <w:sz w:val="20"/>
              </w:rPr>
              <w:t xml:space="preserve">Толщина свариваемых элементов, мм</w:t>
            </w:r>
          </w:p>
        </w:tc>
        <w:tc>
          <w:tcPr>
            <w:tcW w:w="2683" w:type="dxa"/>
          </w:tcPr>
          <w:p>
            <w:pPr>
              <w:pStyle w:val="0"/>
              <w:jc w:val="center"/>
            </w:pPr>
            <w:r>
              <w:rPr>
                <w:sz w:val="20"/>
              </w:rPr>
              <w:t xml:space="preserve">Максимально допустимая эквивалентная площадь несплошности, мм</w:t>
            </w:r>
            <w:r>
              <w:rPr>
                <w:sz w:val="20"/>
                <w:vertAlign w:val="superscript"/>
              </w:rPr>
              <w:t xml:space="preserve">2</w:t>
            </w:r>
          </w:p>
        </w:tc>
        <w:tc>
          <w:tcPr>
            <w:tcW w:w="3061" w:type="dxa"/>
          </w:tcPr>
          <w:p>
            <w:pPr>
              <w:pStyle w:val="0"/>
              <w:jc w:val="center"/>
            </w:pPr>
            <w:r>
              <w:rPr>
                <w:sz w:val="20"/>
              </w:rPr>
              <w:t xml:space="preserve">Максимально допустимое значение условной протяженности несплошности, мм</w:t>
            </w:r>
          </w:p>
        </w:tc>
      </w:tr>
      <w:tr>
        <w:tc>
          <w:tcPr>
            <w:tcW w:w="3288" w:type="dxa"/>
            <w:vAlign w:val="center"/>
          </w:tcPr>
          <w:p>
            <w:pPr>
              <w:pStyle w:val="0"/>
              <w:jc w:val="center"/>
            </w:pPr>
            <w:r>
              <w:rPr>
                <w:sz w:val="20"/>
              </w:rPr>
              <w:t xml:space="preserve">Более 6,0 до 10,0 включительно</w:t>
            </w:r>
          </w:p>
        </w:tc>
        <w:tc>
          <w:tcPr>
            <w:tcW w:w="2683" w:type="dxa"/>
            <w:vAlign w:val="center"/>
          </w:tcPr>
          <w:p>
            <w:pPr>
              <w:pStyle w:val="0"/>
              <w:jc w:val="center"/>
            </w:pPr>
            <w:r>
              <w:rPr>
                <w:sz w:val="20"/>
              </w:rPr>
              <w:t xml:space="preserve">1,5</w:t>
            </w:r>
          </w:p>
        </w:tc>
        <w:tc>
          <w:tcPr>
            <w:tcW w:w="3061" w:type="dxa"/>
            <w:vAlign w:val="center"/>
          </w:tcPr>
          <w:p>
            <w:pPr>
              <w:pStyle w:val="0"/>
              <w:jc w:val="center"/>
            </w:pPr>
            <w:r>
              <w:rPr>
                <w:sz w:val="20"/>
              </w:rPr>
              <w:t xml:space="preserve">5</w:t>
            </w:r>
          </w:p>
        </w:tc>
      </w:tr>
      <w:tr>
        <w:tc>
          <w:tcPr>
            <w:tcW w:w="3288" w:type="dxa"/>
            <w:vAlign w:val="center"/>
          </w:tcPr>
          <w:p>
            <w:pPr>
              <w:pStyle w:val="0"/>
              <w:jc w:val="center"/>
            </w:pPr>
            <w:r>
              <w:rPr>
                <w:sz w:val="20"/>
              </w:rPr>
              <w:t xml:space="preserve">Более 10,0 до 16,0 включительно</w:t>
            </w:r>
          </w:p>
        </w:tc>
        <w:tc>
          <w:tcPr>
            <w:tcW w:w="2683" w:type="dxa"/>
            <w:vAlign w:val="center"/>
          </w:tcPr>
          <w:p>
            <w:pPr>
              <w:pStyle w:val="0"/>
              <w:jc w:val="center"/>
            </w:pPr>
            <w:r>
              <w:rPr>
                <w:sz w:val="20"/>
              </w:rPr>
              <w:t xml:space="preserve">1,5</w:t>
            </w:r>
          </w:p>
        </w:tc>
        <w:tc>
          <w:tcPr>
            <w:tcW w:w="3061" w:type="dxa"/>
            <w:vAlign w:val="center"/>
          </w:tcPr>
          <w:p>
            <w:pPr>
              <w:pStyle w:val="0"/>
              <w:jc w:val="center"/>
            </w:pPr>
            <w:r>
              <w:rPr>
                <w:sz w:val="20"/>
              </w:rPr>
              <w:t xml:space="preserve">10</w:t>
            </w:r>
          </w:p>
        </w:tc>
      </w:tr>
      <w:tr>
        <w:tc>
          <w:tcPr>
            <w:tcW w:w="3288" w:type="dxa"/>
            <w:vAlign w:val="center"/>
          </w:tcPr>
          <w:p>
            <w:pPr>
              <w:pStyle w:val="0"/>
              <w:jc w:val="center"/>
            </w:pPr>
            <w:r>
              <w:rPr>
                <w:sz w:val="20"/>
              </w:rPr>
              <w:t xml:space="preserve">Более 16,0 до 20,0 включительно</w:t>
            </w:r>
          </w:p>
        </w:tc>
        <w:tc>
          <w:tcPr>
            <w:tcW w:w="2683" w:type="dxa"/>
            <w:vAlign w:val="center"/>
          </w:tcPr>
          <w:p>
            <w:pPr>
              <w:pStyle w:val="0"/>
              <w:jc w:val="center"/>
            </w:pPr>
            <w:r>
              <w:rPr>
                <w:sz w:val="20"/>
              </w:rPr>
              <w:t xml:space="preserve">2,0</w:t>
            </w:r>
          </w:p>
        </w:tc>
        <w:tc>
          <w:tcPr>
            <w:tcW w:w="3061" w:type="dxa"/>
            <w:vAlign w:val="center"/>
          </w:tcPr>
          <w:p>
            <w:pPr>
              <w:pStyle w:val="0"/>
              <w:jc w:val="center"/>
            </w:pPr>
            <w:r>
              <w:rPr>
                <w:sz w:val="20"/>
              </w:rPr>
              <w:t xml:space="preserve">10</w:t>
            </w:r>
          </w:p>
        </w:tc>
      </w:tr>
      <w:tr>
        <w:tc>
          <w:tcPr>
            <w:tcW w:w="3288" w:type="dxa"/>
            <w:vAlign w:val="center"/>
          </w:tcPr>
          <w:p>
            <w:pPr>
              <w:pStyle w:val="0"/>
              <w:jc w:val="center"/>
            </w:pPr>
            <w:r>
              <w:rPr>
                <w:sz w:val="20"/>
              </w:rPr>
              <w:t xml:space="preserve">Более 20,0 до 24,0 включительно</w:t>
            </w:r>
          </w:p>
        </w:tc>
        <w:tc>
          <w:tcPr>
            <w:tcW w:w="2683" w:type="dxa"/>
            <w:vAlign w:val="center"/>
          </w:tcPr>
          <w:p>
            <w:pPr>
              <w:pStyle w:val="0"/>
              <w:jc w:val="center"/>
            </w:pPr>
            <w:r>
              <w:rPr>
                <w:sz w:val="20"/>
              </w:rPr>
              <w:t xml:space="preserve">2,0</w:t>
            </w:r>
          </w:p>
        </w:tc>
        <w:tc>
          <w:tcPr>
            <w:tcW w:w="3061" w:type="dxa"/>
            <w:vAlign w:val="center"/>
          </w:tcPr>
          <w:p>
            <w:pPr>
              <w:pStyle w:val="0"/>
              <w:jc w:val="center"/>
            </w:pPr>
            <w:r>
              <w:rPr>
                <w:sz w:val="20"/>
              </w:rPr>
              <w:t xml:space="preserve">20</w:t>
            </w:r>
          </w:p>
        </w:tc>
      </w:tr>
      <w:tr>
        <w:tc>
          <w:tcPr>
            <w:gridSpan w:val="3"/>
            <w:tcW w:w="9032" w:type="dxa"/>
          </w:tcPr>
          <w:p>
            <w:pPr>
              <w:pStyle w:val="0"/>
              <w:jc w:val="both"/>
            </w:pPr>
            <w:r>
              <w:rPr>
                <w:sz w:val="20"/>
              </w:rPr>
              <w:t xml:space="preserve">Примечания.</w:t>
            </w:r>
          </w:p>
          <w:p>
            <w:pPr>
              <w:pStyle w:val="0"/>
            </w:pPr>
            <w:r>
              <w:rPr>
                <w:sz w:val="20"/>
              </w:rPr>
              <w:t xml:space="preserve">1. Браковочным уровнем чувствительности является максимально допустимая эквивалентная площадь несплошности.</w:t>
            </w:r>
          </w:p>
          <w:bookmarkStart w:id="3110" w:name="P3110"/>
          <w:bookmarkEnd w:id="3110"/>
          <w:p>
            <w:pPr>
              <w:pStyle w:val="0"/>
            </w:pPr>
            <w:r>
              <w:rPr>
                <w:sz w:val="20"/>
              </w:rPr>
              <w:t xml:space="preserve">2. Поисковый уровень чувствительности достигается увеличением чувствительности дефектоскопа на 6 дБ по сравнению с браковочным уровнем.</w:t>
            </w:r>
          </w:p>
          <w:p>
            <w:pPr>
              <w:pStyle w:val="0"/>
            </w:pPr>
            <w:r>
              <w:rPr>
                <w:sz w:val="20"/>
              </w:rPr>
              <w:t xml:space="preserve">3. Условную протяженность несплошности измеряют по уменьшению амплитуды сигнала до чувствительности в соответствии с </w:t>
            </w:r>
            <w:hyperlink w:history="0" w:anchor="P3110" w:tooltip="2. Поисковый уровень чувствительности достигается увеличением чувствительности дефектоскопа на 6 дБ по сравнению с браковочным уровнем.">
              <w:r>
                <w:rPr>
                  <w:sz w:val="20"/>
                  <w:color w:val="0000ff"/>
                </w:rPr>
                <w:t xml:space="preserve">примечанием 2</w:t>
              </w:r>
            </w:hyperlink>
            <w:r>
              <w:rPr>
                <w:sz w:val="20"/>
              </w:rPr>
              <w:t xml:space="preserve">.</w:t>
            </w:r>
          </w:p>
        </w:tc>
      </w:tr>
    </w:tbl>
    <w:p>
      <w:pPr>
        <w:pStyle w:val="0"/>
        <w:jc w:val="both"/>
      </w:pPr>
      <w:r>
        <w:rPr>
          <w:sz w:val="20"/>
        </w:rPr>
      </w:r>
    </w:p>
    <w:p>
      <w:pPr>
        <w:pStyle w:val="0"/>
        <w:ind w:firstLine="540"/>
        <w:jc w:val="both"/>
      </w:pPr>
      <w:r>
        <w:rPr>
          <w:sz w:val="20"/>
        </w:rPr>
        <w:t xml:space="preserve">43. Допустимые значения эквивалентной площади несплошностей сварных соединений деталей и сборочных единиц из титановых сплавов приведены в таблице N 4.18 настоящего приложения.</w:t>
      </w:r>
    </w:p>
    <w:p>
      <w:pPr>
        <w:pStyle w:val="0"/>
        <w:jc w:val="both"/>
      </w:pPr>
      <w:r>
        <w:rPr>
          <w:sz w:val="20"/>
        </w:rPr>
      </w:r>
    </w:p>
    <w:bookmarkStart w:id="3115" w:name="P3115"/>
    <w:bookmarkEnd w:id="3115"/>
    <w:p>
      <w:pPr>
        <w:pStyle w:val="0"/>
        <w:outlineLvl w:val="3"/>
        <w:jc w:val="right"/>
      </w:pPr>
      <w:r>
        <w:rPr>
          <w:sz w:val="20"/>
        </w:rPr>
        <w:t xml:space="preserve">Таблица N 4.18</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62"/>
        <w:gridCol w:w="4309"/>
      </w:tblGrid>
      <w:tr>
        <w:tc>
          <w:tcPr>
            <w:tcW w:w="4762" w:type="dxa"/>
          </w:tcPr>
          <w:p>
            <w:pPr>
              <w:pStyle w:val="0"/>
              <w:jc w:val="center"/>
            </w:pPr>
            <w:r>
              <w:rPr>
                <w:sz w:val="20"/>
              </w:rPr>
              <w:t xml:space="preserve">Толщина элемента сварного соединения, на который устанавливается преобразователь, мм</w:t>
            </w:r>
          </w:p>
        </w:tc>
        <w:tc>
          <w:tcPr>
            <w:tcW w:w="4309" w:type="dxa"/>
          </w:tcPr>
          <w:p>
            <w:pPr>
              <w:pStyle w:val="0"/>
              <w:jc w:val="center"/>
            </w:pPr>
            <w:r>
              <w:rPr>
                <w:sz w:val="20"/>
              </w:rPr>
              <w:t xml:space="preserve">Эквивалентная площадь несплошности, мм</w:t>
            </w:r>
            <w:r>
              <w:rPr>
                <w:sz w:val="20"/>
                <w:vertAlign w:val="superscript"/>
              </w:rPr>
              <w:t xml:space="preserve">2</w:t>
            </w:r>
          </w:p>
        </w:tc>
      </w:tr>
      <w:tr>
        <w:tc>
          <w:tcPr>
            <w:tcW w:w="4762" w:type="dxa"/>
            <w:vAlign w:val="center"/>
          </w:tcPr>
          <w:p>
            <w:pPr>
              <w:pStyle w:val="0"/>
              <w:jc w:val="center"/>
            </w:pPr>
            <w:r>
              <w:rPr>
                <w:sz w:val="20"/>
              </w:rPr>
              <w:t xml:space="preserve">Более 6,0 до 20,0 включительно</w:t>
            </w:r>
          </w:p>
        </w:tc>
        <w:tc>
          <w:tcPr>
            <w:tcW w:w="4309" w:type="dxa"/>
            <w:vAlign w:val="center"/>
          </w:tcPr>
          <w:p>
            <w:pPr>
              <w:pStyle w:val="0"/>
              <w:jc w:val="center"/>
            </w:pPr>
            <w:r>
              <w:rPr>
                <w:sz w:val="20"/>
              </w:rPr>
              <w:t xml:space="preserve">3,0</w:t>
            </w:r>
          </w:p>
        </w:tc>
      </w:tr>
      <w:tr>
        <w:tc>
          <w:tcPr>
            <w:tcW w:w="4762" w:type="dxa"/>
            <w:vAlign w:val="center"/>
          </w:tcPr>
          <w:p>
            <w:pPr>
              <w:pStyle w:val="0"/>
              <w:jc w:val="center"/>
            </w:pPr>
            <w:r>
              <w:rPr>
                <w:sz w:val="20"/>
              </w:rPr>
              <w:t xml:space="preserve">Более 20,0 до 40,0 включительно</w:t>
            </w:r>
          </w:p>
        </w:tc>
        <w:tc>
          <w:tcPr>
            <w:tcW w:w="4309" w:type="dxa"/>
            <w:vAlign w:val="center"/>
          </w:tcPr>
          <w:p>
            <w:pPr>
              <w:pStyle w:val="0"/>
              <w:jc w:val="center"/>
            </w:pPr>
            <w:r>
              <w:rPr>
                <w:sz w:val="20"/>
              </w:rPr>
              <w:t xml:space="preserve">5,0</w:t>
            </w:r>
          </w:p>
        </w:tc>
      </w:tr>
      <w:tr>
        <w:tc>
          <w:tcPr>
            <w:tcW w:w="4762" w:type="dxa"/>
            <w:vAlign w:val="center"/>
          </w:tcPr>
          <w:p>
            <w:pPr>
              <w:pStyle w:val="0"/>
              <w:jc w:val="center"/>
            </w:pPr>
            <w:r>
              <w:rPr>
                <w:sz w:val="20"/>
              </w:rPr>
              <w:t xml:space="preserve">Более 40,0 до 60,0 включительно</w:t>
            </w:r>
          </w:p>
        </w:tc>
        <w:tc>
          <w:tcPr>
            <w:tcW w:w="4309" w:type="dxa"/>
            <w:vAlign w:val="center"/>
          </w:tcPr>
          <w:p>
            <w:pPr>
              <w:pStyle w:val="0"/>
              <w:jc w:val="center"/>
            </w:pPr>
            <w:r>
              <w:rPr>
                <w:sz w:val="20"/>
              </w:rPr>
              <w:t xml:space="preserve">7,0</w:t>
            </w:r>
          </w:p>
        </w:tc>
      </w:tr>
      <w:tr>
        <w:tc>
          <w:tcPr>
            <w:tcW w:w="4762" w:type="dxa"/>
            <w:vAlign w:val="center"/>
          </w:tcPr>
          <w:p>
            <w:pPr>
              <w:pStyle w:val="0"/>
              <w:jc w:val="center"/>
            </w:pPr>
            <w:r>
              <w:rPr>
                <w:sz w:val="20"/>
              </w:rPr>
              <w:t xml:space="preserve">Более 60,0 до 100,0 включительно</w:t>
            </w:r>
          </w:p>
        </w:tc>
        <w:tc>
          <w:tcPr>
            <w:tcW w:w="4309" w:type="dxa"/>
            <w:vAlign w:val="center"/>
          </w:tcPr>
          <w:p>
            <w:pPr>
              <w:pStyle w:val="0"/>
              <w:jc w:val="center"/>
            </w:pPr>
            <w:r>
              <w:rPr>
                <w:sz w:val="20"/>
              </w:rPr>
              <w:t xml:space="preserve">20,0</w:t>
            </w:r>
          </w:p>
        </w:tc>
      </w:tr>
    </w:tbl>
    <w:p>
      <w:pPr>
        <w:pStyle w:val="0"/>
        <w:jc w:val="both"/>
      </w:pPr>
      <w:r>
        <w:rPr>
          <w:sz w:val="20"/>
        </w:rPr>
      </w:r>
    </w:p>
    <w:p>
      <w:pPr>
        <w:pStyle w:val="0"/>
        <w:ind w:firstLine="540"/>
        <w:jc w:val="both"/>
      </w:pPr>
      <w:r>
        <w:rPr>
          <w:sz w:val="20"/>
        </w:rPr>
        <w:t xml:space="preserve">44. Допустимые значения условной протяженности несплошностей сварных соединений деталей и сборочных единиц из титановых сплавов приведены в таблице N 4.19 настоящего приложения.</w:t>
      </w:r>
    </w:p>
    <w:p>
      <w:pPr>
        <w:pStyle w:val="0"/>
        <w:jc w:val="both"/>
      </w:pPr>
      <w:r>
        <w:rPr>
          <w:sz w:val="20"/>
        </w:rPr>
      </w:r>
    </w:p>
    <w:p>
      <w:pPr>
        <w:pStyle w:val="0"/>
        <w:outlineLvl w:val="3"/>
        <w:jc w:val="right"/>
      </w:pPr>
      <w:r>
        <w:rPr>
          <w:sz w:val="20"/>
        </w:rPr>
        <w:t xml:space="preserve">Таблица N 4.19</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39"/>
        <w:gridCol w:w="4139"/>
      </w:tblGrid>
      <w:tr>
        <w:tc>
          <w:tcPr>
            <w:tcW w:w="4939" w:type="dxa"/>
          </w:tcPr>
          <w:p>
            <w:pPr>
              <w:pStyle w:val="0"/>
              <w:jc w:val="center"/>
            </w:pPr>
            <w:r>
              <w:rPr>
                <w:sz w:val="20"/>
              </w:rPr>
              <w:t xml:space="preserve">Глубина залегания несплошности, мм</w:t>
            </w:r>
          </w:p>
        </w:tc>
        <w:tc>
          <w:tcPr>
            <w:tcW w:w="4139" w:type="dxa"/>
          </w:tcPr>
          <w:p>
            <w:pPr>
              <w:pStyle w:val="0"/>
              <w:jc w:val="center"/>
            </w:pPr>
            <w:r>
              <w:rPr>
                <w:sz w:val="20"/>
              </w:rPr>
              <w:t xml:space="preserve">Условная протяженность несплошностей, мм</w:t>
            </w:r>
          </w:p>
        </w:tc>
      </w:tr>
      <w:tr>
        <w:tc>
          <w:tcPr>
            <w:tcW w:w="4939" w:type="dxa"/>
            <w:vAlign w:val="center"/>
          </w:tcPr>
          <w:p>
            <w:pPr>
              <w:pStyle w:val="0"/>
              <w:jc w:val="center"/>
            </w:pPr>
            <w:r>
              <w:rPr>
                <w:sz w:val="20"/>
              </w:rPr>
              <w:t xml:space="preserve">До 20,0 включительно</w:t>
            </w:r>
          </w:p>
        </w:tc>
        <w:tc>
          <w:tcPr>
            <w:tcW w:w="4139" w:type="dxa"/>
            <w:vAlign w:val="center"/>
          </w:tcPr>
          <w:p>
            <w:pPr>
              <w:pStyle w:val="0"/>
              <w:jc w:val="center"/>
            </w:pPr>
            <w:r>
              <w:rPr>
                <w:sz w:val="20"/>
              </w:rPr>
              <w:t xml:space="preserve">10,0</w:t>
            </w:r>
          </w:p>
        </w:tc>
      </w:tr>
      <w:tr>
        <w:tc>
          <w:tcPr>
            <w:tcW w:w="4939" w:type="dxa"/>
            <w:vAlign w:val="center"/>
          </w:tcPr>
          <w:p>
            <w:pPr>
              <w:pStyle w:val="0"/>
              <w:jc w:val="center"/>
            </w:pPr>
            <w:r>
              <w:rPr>
                <w:sz w:val="20"/>
              </w:rPr>
              <w:t xml:space="preserve">Более 20,0 до 60,0 включительно</w:t>
            </w:r>
          </w:p>
        </w:tc>
        <w:tc>
          <w:tcPr>
            <w:tcW w:w="4139" w:type="dxa"/>
            <w:vAlign w:val="center"/>
          </w:tcPr>
          <w:p>
            <w:pPr>
              <w:pStyle w:val="0"/>
              <w:jc w:val="center"/>
            </w:pPr>
            <w:r>
              <w:rPr>
                <w:sz w:val="20"/>
              </w:rPr>
              <w:t xml:space="preserve">20,0</w:t>
            </w:r>
          </w:p>
        </w:tc>
      </w:tr>
      <w:tr>
        <w:tc>
          <w:tcPr>
            <w:tcW w:w="4939" w:type="dxa"/>
            <w:vAlign w:val="center"/>
          </w:tcPr>
          <w:p>
            <w:pPr>
              <w:pStyle w:val="0"/>
              <w:jc w:val="center"/>
            </w:pPr>
            <w:r>
              <w:rPr>
                <w:sz w:val="20"/>
              </w:rPr>
              <w:t xml:space="preserve">Более 60,0 до 100,0 включительно</w:t>
            </w:r>
          </w:p>
        </w:tc>
        <w:tc>
          <w:tcPr>
            <w:tcW w:w="4139" w:type="dxa"/>
            <w:vAlign w:val="center"/>
          </w:tcPr>
          <w:p>
            <w:pPr>
              <w:pStyle w:val="0"/>
              <w:jc w:val="center"/>
            </w:pPr>
            <w:r>
              <w:rPr>
                <w:sz w:val="20"/>
              </w:rPr>
              <w:t xml:space="preserve">30,0</w:t>
            </w:r>
          </w:p>
        </w:tc>
      </w:tr>
      <w:tr>
        <w:tc>
          <w:tcPr>
            <w:gridSpan w:val="2"/>
            <w:tcW w:w="9078" w:type="dxa"/>
          </w:tcPr>
          <w:p>
            <w:pPr>
              <w:pStyle w:val="0"/>
            </w:pPr>
            <w:r>
              <w:rPr>
                <w:sz w:val="20"/>
              </w:rPr>
              <w:t xml:space="preserve">Примечание. Несплошности, обнаруженные наклонным преобразователем, установленным под углом от 0 до 40° к продольной оси шва, не учитываются, если они не выявляются при расположении преобразователя перпендикулярно к оси шва, независимо от их условной протяженности при эквивалентной площади, превышающей половину значений, указанных в </w:t>
            </w:r>
            <w:hyperlink w:history="0" w:anchor="P3115" w:tooltip="Таблица N 4.18">
              <w:r>
                <w:rPr>
                  <w:sz w:val="20"/>
                  <w:color w:val="0000ff"/>
                </w:rPr>
                <w:t xml:space="preserve">таблице N 4.18</w:t>
              </w:r>
            </w:hyperlink>
            <w:r>
              <w:rPr>
                <w:sz w:val="20"/>
              </w:rPr>
              <w:t xml:space="preserve">.</w:t>
            </w:r>
          </w:p>
        </w:tc>
      </w:tr>
    </w:tbl>
    <w:p>
      <w:pPr>
        <w:pStyle w:val="0"/>
        <w:jc w:val="both"/>
      </w:pPr>
      <w:r>
        <w:rPr>
          <w:sz w:val="20"/>
        </w:rPr>
      </w:r>
    </w:p>
    <w:p>
      <w:pPr>
        <w:pStyle w:val="0"/>
        <w:ind w:firstLine="540"/>
        <w:jc w:val="both"/>
      </w:pPr>
      <w:r>
        <w:rPr>
          <w:sz w:val="20"/>
        </w:rPr>
        <w:t xml:space="preserve">45. Допустимое количество несплошностей при допустимых значениях эквивалентной площади и условной протяженности сварных соединений деталей и сборочных единиц из титановых сплавов приведены в таблице N 4.20 настоящего приложения.</w:t>
      </w:r>
    </w:p>
    <w:p>
      <w:pPr>
        <w:pStyle w:val="0"/>
        <w:jc w:val="both"/>
      </w:pPr>
      <w:r>
        <w:rPr>
          <w:sz w:val="20"/>
        </w:rPr>
      </w:r>
    </w:p>
    <w:p>
      <w:pPr>
        <w:pStyle w:val="0"/>
        <w:outlineLvl w:val="3"/>
        <w:jc w:val="right"/>
      </w:pPr>
      <w:r>
        <w:rPr>
          <w:sz w:val="20"/>
        </w:rPr>
        <w:t xml:space="preserve">Таблица N 4.20</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818"/>
        <w:gridCol w:w="4251"/>
      </w:tblGrid>
      <w:tr>
        <w:tc>
          <w:tcPr>
            <w:tcW w:w="4818" w:type="dxa"/>
          </w:tcPr>
          <w:p>
            <w:pPr>
              <w:pStyle w:val="0"/>
              <w:jc w:val="center"/>
            </w:pPr>
            <w:r>
              <w:rPr>
                <w:sz w:val="20"/>
              </w:rPr>
              <w:t xml:space="preserve">Толщина элемента сварного соединения, на который устанавливается преобразователь, мм</w:t>
            </w:r>
          </w:p>
        </w:tc>
        <w:tc>
          <w:tcPr>
            <w:tcW w:w="4251" w:type="dxa"/>
          </w:tcPr>
          <w:p>
            <w:pPr>
              <w:pStyle w:val="0"/>
              <w:jc w:val="center"/>
            </w:pPr>
            <w:r>
              <w:rPr>
                <w:sz w:val="20"/>
              </w:rPr>
              <w:t xml:space="preserve">Предельно допустимое количество несплошностей на 100,0 мм шва, не более</w:t>
            </w:r>
          </w:p>
        </w:tc>
      </w:tr>
      <w:tr>
        <w:tc>
          <w:tcPr>
            <w:tcW w:w="4818" w:type="dxa"/>
            <w:vAlign w:val="center"/>
          </w:tcPr>
          <w:p>
            <w:pPr>
              <w:pStyle w:val="0"/>
              <w:jc w:val="center"/>
            </w:pPr>
            <w:r>
              <w:rPr>
                <w:sz w:val="20"/>
              </w:rPr>
              <w:t xml:space="preserve">От 6,0 до 60,0 включительно</w:t>
            </w:r>
          </w:p>
        </w:tc>
        <w:tc>
          <w:tcPr>
            <w:tcW w:w="4251" w:type="dxa"/>
            <w:vAlign w:val="center"/>
          </w:tcPr>
          <w:p>
            <w:pPr>
              <w:pStyle w:val="0"/>
              <w:jc w:val="center"/>
            </w:pPr>
            <w:r>
              <w:rPr>
                <w:sz w:val="20"/>
              </w:rPr>
              <w:t xml:space="preserve">3,0</w:t>
            </w:r>
          </w:p>
        </w:tc>
      </w:tr>
      <w:tr>
        <w:tc>
          <w:tcPr>
            <w:tcW w:w="4818" w:type="dxa"/>
            <w:vAlign w:val="center"/>
          </w:tcPr>
          <w:p>
            <w:pPr>
              <w:pStyle w:val="0"/>
              <w:jc w:val="center"/>
            </w:pPr>
            <w:r>
              <w:rPr>
                <w:sz w:val="20"/>
              </w:rPr>
              <w:t xml:space="preserve">Более 60,0 до 100,0 включительно</w:t>
            </w:r>
          </w:p>
        </w:tc>
        <w:tc>
          <w:tcPr>
            <w:tcW w:w="4251" w:type="dxa"/>
            <w:vAlign w:val="center"/>
          </w:tcPr>
          <w:p>
            <w:pPr>
              <w:pStyle w:val="0"/>
              <w:jc w:val="center"/>
            </w:pPr>
            <w:r>
              <w:rPr>
                <w:sz w:val="20"/>
              </w:rPr>
              <w:t xml:space="preserve">4,0</w:t>
            </w:r>
          </w:p>
        </w:tc>
      </w:tr>
    </w:tbl>
    <w:p>
      <w:pPr>
        <w:pStyle w:val="0"/>
        <w:jc w:val="both"/>
      </w:pPr>
      <w:r>
        <w:rPr>
          <w:sz w:val="20"/>
        </w:rPr>
      </w:r>
    </w:p>
    <w:p>
      <w:pPr>
        <w:pStyle w:val="0"/>
        <w:ind w:firstLine="540"/>
        <w:jc w:val="both"/>
      </w:pPr>
      <w:r>
        <w:rPr>
          <w:sz w:val="20"/>
        </w:rPr>
        <w:t xml:space="preserve">46. Качество сварного соединения, наплавки кромок под сварку и антикоррозионной наплавки считается удовлетворительным при одновременном соблюдении следующих требований:</w:t>
      </w:r>
    </w:p>
    <w:p>
      <w:pPr>
        <w:pStyle w:val="0"/>
        <w:spacing w:before="200" w:line-rule="auto"/>
        <w:ind w:firstLine="540"/>
        <w:jc w:val="both"/>
      </w:pPr>
      <w:r>
        <w:rPr>
          <w:sz w:val="20"/>
        </w:rPr>
        <w:t xml:space="preserve">а) характеристики и количество несплошностей удовлетворяют допустимым значениям для сварных соединений, приведенным в </w:t>
      </w:r>
      <w:hyperlink w:history="0" w:anchor="P2853" w:tooltip="Таблица N 4.12">
        <w:r>
          <w:rPr>
            <w:sz w:val="20"/>
            <w:color w:val="0000ff"/>
          </w:rPr>
          <w:t xml:space="preserve">таблицах N 4.12</w:t>
        </w:r>
      </w:hyperlink>
      <w:r>
        <w:rPr>
          <w:sz w:val="20"/>
        </w:rPr>
        <w:t xml:space="preserve"> - </w:t>
      </w:r>
      <w:hyperlink w:history="0" w:anchor="P3077" w:tooltip="Таблица N 4.16">
        <w:r>
          <w:rPr>
            <w:sz w:val="20"/>
            <w:color w:val="0000ff"/>
          </w:rPr>
          <w:t xml:space="preserve">4.16</w:t>
        </w:r>
      </w:hyperlink>
      <w:r>
        <w:rPr>
          <w:sz w:val="20"/>
        </w:rPr>
        <w:t xml:space="preserve"> настоящего приложения;</w:t>
      </w:r>
    </w:p>
    <w:p>
      <w:pPr>
        <w:pStyle w:val="0"/>
        <w:spacing w:before="200" w:line-rule="auto"/>
        <w:ind w:firstLine="540"/>
        <w:jc w:val="both"/>
      </w:pPr>
      <w:r>
        <w:rPr>
          <w:sz w:val="20"/>
        </w:rPr>
        <w:t xml:space="preserve">б) расстояние по поверхности сканирования между двумя соседними несплошностями - не менее условной протяженности несплошности с большим значением этого показателя;</w:t>
      </w:r>
    </w:p>
    <w:p>
      <w:pPr>
        <w:pStyle w:val="0"/>
        <w:spacing w:before="200" w:line-rule="auto"/>
        <w:ind w:firstLine="540"/>
        <w:jc w:val="both"/>
      </w:pPr>
      <w:r>
        <w:rPr>
          <w:sz w:val="20"/>
        </w:rPr>
        <w:t xml:space="preserve">в) отсутствие плоскостных несплошностей типа трещин и несплавлений.</w:t>
      </w:r>
    </w:p>
    <w:p>
      <w:pPr>
        <w:pStyle w:val="0"/>
        <w:jc w:val="both"/>
      </w:pPr>
      <w:r>
        <w:rPr>
          <w:sz w:val="20"/>
        </w:rPr>
      </w:r>
    </w:p>
    <w:p>
      <w:pPr>
        <w:pStyle w:val="2"/>
        <w:outlineLvl w:val="2"/>
        <w:jc w:val="center"/>
      </w:pPr>
      <w:r>
        <w:rPr>
          <w:sz w:val="20"/>
        </w:rPr>
        <w:t xml:space="preserve">Контроль твердости</w:t>
      </w:r>
    </w:p>
    <w:p>
      <w:pPr>
        <w:pStyle w:val="0"/>
        <w:jc w:val="both"/>
      </w:pPr>
      <w:r>
        <w:rPr>
          <w:sz w:val="20"/>
        </w:rPr>
      </w:r>
    </w:p>
    <w:p>
      <w:pPr>
        <w:pStyle w:val="0"/>
        <w:ind w:firstLine="540"/>
        <w:jc w:val="both"/>
      </w:pPr>
      <w:r>
        <w:rPr>
          <w:sz w:val="20"/>
        </w:rPr>
        <w:t xml:space="preserve">47. Твердость наплавленного металла уплотнительных поверхностей деталей должна соответствовать требованиям </w:t>
      </w:r>
      <w:hyperlink w:history="0" w:anchor="P1044" w:tooltip="НЕРАЗРУШАЮЩИЙ КОНТРОЛЬ">
        <w:r>
          <w:rPr>
            <w:sz w:val="20"/>
            <w:color w:val="0000ff"/>
          </w:rPr>
          <w:t xml:space="preserve">приложения N 3</w:t>
        </w:r>
      </w:hyperlink>
      <w:r>
        <w:rPr>
          <w:sz w:val="20"/>
        </w:rPr>
        <w:t xml:space="preserve"> к настоящим Правилам.</w:t>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5</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w:t>
      </w:r>
    </w:p>
    <w:p>
      <w:pPr>
        <w:pStyle w:val="0"/>
        <w:jc w:val="right"/>
      </w:pPr>
      <w:r>
        <w:rPr>
          <w:sz w:val="20"/>
        </w:rPr>
        <w:t xml:space="preserve">энергии "Правила контроля металла</w:t>
      </w:r>
    </w:p>
    <w:p>
      <w:pPr>
        <w:pStyle w:val="0"/>
        <w:jc w:val="right"/>
      </w:pPr>
      <w:r>
        <w:rPr>
          <w:sz w:val="20"/>
        </w:rPr>
        <w:t xml:space="preserve">оборудования и трубопроводов</w:t>
      </w:r>
    </w:p>
    <w:p>
      <w:pPr>
        <w:pStyle w:val="0"/>
        <w:jc w:val="right"/>
      </w:pPr>
      <w:r>
        <w:rPr>
          <w:sz w:val="20"/>
        </w:rPr>
        <w:t xml:space="preserve">атомных энергетических установок</w:t>
      </w:r>
    </w:p>
    <w:p>
      <w:pPr>
        <w:pStyle w:val="0"/>
        <w:jc w:val="right"/>
      </w:pPr>
      <w:r>
        <w:rPr>
          <w:sz w:val="20"/>
        </w:rPr>
        <w:t xml:space="preserve">при изготовлении и монтаже",</w:t>
      </w:r>
    </w:p>
    <w:p>
      <w:pPr>
        <w:pStyle w:val="0"/>
        <w:jc w:val="right"/>
      </w:pPr>
      <w:r>
        <w:rPr>
          <w:sz w:val="20"/>
        </w:rPr>
        <w:t xml:space="preserve">утвержденным приказом Федеральной</w:t>
      </w:r>
    </w:p>
    <w:p>
      <w:pPr>
        <w:pStyle w:val="0"/>
        <w:jc w:val="right"/>
      </w:pPr>
      <w:r>
        <w:rPr>
          <w:sz w:val="20"/>
        </w:rPr>
        <w:t xml:space="preserve">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553</w:t>
      </w:r>
    </w:p>
    <w:p>
      <w:pPr>
        <w:pStyle w:val="0"/>
        <w:jc w:val="both"/>
      </w:pPr>
      <w:r>
        <w:rPr>
          <w:sz w:val="20"/>
        </w:rPr>
      </w:r>
    </w:p>
    <w:p>
      <w:pPr>
        <w:pStyle w:val="2"/>
        <w:jc w:val="center"/>
      </w:pPr>
      <w:r>
        <w:rPr>
          <w:sz w:val="20"/>
        </w:rPr>
        <w:t xml:space="preserve">ХИМИЧЕСКИЙ СОСТАВ НАПЛАВЛЕННОГО МЕТАЛЛА (МЕТАЛЛА ШВА)</w:t>
      </w:r>
    </w:p>
    <w:p>
      <w:pPr>
        <w:pStyle w:val="0"/>
        <w:jc w:val="both"/>
      </w:pPr>
      <w:r>
        <w:rPr>
          <w:sz w:val="20"/>
        </w:rPr>
      </w:r>
    </w:p>
    <w:p>
      <w:pPr>
        <w:pStyle w:val="0"/>
        <w:ind w:firstLine="540"/>
        <w:jc w:val="both"/>
      </w:pPr>
      <w:r>
        <w:rPr>
          <w:sz w:val="20"/>
        </w:rPr>
        <w:t xml:space="preserve">Утратил силу. - </w:t>
      </w:r>
      <w:hyperlink w:history="0" r:id="rId90"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w:t>
        </w:r>
      </w:hyperlink>
      <w:r>
        <w:rPr>
          <w:sz w:val="20"/>
        </w:rPr>
        <w:t xml:space="preserve"> Ростехнадзора от 08.07.2024 N 211.</w:t>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6</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w:t>
      </w:r>
    </w:p>
    <w:p>
      <w:pPr>
        <w:pStyle w:val="0"/>
        <w:jc w:val="right"/>
      </w:pPr>
      <w:r>
        <w:rPr>
          <w:sz w:val="20"/>
        </w:rPr>
        <w:t xml:space="preserve">энергии "Правила контроля металла</w:t>
      </w:r>
    </w:p>
    <w:p>
      <w:pPr>
        <w:pStyle w:val="0"/>
        <w:jc w:val="right"/>
      </w:pPr>
      <w:r>
        <w:rPr>
          <w:sz w:val="20"/>
        </w:rPr>
        <w:t xml:space="preserve">оборудования и трубопроводов</w:t>
      </w:r>
    </w:p>
    <w:p>
      <w:pPr>
        <w:pStyle w:val="0"/>
        <w:jc w:val="right"/>
      </w:pPr>
      <w:r>
        <w:rPr>
          <w:sz w:val="20"/>
        </w:rPr>
        <w:t xml:space="preserve">атомных энергетических установок</w:t>
      </w:r>
    </w:p>
    <w:p>
      <w:pPr>
        <w:pStyle w:val="0"/>
        <w:jc w:val="right"/>
      </w:pPr>
      <w:r>
        <w:rPr>
          <w:sz w:val="20"/>
        </w:rPr>
        <w:t xml:space="preserve">при изготовлении и монтаже",</w:t>
      </w:r>
    </w:p>
    <w:p>
      <w:pPr>
        <w:pStyle w:val="0"/>
        <w:jc w:val="right"/>
      </w:pPr>
      <w:r>
        <w:rPr>
          <w:sz w:val="20"/>
        </w:rPr>
        <w:t xml:space="preserve">утвержденным приказом Федеральной</w:t>
      </w:r>
    </w:p>
    <w:p>
      <w:pPr>
        <w:pStyle w:val="0"/>
        <w:jc w:val="right"/>
      </w:pPr>
      <w:r>
        <w:rPr>
          <w:sz w:val="20"/>
        </w:rPr>
        <w:t xml:space="preserve">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553</w:t>
      </w:r>
    </w:p>
    <w:p>
      <w:pPr>
        <w:pStyle w:val="0"/>
        <w:jc w:val="both"/>
      </w:pPr>
      <w:r>
        <w:rPr>
          <w:sz w:val="20"/>
        </w:rPr>
      </w:r>
    </w:p>
    <w:p>
      <w:pPr>
        <w:pStyle w:val="2"/>
        <w:jc w:val="center"/>
      </w:pPr>
      <w:r>
        <w:rPr>
          <w:sz w:val="20"/>
        </w:rPr>
        <w:t xml:space="preserve">МЕХАНИЧЕСКИЕ СВОЙСТВА МЕТАЛЛА ШВА,</w:t>
      </w:r>
    </w:p>
    <w:p>
      <w:pPr>
        <w:pStyle w:val="2"/>
        <w:jc w:val="center"/>
      </w:pPr>
      <w:r>
        <w:rPr>
          <w:sz w:val="20"/>
        </w:rPr>
        <w:t xml:space="preserve">НАПЛАВЛЕННОГО МЕТАЛЛА И СВАРНЫХ СОЕДИНЕНИЙ</w:t>
      </w:r>
    </w:p>
    <w:p>
      <w:pPr>
        <w:pStyle w:val="0"/>
        <w:jc w:val="both"/>
      </w:pPr>
      <w:r>
        <w:rPr>
          <w:sz w:val="20"/>
        </w:rPr>
      </w:r>
    </w:p>
    <w:p>
      <w:pPr>
        <w:pStyle w:val="0"/>
        <w:ind w:firstLine="540"/>
        <w:jc w:val="both"/>
      </w:pPr>
      <w:r>
        <w:rPr>
          <w:sz w:val="20"/>
        </w:rPr>
        <w:t xml:space="preserve">Утратили силу. - </w:t>
      </w:r>
      <w:hyperlink w:history="0" r:id="rId91"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w:t>
        </w:r>
      </w:hyperlink>
      <w:r>
        <w:rPr>
          <w:sz w:val="20"/>
        </w:rPr>
        <w:t xml:space="preserve"> Ростехнадзора от 08.07.2024 N 211.</w:t>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7</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w:t>
      </w:r>
    </w:p>
    <w:p>
      <w:pPr>
        <w:pStyle w:val="0"/>
        <w:jc w:val="right"/>
      </w:pPr>
      <w:r>
        <w:rPr>
          <w:sz w:val="20"/>
        </w:rPr>
        <w:t xml:space="preserve">энергии "Правила контроля металла</w:t>
      </w:r>
    </w:p>
    <w:p>
      <w:pPr>
        <w:pStyle w:val="0"/>
        <w:jc w:val="right"/>
      </w:pPr>
      <w:r>
        <w:rPr>
          <w:sz w:val="20"/>
        </w:rPr>
        <w:t xml:space="preserve">оборудования и трубопроводов</w:t>
      </w:r>
    </w:p>
    <w:p>
      <w:pPr>
        <w:pStyle w:val="0"/>
        <w:jc w:val="right"/>
      </w:pPr>
      <w:r>
        <w:rPr>
          <w:sz w:val="20"/>
        </w:rPr>
        <w:t xml:space="preserve">атомных энергетических установок</w:t>
      </w:r>
    </w:p>
    <w:p>
      <w:pPr>
        <w:pStyle w:val="0"/>
        <w:jc w:val="right"/>
      </w:pPr>
      <w:r>
        <w:rPr>
          <w:sz w:val="20"/>
        </w:rPr>
        <w:t xml:space="preserve">при изготовлении и монтаже",</w:t>
      </w:r>
    </w:p>
    <w:p>
      <w:pPr>
        <w:pStyle w:val="0"/>
        <w:jc w:val="right"/>
      </w:pPr>
      <w:r>
        <w:rPr>
          <w:sz w:val="20"/>
        </w:rPr>
        <w:t xml:space="preserve">утвержденным приказом Федеральной</w:t>
      </w:r>
    </w:p>
    <w:p>
      <w:pPr>
        <w:pStyle w:val="0"/>
        <w:jc w:val="right"/>
      </w:pPr>
      <w:r>
        <w:rPr>
          <w:sz w:val="20"/>
        </w:rPr>
        <w:t xml:space="preserve">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553</w:t>
      </w:r>
    </w:p>
    <w:p>
      <w:pPr>
        <w:pStyle w:val="0"/>
        <w:jc w:val="both"/>
      </w:pPr>
      <w:r>
        <w:rPr>
          <w:sz w:val="20"/>
        </w:rPr>
      </w:r>
    </w:p>
    <w:p>
      <w:pPr>
        <w:pStyle w:val="2"/>
        <w:jc w:val="center"/>
      </w:pPr>
      <w:r>
        <w:rPr>
          <w:sz w:val="20"/>
        </w:rPr>
        <w:t xml:space="preserve">МЕТАЛЛОГРАФИЧЕСКИЕ ИССЛЕДОВАНИЯ</w:t>
      </w:r>
    </w:p>
    <w:p>
      <w:pPr>
        <w:pStyle w:val="2"/>
        <w:jc w:val="center"/>
      </w:pPr>
      <w:r>
        <w:rPr>
          <w:sz w:val="20"/>
        </w:rPr>
        <w:t xml:space="preserve">СВАРНЫХ СОЕДИНЕНИЙ И НАПЛАВЛЕННЫХ ПОВЕРХНОСТЕЙ</w:t>
      </w:r>
    </w:p>
    <w:p>
      <w:pPr>
        <w:pStyle w:val="0"/>
        <w:jc w:val="both"/>
      </w:pPr>
      <w:r>
        <w:rPr>
          <w:sz w:val="20"/>
        </w:rPr>
      </w:r>
    </w:p>
    <w:p>
      <w:pPr>
        <w:pStyle w:val="0"/>
        <w:ind w:firstLine="540"/>
        <w:jc w:val="both"/>
      </w:pPr>
      <w:r>
        <w:rPr>
          <w:sz w:val="20"/>
        </w:rPr>
        <w:t xml:space="preserve">Утратили силу. - </w:t>
      </w:r>
      <w:hyperlink w:history="0" r:id="rId92" w:tooltip="Приказ Ростехнадзора от 08.07.2024 N 211 &quot;О внесении изменений в федеральные нормы и правила в области использования атомной энергии &quot;Правила контроля металла оборудования и трубопроводов атомных энергетических установок при изготовлении и монтаже&quot; (НП-105-18), утвержденные приказом Федеральной службы по экологическому, технологическому и атомному надзору от 14 ноября 2018 г. N 553&quot; (Зарегистрировано в Минюсте России 16.08.2024 N 79171) {КонсультантПлюс}">
        <w:r>
          <w:rPr>
            <w:sz w:val="20"/>
            <w:color w:val="0000ff"/>
          </w:rPr>
          <w:t xml:space="preserve">Приказ</w:t>
        </w:r>
      </w:hyperlink>
      <w:r>
        <w:rPr>
          <w:sz w:val="20"/>
        </w:rPr>
        <w:t xml:space="preserve"> Ростехнадзора от 08.07.2024 N 211.</w:t>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8</w:t>
      </w:r>
    </w:p>
    <w:p>
      <w:pPr>
        <w:pStyle w:val="0"/>
        <w:jc w:val="right"/>
      </w:pPr>
      <w:r>
        <w:rPr>
          <w:sz w:val="20"/>
        </w:rPr>
        <w:t xml:space="preserve">к федеральным нормам и правилам</w:t>
      </w:r>
    </w:p>
    <w:p>
      <w:pPr>
        <w:pStyle w:val="0"/>
        <w:jc w:val="right"/>
      </w:pPr>
      <w:r>
        <w:rPr>
          <w:sz w:val="20"/>
        </w:rPr>
        <w:t xml:space="preserve">в области использования атомной</w:t>
      </w:r>
    </w:p>
    <w:p>
      <w:pPr>
        <w:pStyle w:val="0"/>
        <w:jc w:val="right"/>
      </w:pPr>
      <w:r>
        <w:rPr>
          <w:sz w:val="20"/>
        </w:rPr>
        <w:t xml:space="preserve">энергии "Правила контроля металла</w:t>
      </w:r>
    </w:p>
    <w:p>
      <w:pPr>
        <w:pStyle w:val="0"/>
        <w:jc w:val="right"/>
      </w:pPr>
      <w:r>
        <w:rPr>
          <w:sz w:val="20"/>
        </w:rPr>
        <w:t xml:space="preserve">оборудования и трубопроводов</w:t>
      </w:r>
    </w:p>
    <w:p>
      <w:pPr>
        <w:pStyle w:val="0"/>
        <w:jc w:val="right"/>
      </w:pPr>
      <w:r>
        <w:rPr>
          <w:sz w:val="20"/>
        </w:rPr>
        <w:t xml:space="preserve">атомных энергетических установок</w:t>
      </w:r>
    </w:p>
    <w:p>
      <w:pPr>
        <w:pStyle w:val="0"/>
        <w:jc w:val="right"/>
      </w:pPr>
      <w:r>
        <w:rPr>
          <w:sz w:val="20"/>
        </w:rPr>
        <w:t xml:space="preserve">при изготовлении и монтаже",</w:t>
      </w:r>
    </w:p>
    <w:p>
      <w:pPr>
        <w:pStyle w:val="0"/>
        <w:jc w:val="right"/>
      </w:pPr>
      <w:r>
        <w:rPr>
          <w:sz w:val="20"/>
        </w:rPr>
        <w:t xml:space="preserve">утвержденным приказом Федеральной</w:t>
      </w:r>
    </w:p>
    <w:p>
      <w:pPr>
        <w:pStyle w:val="0"/>
        <w:jc w:val="right"/>
      </w:pPr>
      <w:r>
        <w:rPr>
          <w:sz w:val="20"/>
        </w:rPr>
        <w:t xml:space="preserve">службы по экологическому,</w:t>
      </w:r>
    </w:p>
    <w:p>
      <w:pPr>
        <w:pStyle w:val="0"/>
        <w:jc w:val="right"/>
      </w:pPr>
      <w:r>
        <w:rPr>
          <w:sz w:val="20"/>
        </w:rPr>
        <w:t xml:space="preserve">технологическому и атомному надзору</w:t>
      </w:r>
    </w:p>
    <w:p>
      <w:pPr>
        <w:pStyle w:val="0"/>
        <w:jc w:val="right"/>
      </w:pPr>
      <w:r>
        <w:rPr>
          <w:sz w:val="20"/>
        </w:rPr>
        <w:t xml:space="preserve">от 14 ноября 2018 г. N 553</w:t>
      </w:r>
    </w:p>
    <w:p>
      <w:pPr>
        <w:pStyle w:val="0"/>
        <w:jc w:val="both"/>
      </w:pPr>
      <w:r>
        <w:rPr>
          <w:sz w:val="20"/>
        </w:rPr>
      </w:r>
    </w:p>
    <w:bookmarkStart w:id="3232" w:name="P3232"/>
    <w:bookmarkEnd w:id="3232"/>
    <w:p>
      <w:pPr>
        <w:pStyle w:val="2"/>
        <w:jc w:val="center"/>
      </w:pPr>
      <w:r>
        <w:rPr>
          <w:sz w:val="20"/>
        </w:rPr>
        <w:t xml:space="preserve">МЕТОДЫ И ОБЪЕМЫ КОНТРОЛЯ МЕТАЛЛА ОТЛИВОК</w:t>
      </w:r>
    </w:p>
    <w:p>
      <w:pPr>
        <w:pStyle w:val="0"/>
        <w:jc w:val="both"/>
      </w:pPr>
      <w:r>
        <w:rPr>
          <w:sz w:val="20"/>
        </w:rPr>
      </w:r>
    </w:p>
    <w:p>
      <w:pPr>
        <w:pStyle w:val="0"/>
        <w:ind w:firstLine="540"/>
        <w:jc w:val="both"/>
      </w:pPr>
      <w:r>
        <w:rPr>
          <w:sz w:val="20"/>
        </w:rPr>
        <w:t xml:space="preserve">1. Требования настоящего приложения распространяются на стальные отливки. Класс отливок должен устанавливаться в зависимости от назначения и условий эксплуатации в соответствии с таблицей N 8.1 настоящего приложения и указываться в конструкторской документации на отливку.</w:t>
      </w:r>
    </w:p>
    <w:p>
      <w:pPr>
        <w:pStyle w:val="0"/>
        <w:jc w:val="both"/>
      </w:pPr>
      <w:r>
        <w:rPr>
          <w:sz w:val="20"/>
        </w:rPr>
      </w:r>
    </w:p>
    <w:p>
      <w:pPr>
        <w:pStyle w:val="0"/>
        <w:outlineLvl w:val="2"/>
        <w:jc w:val="right"/>
      </w:pPr>
      <w:r>
        <w:rPr>
          <w:sz w:val="20"/>
        </w:rPr>
        <w:t xml:space="preserve">Таблица N 8.1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33"/>
        <w:gridCol w:w="1133"/>
        <w:gridCol w:w="3685"/>
        <w:gridCol w:w="3118"/>
      </w:tblGrid>
      <w:tr>
        <w:tc>
          <w:tcPr>
            <w:gridSpan w:val="2"/>
            <w:tcW w:w="2266" w:type="dxa"/>
          </w:tcPr>
          <w:p>
            <w:pPr>
              <w:pStyle w:val="0"/>
              <w:jc w:val="center"/>
            </w:pPr>
            <w:r>
              <w:rPr>
                <w:sz w:val="20"/>
              </w:rPr>
              <w:t xml:space="preserve">Класс отливок</w:t>
            </w:r>
          </w:p>
        </w:tc>
        <w:tc>
          <w:tcPr>
            <w:tcW w:w="3685" w:type="dxa"/>
          </w:tcPr>
          <w:p>
            <w:pPr>
              <w:pStyle w:val="0"/>
              <w:jc w:val="center"/>
            </w:pPr>
            <w:r>
              <w:rPr>
                <w:sz w:val="20"/>
              </w:rPr>
              <w:t xml:space="preserve">Расчетное давление в оборудовании и трубопроводах, МПа</w:t>
            </w:r>
          </w:p>
        </w:tc>
        <w:tc>
          <w:tcPr>
            <w:tcW w:w="3118" w:type="dxa"/>
          </w:tcPr>
          <w:p>
            <w:pPr>
              <w:pStyle w:val="0"/>
              <w:jc w:val="center"/>
            </w:pPr>
            <w:r>
              <w:rPr>
                <w:sz w:val="20"/>
              </w:rPr>
              <w:t xml:space="preserve">Группа оборудования или трубопроводов, в которых используются литые детали</w:t>
            </w:r>
          </w:p>
        </w:tc>
      </w:tr>
      <w:tr>
        <w:tc>
          <w:tcPr>
            <w:gridSpan w:val="2"/>
            <w:tcW w:w="2266" w:type="dxa"/>
            <w:vAlign w:val="center"/>
          </w:tcPr>
          <w:p>
            <w:pPr>
              <w:pStyle w:val="0"/>
              <w:jc w:val="center"/>
            </w:pPr>
            <w:r>
              <w:rPr>
                <w:sz w:val="20"/>
              </w:rPr>
              <w:t xml:space="preserve">1</w:t>
            </w:r>
          </w:p>
        </w:tc>
        <w:tc>
          <w:tcPr>
            <w:tcW w:w="3685" w:type="dxa"/>
            <w:vAlign w:val="center"/>
          </w:tcPr>
          <w:p>
            <w:pPr>
              <w:pStyle w:val="0"/>
              <w:jc w:val="center"/>
            </w:pPr>
            <w:r>
              <w:rPr>
                <w:sz w:val="20"/>
              </w:rPr>
              <w:t xml:space="preserve">Независимо от давления</w:t>
            </w:r>
          </w:p>
        </w:tc>
        <w:tc>
          <w:tcPr>
            <w:tcW w:w="3118" w:type="dxa"/>
            <w:vAlign w:val="center"/>
          </w:tcPr>
          <w:p>
            <w:pPr>
              <w:pStyle w:val="0"/>
              <w:jc w:val="center"/>
            </w:pPr>
            <w:r>
              <w:rPr>
                <w:sz w:val="20"/>
              </w:rPr>
              <w:t xml:space="preserve">A</w:t>
            </w:r>
          </w:p>
        </w:tc>
      </w:tr>
      <w:tr>
        <w:tc>
          <w:tcPr>
            <w:tcW w:w="1133" w:type="dxa"/>
            <w:vAlign w:val="center"/>
            <w:vMerge w:val="restart"/>
          </w:tcPr>
          <w:p>
            <w:pPr>
              <w:pStyle w:val="0"/>
              <w:jc w:val="center"/>
            </w:pPr>
            <w:r>
              <w:rPr>
                <w:sz w:val="20"/>
              </w:rPr>
              <w:t xml:space="preserve">2</w:t>
            </w:r>
          </w:p>
        </w:tc>
        <w:tc>
          <w:tcPr>
            <w:tcW w:w="1133" w:type="dxa"/>
            <w:vAlign w:val="center"/>
          </w:tcPr>
          <w:p>
            <w:pPr>
              <w:pStyle w:val="0"/>
              <w:jc w:val="center"/>
            </w:pPr>
            <w:r>
              <w:rPr>
                <w:sz w:val="20"/>
              </w:rPr>
              <w:t xml:space="preserve">2а</w:t>
            </w:r>
          </w:p>
        </w:tc>
        <w:tc>
          <w:tcPr>
            <w:tcW w:w="3685" w:type="dxa"/>
            <w:vAlign w:val="center"/>
          </w:tcPr>
          <w:p>
            <w:pPr>
              <w:pStyle w:val="0"/>
              <w:jc w:val="center"/>
            </w:pPr>
            <w:r>
              <w:rPr>
                <w:sz w:val="20"/>
              </w:rPr>
              <w:t xml:space="preserve">Более 5,0</w:t>
            </w:r>
          </w:p>
        </w:tc>
        <w:tc>
          <w:tcPr>
            <w:tcW w:w="3118" w:type="dxa"/>
            <w:vAlign w:val="center"/>
            <w:vMerge w:val="restart"/>
          </w:tcPr>
          <w:p>
            <w:pPr>
              <w:pStyle w:val="0"/>
              <w:jc w:val="center"/>
            </w:pPr>
            <w:r>
              <w:rPr>
                <w:sz w:val="20"/>
              </w:rPr>
              <w:t xml:space="preserve">B</w:t>
            </w:r>
          </w:p>
        </w:tc>
      </w:tr>
      <w:tr>
        <w:tc>
          <w:tcPr>
            <w:vMerge w:val="continue"/>
          </w:tcPr>
          <w:p/>
        </w:tc>
        <w:tc>
          <w:tcPr>
            <w:tcW w:w="1133" w:type="dxa"/>
            <w:vAlign w:val="center"/>
          </w:tcPr>
          <w:p>
            <w:pPr>
              <w:pStyle w:val="0"/>
              <w:jc w:val="center"/>
            </w:pPr>
            <w:r>
              <w:rPr>
                <w:sz w:val="20"/>
              </w:rPr>
              <w:t xml:space="preserve">2в</w:t>
            </w:r>
          </w:p>
        </w:tc>
        <w:tc>
          <w:tcPr>
            <w:tcW w:w="3685" w:type="dxa"/>
            <w:vAlign w:val="center"/>
          </w:tcPr>
          <w:p>
            <w:pPr>
              <w:pStyle w:val="0"/>
              <w:jc w:val="center"/>
            </w:pPr>
            <w:r>
              <w:rPr>
                <w:sz w:val="20"/>
              </w:rPr>
              <w:t xml:space="preserve">До 5,0 включительно</w:t>
            </w:r>
          </w:p>
        </w:tc>
        <w:tc>
          <w:tcPr>
            <w:vMerge w:val="continue"/>
          </w:tcPr>
          <w:p/>
        </w:tc>
      </w:tr>
      <w:tr>
        <w:tc>
          <w:tcPr>
            <w:tcW w:w="1133" w:type="dxa"/>
            <w:vAlign w:val="center"/>
            <w:vMerge w:val="restart"/>
          </w:tcPr>
          <w:p>
            <w:pPr>
              <w:pStyle w:val="0"/>
              <w:jc w:val="center"/>
            </w:pPr>
            <w:r>
              <w:rPr>
                <w:sz w:val="20"/>
              </w:rPr>
              <w:t xml:space="preserve">3</w:t>
            </w:r>
          </w:p>
        </w:tc>
        <w:tc>
          <w:tcPr>
            <w:tcW w:w="1133" w:type="dxa"/>
            <w:vAlign w:val="center"/>
          </w:tcPr>
          <w:p>
            <w:pPr>
              <w:pStyle w:val="0"/>
              <w:jc w:val="center"/>
            </w:pPr>
            <w:r>
              <w:rPr>
                <w:sz w:val="20"/>
              </w:rPr>
              <w:t xml:space="preserve">3а</w:t>
            </w:r>
          </w:p>
        </w:tc>
        <w:tc>
          <w:tcPr>
            <w:tcW w:w="3685" w:type="dxa"/>
            <w:vAlign w:val="center"/>
          </w:tcPr>
          <w:p>
            <w:pPr>
              <w:pStyle w:val="0"/>
              <w:jc w:val="center"/>
            </w:pPr>
            <w:r>
              <w:rPr>
                <w:sz w:val="20"/>
              </w:rPr>
              <w:t xml:space="preserve">Более 5,0</w:t>
            </w:r>
          </w:p>
        </w:tc>
        <w:tc>
          <w:tcPr>
            <w:tcW w:w="3118" w:type="dxa"/>
            <w:vAlign w:val="center"/>
            <w:vMerge w:val="restart"/>
          </w:tcPr>
          <w:p>
            <w:pPr>
              <w:pStyle w:val="0"/>
              <w:jc w:val="center"/>
            </w:pPr>
            <w:r>
              <w:rPr>
                <w:sz w:val="20"/>
              </w:rPr>
              <w:t xml:space="preserve">C</w:t>
            </w:r>
          </w:p>
        </w:tc>
      </w:tr>
      <w:tr>
        <w:tc>
          <w:tcPr>
            <w:vMerge w:val="continue"/>
          </w:tcPr>
          <w:p/>
        </w:tc>
        <w:tc>
          <w:tcPr>
            <w:tcW w:w="1133" w:type="dxa"/>
            <w:vAlign w:val="center"/>
          </w:tcPr>
          <w:p>
            <w:pPr>
              <w:pStyle w:val="0"/>
              <w:jc w:val="center"/>
            </w:pPr>
            <w:r>
              <w:rPr>
                <w:sz w:val="20"/>
              </w:rPr>
              <w:t xml:space="preserve">3в</w:t>
            </w:r>
          </w:p>
        </w:tc>
        <w:tc>
          <w:tcPr>
            <w:tcW w:w="3685" w:type="dxa"/>
            <w:vAlign w:val="center"/>
          </w:tcPr>
          <w:p>
            <w:pPr>
              <w:pStyle w:val="0"/>
              <w:jc w:val="center"/>
            </w:pPr>
            <w:r>
              <w:rPr>
                <w:sz w:val="20"/>
              </w:rPr>
              <w:t xml:space="preserve">Более 1,6 до 5,0 включительно</w:t>
            </w:r>
          </w:p>
        </w:tc>
        <w:tc>
          <w:tcPr>
            <w:vMerge w:val="continue"/>
          </w:tcPr>
          <w:p/>
        </w:tc>
      </w:tr>
      <w:tr>
        <w:tc>
          <w:tcPr>
            <w:vMerge w:val="continue"/>
          </w:tcPr>
          <w:p/>
        </w:tc>
        <w:tc>
          <w:tcPr>
            <w:tcW w:w="1133" w:type="dxa"/>
            <w:vAlign w:val="center"/>
          </w:tcPr>
          <w:p>
            <w:pPr>
              <w:pStyle w:val="0"/>
              <w:jc w:val="center"/>
            </w:pPr>
            <w:r>
              <w:rPr>
                <w:sz w:val="20"/>
              </w:rPr>
              <w:t xml:space="preserve">3с</w:t>
            </w:r>
          </w:p>
        </w:tc>
        <w:tc>
          <w:tcPr>
            <w:tcW w:w="3685" w:type="dxa"/>
            <w:vAlign w:val="center"/>
          </w:tcPr>
          <w:p>
            <w:pPr>
              <w:pStyle w:val="0"/>
              <w:jc w:val="center"/>
            </w:pPr>
            <w:r>
              <w:rPr>
                <w:sz w:val="20"/>
              </w:rPr>
              <w:t xml:space="preserve">До 1,6 включительно</w:t>
            </w:r>
          </w:p>
        </w:tc>
        <w:tc>
          <w:tcPr>
            <w:vMerge w:val="continue"/>
          </w:tcPr>
          <w:p/>
        </w:tc>
      </w:tr>
    </w:tbl>
    <w:p>
      <w:pPr>
        <w:pStyle w:val="0"/>
        <w:jc w:val="both"/>
      </w:pPr>
      <w:r>
        <w:rPr>
          <w:sz w:val="20"/>
        </w:rPr>
      </w:r>
    </w:p>
    <w:p>
      <w:pPr>
        <w:pStyle w:val="0"/>
        <w:ind w:firstLine="540"/>
        <w:jc w:val="both"/>
      </w:pPr>
      <w:r>
        <w:rPr>
          <w:sz w:val="20"/>
        </w:rPr>
        <w:t xml:space="preserve">2. Методы неразрушающего и разрушающего контроля отливок приведены в таблице N 8.2 настоящего приложения.</w:t>
      </w:r>
    </w:p>
    <w:p>
      <w:pPr>
        <w:pStyle w:val="0"/>
        <w:jc w:val="both"/>
      </w:pPr>
      <w:r>
        <w:rPr>
          <w:sz w:val="20"/>
        </w:rPr>
      </w:r>
    </w:p>
    <w:p>
      <w:pPr>
        <w:pStyle w:val="0"/>
        <w:outlineLvl w:val="2"/>
        <w:jc w:val="right"/>
      </w:pPr>
      <w:r>
        <w:rPr>
          <w:sz w:val="20"/>
        </w:rPr>
        <w:t xml:space="preserve">Таблица N 8.2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88"/>
        <w:gridCol w:w="680"/>
        <w:gridCol w:w="793"/>
        <w:gridCol w:w="623"/>
        <w:gridCol w:w="623"/>
        <w:gridCol w:w="680"/>
        <w:gridCol w:w="680"/>
      </w:tblGrid>
      <w:tr>
        <w:tc>
          <w:tcPr>
            <w:tcW w:w="4988" w:type="dxa"/>
            <w:vMerge w:val="restart"/>
          </w:tcPr>
          <w:p>
            <w:pPr>
              <w:pStyle w:val="0"/>
              <w:jc w:val="center"/>
            </w:pPr>
            <w:r>
              <w:rPr>
                <w:sz w:val="20"/>
              </w:rPr>
              <w:t xml:space="preserve">Метод контроля</w:t>
            </w:r>
          </w:p>
        </w:tc>
        <w:tc>
          <w:tcPr>
            <w:gridSpan w:val="6"/>
            <w:tcW w:w="4079" w:type="dxa"/>
          </w:tcPr>
          <w:p>
            <w:pPr>
              <w:pStyle w:val="0"/>
              <w:jc w:val="center"/>
            </w:pPr>
            <w:r>
              <w:rPr>
                <w:sz w:val="20"/>
              </w:rPr>
              <w:t xml:space="preserve">Класс отливок</w:t>
            </w:r>
          </w:p>
        </w:tc>
      </w:tr>
      <w:tr>
        <w:tc>
          <w:tcPr>
            <w:vMerge w:val="continue"/>
          </w:tcPr>
          <w:p/>
        </w:tc>
        <w:tc>
          <w:tcPr>
            <w:tcW w:w="680" w:type="dxa"/>
            <w:vMerge w:val="restart"/>
          </w:tcPr>
          <w:p>
            <w:pPr>
              <w:pStyle w:val="0"/>
              <w:jc w:val="center"/>
            </w:pPr>
            <w:r>
              <w:rPr>
                <w:sz w:val="20"/>
              </w:rPr>
              <w:t xml:space="preserve">1-й</w:t>
            </w:r>
          </w:p>
        </w:tc>
        <w:tc>
          <w:tcPr>
            <w:gridSpan w:val="2"/>
            <w:tcW w:w="1416" w:type="dxa"/>
          </w:tcPr>
          <w:p>
            <w:pPr>
              <w:pStyle w:val="0"/>
              <w:jc w:val="center"/>
            </w:pPr>
            <w:r>
              <w:rPr>
                <w:sz w:val="20"/>
              </w:rPr>
              <w:t xml:space="preserve">2-й</w:t>
            </w:r>
          </w:p>
        </w:tc>
        <w:tc>
          <w:tcPr>
            <w:gridSpan w:val="3"/>
            <w:tcW w:w="1983" w:type="dxa"/>
          </w:tcPr>
          <w:p>
            <w:pPr>
              <w:pStyle w:val="0"/>
              <w:jc w:val="center"/>
            </w:pPr>
            <w:r>
              <w:rPr>
                <w:sz w:val="20"/>
              </w:rPr>
              <w:t xml:space="preserve">3-й</w:t>
            </w:r>
          </w:p>
        </w:tc>
      </w:tr>
      <w:tr>
        <w:tc>
          <w:tcPr>
            <w:vMerge w:val="continue"/>
          </w:tcPr>
          <w:p/>
        </w:tc>
        <w:tc>
          <w:tcPr>
            <w:vMerge w:val="continue"/>
          </w:tcPr>
          <w:p/>
        </w:tc>
        <w:tc>
          <w:tcPr>
            <w:tcW w:w="793" w:type="dxa"/>
          </w:tcPr>
          <w:p>
            <w:pPr>
              <w:pStyle w:val="0"/>
              <w:jc w:val="center"/>
            </w:pPr>
            <w:r>
              <w:rPr>
                <w:sz w:val="20"/>
              </w:rPr>
              <w:t xml:space="preserve">а</w:t>
            </w:r>
          </w:p>
        </w:tc>
        <w:tc>
          <w:tcPr>
            <w:tcW w:w="623" w:type="dxa"/>
          </w:tcPr>
          <w:p>
            <w:pPr>
              <w:pStyle w:val="0"/>
              <w:jc w:val="center"/>
            </w:pPr>
            <w:r>
              <w:rPr>
                <w:sz w:val="20"/>
              </w:rPr>
              <w:t xml:space="preserve">в</w:t>
            </w:r>
          </w:p>
        </w:tc>
        <w:tc>
          <w:tcPr>
            <w:tcW w:w="623" w:type="dxa"/>
          </w:tcPr>
          <w:p>
            <w:pPr>
              <w:pStyle w:val="0"/>
              <w:jc w:val="center"/>
            </w:pPr>
            <w:r>
              <w:rPr>
                <w:sz w:val="20"/>
              </w:rPr>
              <w:t xml:space="preserve">а</w:t>
            </w:r>
          </w:p>
        </w:tc>
        <w:tc>
          <w:tcPr>
            <w:tcW w:w="680" w:type="dxa"/>
          </w:tcPr>
          <w:p>
            <w:pPr>
              <w:pStyle w:val="0"/>
              <w:jc w:val="center"/>
            </w:pPr>
            <w:r>
              <w:rPr>
                <w:sz w:val="20"/>
              </w:rPr>
              <w:t xml:space="preserve">в</w:t>
            </w:r>
          </w:p>
        </w:tc>
        <w:tc>
          <w:tcPr>
            <w:tcW w:w="680" w:type="dxa"/>
          </w:tcPr>
          <w:p>
            <w:pPr>
              <w:pStyle w:val="0"/>
              <w:jc w:val="center"/>
            </w:pPr>
            <w:r>
              <w:rPr>
                <w:sz w:val="20"/>
              </w:rPr>
              <w:t xml:space="preserve">с</w:t>
            </w:r>
          </w:p>
        </w:tc>
      </w:tr>
      <w:tr>
        <w:tc>
          <w:tcPr>
            <w:tcW w:w="4988" w:type="dxa"/>
          </w:tcPr>
          <w:p>
            <w:pPr>
              <w:pStyle w:val="0"/>
              <w:jc w:val="center"/>
            </w:pPr>
            <w:r>
              <w:rPr>
                <w:sz w:val="20"/>
              </w:rPr>
              <w:t xml:space="preserve">Контроль химического состава стали</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P</w:t>
            </w:r>
          </w:p>
        </w:tc>
        <w:tc>
          <w:tcPr>
            <w:tcW w:w="680" w:type="dxa"/>
          </w:tcPr>
          <w:p>
            <w:pPr>
              <w:pStyle w:val="0"/>
              <w:jc w:val="center"/>
            </w:pPr>
            <w:r>
              <w:rPr>
                <w:sz w:val="20"/>
              </w:rPr>
              <w:t xml:space="preserve">P</w:t>
            </w:r>
          </w:p>
        </w:tc>
        <w:tc>
          <w:tcPr>
            <w:tcW w:w="680" w:type="dxa"/>
          </w:tcPr>
          <w:p>
            <w:pPr>
              <w:pStyle w:val="0"/>
              <w:jc w:val="center"/>
            </w:pPr>
            <w:r>
              <w:rPr>
                <w:sz w:val="20"/>
              </w:rPr>
              <w:t xml:space="preserve">P</w:t>
            </w:r>
          </w:p>
        </w:tc>
      </w:tr>
      <w:tr>
        <w:tc>
          <w:tcPr>
            <w:gridSpan w:val="7"/>
            <w:tcW w:w="9067" w:type="dxa"/>
          </w:tcPr>
          <w:p>
            <w:pPr>
              <w:pStyle w:val="0"/>
              <w:outlineLvl w:val="3"/>
              <w:jc w:val="center"/>
            </w:pPr>
            <w:r>
              <w:rPr>
                <w:sz w:val="20"/>
              </w:rPr>
              <w:t xml:space="preserve">Испытание на растяжение при нормальной температуре</w:t>
            </w:r>
          </w:p>
        </w:tc>
      </w:tr>
      <w:tr>
        <w:tc>
          <w:tcPr>
            <w:tcW w:w="4988" w:type="dxa"/>
          </w:tcPr>
          <w:p>
            <w:pPr>
              <w:pStyle w:val="0"/>
              <w:jc w:val="center"/>
            </w:pPr>
            <w:r>
              <w:rPr>
                <w:sz w:val="20"/>
              </w:rPr>
              <w:t xml:space="preserve">определение временного сопротивления R</w:t>
            </w:r>
            <w:r>
              <w:rPr>
                <w:sz w:val="20"/>
                <w:vertAlign w:val="subscript"/>
              </w:rPr>
              <w:t xml:space="preserve">m</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P</w:t>
            </w:r>
          </w:p>
        </w:tc>
        <w:tc>
          <w:tcPr>
            <w:tcW w:w="680" w:type="dxa"/>
          </w:tcPr>
          <w:p>
            <w:pPr>
              <w:pStyle w:val="0"/>
              <w:jc w:val="center"/>
            </w:pPr>
            <w:r>
              <w:rPr>
                <w:sz w:val="20"/>
              </w:rPr>
              <w:t xml:space="preserve">P</w:t>
            </w:r>
          </w:p>
        </w:tc>
        <w:tc>
          <w:tcPr>
            <w:tcW w:w="680" w:type="dxa"/>
          </w:tcPr>
          <w:p>
            <w:pPr>
              <w:pStyle w:val="0"/>
              <w:jc w:val="center"/>
            </w:pPr>
            <w:r>
              <w:rPr>
                <w:sz w:val="20"/>
              </w:rPr>
              <w:t xml:space="preserve">P</w:t>
            </w:r>
          </w:p>
        </w:tc>
      </w:tr>
      <w:tr>
        <w:tc>
          <w:tcPr>
            <w:tcW w:w="4988" w:type="dxa"/>
          </w:tcPr>
          <w:p>
            <w:pPr>
              <w:pStyle w:val="0"/>
              <w:jc w:val="center"/>
            </w:pPr>
            <w:r>
              <w:rPr>
                <w:sz w:val="20"/>
              </w:rPr>
              <w:t xml:space="preserve">определение предела текучести R</w:t>
            </w:r>
            <w:r>
              <w:rPr>
                <w:sz w:val="20"/>
                <w:vertAlign w:val="subscript"/>
              </w:rPr>
              <w:t xml:space="preserve">p0,2</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P</w:t>
            </w:r>
          </w:p>
        </w:tc>
        <w:tc>
          <w:tcPr>
            <w:tcW w:w="680" w:type="dxa"/>
          </w:tcPr>
          <w:p>
            <w:pPr>
              <w:pStyle w:val="0"/>
              <w:jc w:val="center"/>
            </w:pPr>
            <w:r>
              <w:rPr>
                <w:sz w:val="20"/>
              </w:rPr>
              <w:t xml:space="preserve">P</w:t>
            </w:r>
          </w:p>
        </w:tc>
        <w:tc>
          <w:tcPr>
            <w:tcW w:w="680" w:type="dxa"/>
          </w:tcPr>
          <w:p>
            <w:pPr>
              <w:pStyle w:val="0"/>
              <w:jc w:val="center"/>
            </w:pPr>
            <w:r>
              <w:rPr>
                <w:sz w:val="20"/>
              </w:rPr>
              <w:t xml:space="preserve">P</w:t>
            </w:r>
          </w:p>
        </w:tc>
      </w:tr>
      <w:tr>
        <w:tc>
          <w:tcPr>
            <w:tcW w:w="4988" w:type="dxa"/>
          </w:tcPr>
          <w:p>
            <w:pPr>
              <w:pStyle w:val="0"/>
              <w:jc w:val="center"/>
            </w:pPr>
            <w:r>
              <w:rPr>
                <w:sz w:val="20"/>
              </w:rPr>
              <w:t xml:space="preserve">определение относительного удлинения A</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S</w:t>
            </w:r>
          </w:p>
        </w:tc>
        <w:tc>
          <w:tcPr>
            <w:tcW w:w="680" w:type="dxa"/>
          </w:tcPr>
          <w:p>
            <w:pPr>
              <w:pStyle w:val="0"/>
              <w:jc w:val="center"/>
            </w:pPr>
            <w:r>
              <w:rPr>
                <w:sz w:val="20"/>
              </w:rPr>
              <w:t xml:space="preserve">S</w:t>
            </w:r>
          </w:p>
        </w:tc>
        <w:tc>
          <w:tcPr>
            <w:tcW w:w="680" w:type="dxa"/>
          </w:tcPr>
          <w:p>
            <w:pPr>
              <w:pStyle w:val="0"/>
              <w:jc w:val="center"/>
            </w:pPr>
            <w:r>
              <w:rPr>
                <w:sz w:val="20"/>
              </w:rPr>
              <w:t xml:space="preserve">S</w:t>
            </w:r>
          </w:p>
        </w:tc>
      </w:tr>
      <w:tr>
        <w:tc>
          <w:tcPr>
            <w:tcW w:w="4988" w:type="dxa"/>
          </w:tcPr>
          <w:p>
            <w:pPr>
              <w:pStyle w:val="0"/>
              <w:jc w:val="center"/>
            </w:pPr>
            <w:r>
              <w:rPr>
                <w:sz w:val="20"/>
              </w:rPr>
              <w:t xml:space="preserve">определение относительного сужения Z</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P</w:t>
            </w:r>
          </w:p>
        </w:tc>
        <w:tc>
          <w:tcPr>
            <w:tcW w:w="680" w:type="dxa"/>
          </w:tcPr>
          <w:p>
            <w:pPr>
              <w:pStyle w:val="0"/>
              <w:jc w:val="center"/>
            </w:pPr>
            <w:r>
              <w:rPr>
                <w:sz w:val="20"/>
              </w:rPr>
              <w:t xml:space="preserve">P</w:t>
            </w:r>
          </w:p>
        </w:tc>
        <w:tc>
          <w:tcPr>
            <w:tcW w:w="680" w:type="dxa"/>
          </w:tcPr>
          <w:p>
            <w:pPr>
              <w:pStyle w:val="0"/>
              <w:jc w:val="center"/>
            </w:pPr>
            <w:r>
              <w:rPr>
                <w:sz w:val="20"/>
              </w:rPr>
              <w:t xml:space="preserve">P</w:t>
            </w:r>
          </w:p>
        </w:tc>
      </w:tr>
      <w:tr>
        <w:tc>
          <w:tcPr>
            <w:gridSpan w:val="7"/>
            <w:tcW w:w="9067" w:type="dxa"/>
          </w:tcPr>
          <w:p>
            <w:pPr>
              <w:pStyle w:val="0"/>
              <w:outlineLvl w:val="3"/>
              <w:jc w:val="center"/>
            </w:pPr>
            <w:r>
              <w:rPr>
                <w:sz w:val="20"/>
              </w:rPr>
              <w:t xml:space="preserve">Испытание на растяжение при повышенной температуре</w:t>
            </w:r>
          </w:p>
        </w:tc>
      </w:tr>
      <w:tr>
        <w:tc>
          <w:tcPr>
            <w:tcW w:w="4988" w:type="dxa"/>
          </w:tcPr>
          <w:p>
            <w:pPr>
              <w:pStyle w:val="0"/>
              <w:jc w:val="center"/>
            </w:pPr>
            <w:r>
              <w:rPr>
                <w:sz w:val="20"/>
              </w:rPr>
              <w:t xml:space="preserve">определение временного сопротивления R</w:t>
            </w:r>
            <w:r>
              <w:rPr>
                <w:sz w:val="20"/>
                <w:vertAlign w:val="subscript"/>
              </w:rPr>
              <w:t xml:space="preserve">m</w:t>
            </w:r>
          </w:p>
        </w:tc>
        <w:tc>
          <w:tcPr>
            <w:tcW w:w="680" w:type="dxa"/>
          </w:tcPr>
          <w:p>
            <w:pPr>
              <w:pStyle w:val="0"/>
              <w:jc w:val="center"/>
            </w:pPr>
            <w:r>
              <w:rPr>
                <w:sz w:val="20"/>
              </w:rPr>
              <w:t xml:space="preserve">S</w:t>
            </w:r>
          </w:p>
        </w:tc>
        <w:tc>
          <w:tcPr>
            <w:tcW w:w="793" w:type="dxa"/>
          </w:tcPr>
          <w:p>
            <w:pPr>
              <w:pStyle w:val="0"/>
              <w:jc w:val="center"/>
            </w:pPr>
            <w:r>
              <w:rPr>
                <w:sz w:val="20"/>
              </w:rPr>
              <w:t xml:space="preserve">S</w:t>
            </w:r>
          </w:p>
        </w:tc>
        <w:tc>
          <w:tcPr>
            <w:tcW w:w="623" w:type="dxa"/>
          </w:tcPr>
          <w:p>
            <w:pPr>
              <w:pStyle w:val="0"/>
              <w:jc w:val="center"/>
            </w:pPr>
            <w:r>
              <w:rPr>
                <w:sz w:val="20"/>
              </w:rPr>
              <w:t xml:space="preserve">S</w:t>
            </w:r>
          </w:p>
        </w:tc>
        <w:tc>
          <w:tcPr>
            <w:tcW w:w="623" w:type="dxa"/>
          </w:tcPr>
          <w:p>
            <w:pPr>
              <w:pStyle w:val="0"/>
              <w:jc w:val="center"/>
            </w:pPr>
            <w:r>
              <w:rPr>
                <w:sz w:val="20"/>
              </w:rPr>
              <w:t xml:space="preserve">S</w:t>
            </w:r>
          </w:p>
        </w:tc>
        <w:tc>
          <w:tcPr>
            <w:tcW w:w="680" w:type="dxa"/>
          </w:tcPr>
          <w:p>
            <w:pPr>
              <w:pStyle w:val="0"/>
              <w:jc w:val="center"/>
            </w:pPr>
            <w:r>
              <w:rPr>
                <w:sz w:val="20"/>
              </w:rPr>
              <w:t xml:space="preserve">-</w:t>
            </w:r>
          </w:p>
        </w:tc>
        <w:tc>
          <w:tcPr>
            <w:tcW w:w="680" w:type="dxa"/>
          </w:tcPr>
          <w:p>
            <w:pPr>
              <w:pStyle w:val="0"/>
              <w:jc w:val="center"/>
            </w:pPr>
            <w:r>
              <w:rPr>
                <w:sz w:val="20"/>
              </w:rPr>
              <w:t xml:space="preserve">-</w:t>
            </w:r>
          </w:p>
        </w:tc>
      </w:tr>
      <w:tr>
        <w:tc>
          <w:tcPr>
            <w:tcW w:w="4988" w:type="dxa"/>
          </w:tcPr>
          <w:p>
            <w:pPr>
              <w:pStyle w:val="0"/>
              <w:jc w:val="center"/>
            </w:pPr>
            <w:r>
              <w:rPr>
                <w:sz w:val="20"/>
              </w:rPr>
              <w:t xml:space="preserve">определение предела текучести R</w:t>
            </w:r>
            <w:r>
              <w:rPr>
                <w:sz w:val="20"/>
                <w:vertAlign w:val="subscript"/>
              </w:rPr>
              <w:t xml:space="preserve">p0,2</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P</w:t>
            </w:r>
          </w:p>
        </w:tc>
        <w:tc>
          <w:tcPr>
            <w:tcW w:w="680" w:type="dxa"/>
          </w:tcPr>
          <w:p>
            <w:pPr>
              <w:pStyle w:val="0"/>
              <w:jc w:val="center"/>
            </w:pPr>
            <w:r>
              <w:rPr>
                <w:sz w:val="20"/>
              </w:rPr>
              <w:t xml:space="preserve">-</w:t>
            </w:r>
          </w:p>
        </w:tc>
        <w:tc>
          <w:tcPr>
            <w:tcW w:w="680" w:type="dxa"/>
          </w:tcPr>
          <w:p>
            <w:pPr>
              <w:pStyle w:val="0"/>
              <w:jc w:val="center"/>
            </w:pPr>
            <w:r>
              <w:rPr>
                <w:sz w:val="20"/>
              </w:rPr>
              <w:t xml:space="preserve">-</w:t>
            </w:r>
          </w:p>
        </w:tc>
      </w:tr>
      <w:tr>
        <w:tc>
          <w:tcPr>
            <w:tcW w:w="4988" w:type="dxa"/>
          </w:tcPr>
          <w:p>
            <w:pPr>
              <w:pStyle w:val="0"/>
              <w:jc w:val="center"/>
            </w:pPr>
            <w:r>
              <w:rPr>
                <w:sz w:val="20"/>
              </w:rPr>
              <w:t xml:space="preserve">определение относительного сужения Z</w:t>
            </w:r>
          </w:p>
        </w:tc>
        <w:tc>
          <w:tcPr>
            <w:tcW w:w="680" w:type="dxa"/>
          </w:tcPr>
          <w:p>
            <w:pPr>
              <w:pStyle w:val="0"/>
              <w:jc w:val="center"/>
            </w:pPr>
            <w:r>
              <w:rPr>
                <w:sz w:val="20"/>
              </w:rPr>
              <w:t xml:space="preserve">S</w:t>
            </w:r>
          </w:p>
        </w:tc>
        <w:tc>
          <w:tcPr>
            <w:tcW w:w="793" w:type="dxa"/>
          </w:tcPr>
          <w:p>
            <w:pPr>
              <w:pStyle w:val="0"/>
              <w:jc w:val="center"/>
            </w:pPr>
            <w:r>
              <w:rPr>
                <w:sz w:val="20"/>
              </w:rPr>
              <w:t xml:space="preserve">S</w:t>
            </w:r>
          </w:p>
        </w:tc>
        <w:tc>
          <w:tcPr>
            <w:tcW w:w="623" w:type="dxa"/>
          </w:tcPr>
          <w:p>
            <w:pPr>
              <w:pStyle w:val="0"/>
              <w:jc w:val="center"/>
            </w:pPr>
            <w:r>
              <w:rPr>
                <w:sz w:val="20"/>
              </w:rPr>
              <w:t xml:space="preserve">S</w:t>
            </w:r>
          </w:p>
        </w:tc>
        <w:tc>
          <w:tcPr>
            <w:tcW w:w="623" w:type="dxa"/>
          </w:tcPr>
          <w:p>
            <w:pPr>
              <w:pStyle w:val="0"/>
              <w:jc w:val="center"/>
            </w:pPr>
            <w:r>
              <w:rPr>
                <w:sz w:val="20"/>
              </w:rPr>
              <w:t xml:space="preserve">-</w:t>
            </w:r>
          </w:p>
        </w:tc>
        <w:tc>
          <w:tcPr>
            <w:tcW w:w="680" w:type="dxa"/>
          </w:tcPr>
          <w:p>
            <w:pPr>
              <w:pStyle w:val="0"/>
              <w:jc w:val="center"/>
            </w:pPr>
            <w:r>
              <w:rPr>
                <w:sz w:val="20"/>
              </w:rPr>
              <w:t xml:space="preserve">-</w:t>
            </w:r>
          </w:p>
        </w:tc>
        <w:tc>
          <w:tcPr>
            <w:tcW w:w="680" w:type="dxa"/>
          </w:tcPr>
          <w:p>
            <w:pPr>
              <w:pStyle w:val="0"/>
              <w:jc w:val="center"/>
            </w:pPr>
            <w:r>
              <w:rPr>
                <w:sz w:val="20"/>
              </w:rPr>
              <w:t xml:space="preserve">-</w:t>
            </w:r>
          </w:p>
        </w:tc>
      </w:tr>
      <w:tr>
        <w:tc>
          <w:tcPr>
            <w:tcW w:w="4988" w:type="dxa"/>
          </w:tcPr>
          <w:p>
            <w:pPr>
              <w:pStyle w:val="0"/>
              <w:jc w:val="center"/>
            </w:pPr>
            <w:r>
              <w:rPr>
                <w:sz w:val="20"/>
              </w:rPr>
              <w:t xml:space="preserve">Испытание на ударный изгиб при нормальной температуре </w:t>
            </w:r>
            <w:hyperlink w:history="0" w:anchor="P3387" w:tooltip="&lt;*&gt; За исключением стали аустенитного класса.">
              <w:r>
                <w:rPr>
                  <w:sz w:val="20"/>
                  <w:color w:val="0000ff"/>
                </w:rPr>
                <w:t xml:space="preserve">&lt;*&gt;</w:t>
              </w:r>
            </w:hyperlink>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S</w:t>
            </w:r>
          </w:p>
        </w:tc>
        <w:tc>
          <w:tcPr>
            <w:tcW w:w="680" w:type="dxa"/>
          </w:tcPr>
          <w:p>
            <w:pPr>
              <w:pStyle w:val="0"/>
              <w:jc w:val="center"/>
            </w:pPr>
            <w:r>
              <w:rPr>
                <w:sz w:val="20"/>
              </w:rPr>
              <w:t xml:space="preserve">S</w:t>
            </w:r>
          </w:p>
        </w:tc>
        <w:tc>
          <w:tcPr>
            <w:tcW w:w="680" w:type="dxa"/>
          </w:tcPr>
          <w:p>
            <w:pPr>
              <w:pStyle w:val="0"/>
              <w:jc w:val="center"/>
            </w:pPr>
            <w:r>
              <w:rPr>
                <w:sz w:val="20"/>
              </w:rPr>
              <w:t xml:space="preserve">S</w:t>
            </w:r>
          </w:p>
        </w:tc>
      </w:tr>
      <w:tr>
        <w:tc>
          <w:tcPr>
            <w:tcW w:w="4988" w:type="dxa"/>
          </w:tcPr>
          <w:p>
            <w:pPr>
              <w:pStyle w:val="0"/>
              <w:jc w:val="center"/>
            </w:pPr>
            <w:r>
              <w:rPr>
                <w:sz w:val="20"/>
              </w:rPr>
              <w:t xml:space="preserve">Контроль твердости</w:t>
            </w:r>
          </w:p>
        </w:tc>
        <w:tc>
          <w:tcPr>
            <w:tcW w:w="680" w:type="dxa"/>
          </w:tcPr>
          <w:p>
            <w:pPr>
              <w:pStyle w:val="0"/>
              <w:jc w:val="center"/>
            </w:pPr>
            <w:r>
              <w:rPr>
                <w:sz w:val="20"/>
              </w:rPr>
              <w:t xml:space="preserve">P</w:t>
            </w:r>
          </w:p>
        </w:tc>
        <w:tc>
          <w:tcPr>
            <w:tcW w:w="793" w:type="dxa"/>
          </w:tcPr>
          <w:p>
            <w:pPr>
              <w:pStyle w:val="0"/>
              <w:jc w:val="center"/>
            </w:pPr>
            <w:r>
              <w:rPr>
                <w:sz w:val="20"/>
              </w:rPr>
              <w:t xml:space="preserve">S</w:t>
            </w:r>
          </w:p>
        </w:tc>
        <w:tc>
          <w:tcPr>
            <w:tcW w:w="623" w:type="dxa"/>
          </w:tcPr>
          <w:p>
            <w:pPr>
              <w:pStyle w:val="0"/>
              <w:jc w:val="center"/>
            </w:pPr>
            <w:r>
              <w:rPr>
                <w:sz w:val="20"/>
              </w:rPr>
              <w:t xml:space="preserve">-</w:t>
            </w:r>
          </w:p>
        </w:tc>
        <w:tc>
          <w:tcPr>
            <w:tcW w:w="623" w:type="dxa"/>
          </w:tcPr>
          <w:p>
            <w:pPr>
              <w:pStyle w:val="0"/>
              <w:jc w:val="center"/>
            </w:pPr>
            <w:r>
              <w:rPr>
                <w:sz w:val="20"/>
              </w:rPr>
              <w:t xml:space="preserve">-</w:t>
            </w:r>
          </w:p>
        </w:tc>
        <w:tc>
          <w:tcPr>
            <w:tcW w:w="680" w:type="dxa"/>
          </w:tcPr>
          <w:p>
            <w:pPr>
              <w:pStyle w:val="0"/>
              <w:jc w:val="center"/>
            </w:pPr>
            <w:r>
              <w:rPr>
                <w:sz w:val="20"/>
              </w:rPr>
              <w:t xml:space="preserve">-</w:t>
            </w:r>
          </w:p>
        </w:tc>
        <w:tc>
          <w:tcPr>
            <w:tcW w:w="680" w:type="dxa"/>
          </w:tcPr>
          <w:p>
            <w:pPr>
              <w:pStyle w:val="0"/>
              <w:jc w:val="center"/>
            </w:pPr>
            <w:r>
              <w:rPr>
                <w:sz w:val="20"/>
              </w:rPr>
              <w:t xml:space="preserve">-</w:t>
            </w:r>
          </w:p>
        </w:tc>
      </w:tr>
      <w:tr>
        <w:tc>
          <w:tcPr>
            <w:tcW w:w="4988" w:type="dxa"/>
          </w:tcPr>
          <w:p>
            <w:pPr>
              <w:pStyle w:val="0"/>
              <w:jc w:val="center"/>
            </w:pPr>
            <w:r>
              <w:rPr>
                <w:sz w:val="20"/>
              </w:rPr>
              <w:t xml:space="preserve">Контроль коррозионных свойств </w:t>
            </w:r>
            <w:hyperlink w:history="0" w:anchor="P3388" w:tooltip="&lt;**&gt; Для стали аустенитного класса и высокохромистой стали.">
              <w:r>
                <w:rPr>
                  <w:sz w:val="20"/>
                  <w:color w:val="0000ff"/>
                </w:rPr>
                <w:t xml:space="preserve">&lt;**&gt;</w:t>
              </w:r>
            </w:hyperlink>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P</w:t>
            </w:r>
          </w:p>
        </w:tc>
        <w:tc>
          <w:tcPr>
            <w:tcW w:w="680" w:type="dxa"/>
          </w:tcPr>
          <w:p>
            <w:pPr>
              <w:pStyle w:val="0"/>
              <w:jc w:val="center"/>
            </w:pPr>
            <w:r>
              <w:rPr>
                <w:sz w:val="20"/>
              </w:rPr>
              <w:t xml:space="preserve">P</w:t>
            </w:r>
          </w:p>
        </w:tc>
        <w:tc>
          <w:tcPr>
            <w:tcW w:w="680" w:type="dxa"/>
          </w:tcPr>
          <w:p>
            <w:pPr>
              <w:pStyle w:val="0"/>
              <w:jc w:val="center"/>
            </w:pPr>
            <w:r>
              <w:rPr>
                <w:sz w:val="20"/>
              </w:rPr>
              <w:t xml:space="preserve">P</w:t>
            </w:r>
          </w:p>
        </w:tc>
      </w:tr>
      <w:tr>
        <w:tc>
          <w:tcPr>
            <w:tcW w:w="4988" w:type="dxa"/>
          </w:tcPr>
          <w:p>
            <w:pPr>
              <w:pStyle w:val="0"/>
              <w:jc w:val="center"/>
            </w:pPr>
            <w:r>
              <w:rPr>
                <w:sz w:val="20"/>
              </w:rPr>
              <w:t xml:space="preserve">Контроль содержания ферритной фазы </w:t>
            </w:r>
            <w:hyperlink w:history="0" w:anchor="P3389" w:tooltip="&lt;***&gt; Для стали аустенитного класса.">
              <w:r>
                <w:rPr>
                  <w:sz w:val="20"/>
                  <w:color w:val="0000ff"/>
                </w:rPr>
                <w:t xml:space="preserve">&lt;***&gt;</w:t>
              </w:r>
            </w:hyperlink>
          </w:p>
        </w:tc>
        <w:tc>
          <w:tcPr>
            <w:tcW w:w="680" w:type="dxa"/>
          </w:tcPr>
          <w:p>
            <w:pPr>
              <w:pStyle w:val="0"/>
              <w:jc w:val="center"/>
            </w:pPr>
            <w:r>
              <w:rPr>
                <w:sz w:val="20"/>
              </w:rPr>
              <w:t xml:space="preserve">P</w:t>
            </w:r>
          </w:p>
        </w:tc>
        <w:tc>
          <w:tcPr>
            <w:tcW w:w="793" w:type="dxa"/>
          </w:tcPr>
          <w:p>
            <w:pPr>
              <w:pStyle w:val="0"/>
              <w:jc w:val="center"/>
            </w:pPr>
            <w:r>
              <w:rPr>
                <w:sz w:val="20"/>
              </w:rPr>
              <w:t xml:space="preserve">K</w:t>
            </w:r>
          </w:p>
        </w:tc>
        <w:tc>
          <w:tcPr>
            <w:tcW w:w="623" w:type="dxa"/>
          </w:tcPr>
          <w:p>
            <w:pPr>
              <w:pStyle w:val="0"/>
              <w:jc w:val="center"/>
            </w:pPr>
            <w:r>
              <w:rPr>
                <w:sz w:val="20"/>
              </w:rPr>
              <w:t xml:space="preserve">K</w:t>
            </w:r>
          </w:p>
        </w:tc>
        <w:tc>
          <w:tcPr>
            <w:tcW w:w="623" w:type="dxa"/>
          </w:tcPr>
          <w:p>
            <w:pPr>
              <w:pStyle w:val="0"/>
              <w:jc w:val="center"/>
            </w:pPr>
            <w:r>
              <w:rPr>
                <w:sz w:val="20"/>
              </w:rPr>
              <w:t xml:space="preserve">K</w:t>
            </w:r>
          </w:p>
        </w:tc>
        <w:tc>
          <w:tcPr>
            <w:tcW w:w="680" w:type="dxa"/>
          </w:tcPr>
          <w:p>
            <w:pPr>
              <w:pStyle w:val="0"/>
              <w:jc w:val="center"/>
            </w:pPr>
            <w:r>
              <w:rPr>
                <w:sz w:val="20"/>
              </w:rPr>
              <w:t xml:space="preserve">K</w:t>
            </w:r>
          </w:p>
        </w:tc>
        <w:tc>
          <w:tcPr>
            <w:tcW w:w="680" w:type="dxa"/>
          </w:tcPr>
          <w:p>
            <w:pPr>
              <w:pStyle w:val="0"/>
              <w:jc w:val="center"/>
            </w:pPr>
            <w:r>
              <w:rPr>
                <w:sz w:val="20"/>
              </w:rPr>
              <w:t xml:space="preserve">K</w:t>
            </w:r>
          </w:p>
        </w:tc>
      </w:tr>
      <w:tr>
        <w:tc>
          <w:tcPr>
            <w:tcW w:w="4988" w:type="dxa"/>
          </w:tcPr>
          <w:p>
            <w:pPr>
              <w:pStyle w:val="0"/>
              <w:jc w:val="center"/>
            </w:pPr>
            <w:r>
              <w:rPr>
                <w:sz w:val="20"/>
              </w:rPr>
              <w:t xml:space="preserve">Визуальный и измерительный контроль размеров, массы, качества поверхности</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P</w:t>
            </w:r>
          </w:p>
        </w:tc>
        <w:tc>
          <w:tcPr>
            <w:tcW w:w="680" w:type="dxa"/>
          </w:tcPr>
          <w:p>
            <w:pPr>
              <w:pStyle w:val="0"/>
              <w:jc w:val="center"/>
            </w:pPr>
            <w:r>
              <w:rPr>
                <w:sz w:val="20"/>
              </w:rPr>
              <w:t xml:space="preserve">P</w:t>
            </w:r>
          </w:p>
        </w:tc>
        <w:tc>
          <w:tcPr>
            <w:tcW w:w="680" w:type="dxa"/>
          </w:tcPr>
          <w:p>
            <w:pPr>
              <w:pStyle w:val="0"/>
              <w:jc w:val="center"/>
            </w:pPr>
            <w:r>
              <w:rPr>
                <w:sz w:val="20"/>
              </w:rPr>
              <w:t xml:space="preserve">P</w:t>
            </w:r>
          </w:p>
        </w:tc>
      </w:tr>
      <w:tr>
        <w:tc>
          <w:tcPr>
            <w:tcW w:w="4988" w:type="dxa"/>
          </w:tcPr>
          <w:p>
            <w:pPr>
              <w:pStyle w:val="0"/>
              <w:jc w:val="center"/>
            </w:pPr>
            <w:r>
              <w:rPr>
                <w:sz w:val="20"/>
              </w:rPr>
              <w:t xml:space="preserve">Капиллярный или магнитопорошковый контроль</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P</w:t>
            </w:r>
          </w:p>
        </w:tc>
        <w:tc>
          <w:tcPr>
            <w:tcW w:w="680" w:type="dxa"/>
          </w:tcPr>
          <w:p>
            <w:pPr>
              <w:pStyle w:val="0"/>
              <w:jc w:val="center"/>
            </w:pPr>
            <w:r>
              <w:rPr>
                <w:sz w:val="20"/>
              </w:rPr>
              <w:t xml:space="preserve">P</w:t>
            </w:r>
          </w:p>
        </w:tc>
        <w:tc>
          <w:tcPr>
            <w:tcW w:w="680" w:type="dxa"/>
          </w:tcPr>
          <w:p>
            <w:pPr>
              <w:pStyle w:val="0"/>
              <w:jc w:val="center"/>
            </w:pPr>
            <w:r>
              <w:rPr>
                <w:sz w:val="20"/>
              </w:rPr>
              <w:t xml:space="preserve">P</w:t>
            </w:r>
          </w:p>
        </w:tc>
      </w:tr>
      <w:tr>
        <w:tc>
          <w:tcPr>
            <w:tcW w:w="4988" w:type="dxa"/>
          </w:tcPr>
          <w:p>
            <w:pPr>
              <w:pStyle w:val="0"/>
              <w:jc w:val="center"/>
            </w:pPr>
            <w:r>
              <w:rPr>
                <w:sz w:val="20"/>
              </w:rPr>
              <w:t xml:space="preserve">Радиографический или ультразвуковой контроль</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K</w:t>
            </w:r>
          </w:p>
        </w:tc>
        <w:tc>
          <w:tcPr>
            <w:tcW w:w="680" w:type="dxa"/>
          </w:tcPr>
          <w:p>
            <w:pPr>
              <w:pStyle w:val="0"/>
              <w:jc w:val="center"/>
            </w:pPr>
            <w:r>
              <w:rPr>
                <w:sz w:val="20"/>
              </w:rPr>
              <w:t xml:space="preserve">-</w:t>
            </w:r>
          </w:p>
        </w:tc>
        <w:tc>
          <w:tcPr>
            <w:tcW w:w="680" w:type="dxa"/>
          </w:tcPr>
          <w:p>
            <w:pPr>
              <w:pStyle w:val="0"/>
              <w:jc w:val="center"/>
            </w:pPr>
            <w:r>
              <w:rPr>
                <w:sz w:val="20"/>
              </w:rPr>
              <w:t xml:space="preserve">-</w:t>
            </w:r>
          </w:p>
        </w:tc>
      </w:tr>
      <w:tr>
        <w:tc>
          <w:tcPr>
            <w:tcW w:w="4988" w:type="dxa"/>
          </w:tcPr>
          <w:p>
            <w:pPr>
              <w:pStyle w:val="0"/>
              <w:jc w:val="center"/>
            </w:pPr>
            <w:r>
              <w:rPr>
                <w:sz w:val="20"/>
              </w:rPr>
              <w:t xml:space="preserve">Контроль свариваемых кромок</w:t>
            </w:r>
          </w:p>
        </w:tc>
        <w:tc>
          <w:tcPr>
            <w:tcW w:w="680" w:type="dxa"/>
          </w:tcPr>
          <w:p>
            <w:pPr>
              <w:pStyle w:val="0"/>
              <w:jc w:val="center"/>
            </w:pPr>
            <w:r>
              <w:rPr>
                <w:sz w:val="20"/>
              </w:rPr>
              <w:t xml:space="preserve">P</w:t>
            </w:r>
          </w:p>
        </w:tc>
        <w:tc>
          <w:tcPr>
            <w:tcW w:w="793" w:type="dxa"/>
          </w:tcPr>
          <w:p>
            <w:pPr>
              <w:pStyle w:val="0"/>
              <w:jc w:val="center"/>
            </w:pPr>
            <w:r>
              <w:rPr>
                <w:sz w:val="20"/>
              </w:rPr>
              <w:t xml:space="preserve">P</w:t>
            </w:r>
          </w:p>
        </w:tc>
        <w:tc>
          <w:tcPr>
            <w:tcW w:w="623" w:type="dxa"/>
          </w:tcPr>
          <w:p>
            <w:pPr>
              <w:pStyle w:val="0"/>
              <w:jc w:val="center"/>
            </w:pPr>
            <w:r>
              <w:rPr>
                <w:sz w:val="20"/>
              </w:rPr>
              <w:t xml:space="preserve">P</w:t>
            </w:r>
          </w:p>
        </w:tc>
        <w:tc>
          <w:tcPr>
            <w:tcW w:w="623" w:type="dxa"/>
          </w:tcPr>
          <w:p>
            <w:pPr>
              <w:pStyle w:val="0"/>
              <w:jc w:val="center"/>
            </w:pPr>
            <w:r>
              <w:rPr>
                <w:sz w:val="20"/>
              </w:rPr>
              <w:t xml:space="preserve">P</w:t>
            </w:r>
          </w:p>
        </w:tc>
        <w:tc>
          <w:tcPr>
            <w:tcW w:w="680" w:type="dxa"/>
          </w:tcPr>
          <w:p>
            <w:pPr>
              <w:pStyle w:val="0"/>
              <w:jc w:val="center"/>
            </w:pPr>
            <w:r>
              <w:rPr>
                <w:sz w:val="20"/>
              </w:rPr>
              <w:t xml:space="preserve">P</w:t>
            </w:r>
          </w:p>
        </w:tc>
        <w:tc>
          <w:tcPr>
            <w:tcW w:w="680" w:type="dxa"/>
          </w:tcPr>
          <w:p>
            <w:pPr>
              <w:pStyle w:val="0"/>
              <w:jc w:val="center"/>
            </w:pPr>
            <w:r>
              <w:rPr>
                <w:sz w:val="20"/>
              </w:rPr>
              <w:t xml:space="preserve">P</w:t>
            </w:r>
          </w:p>
        </w:tc>
      </w:tr>
      <w:tr>
        <w:tc>
          <w:tcPr>
            <w:gridSpan w:val="7"/>
            <w:tcW w:w="9067" w:type="dxa"/>
          </w:tcPr>
          <w:bookmarkStart w:id="3387" w:name="P3387"/>
          <w:bookmarkEnd w:id="3387"/>
          <w:p>
            <w:pPr>
              <w:pStyle w:val="0"/>
            </w:pPr>
            <w:r>
              <w:rPr>
                <w:sz w:val="20"/>
              </w:rPr>
              <w:t xml:space="preserve">&lt;*&gt; За исключением стали аустенитного класса.</w:t>
            </w:r>
          </w:p>
          <w:bookmarkStart w:id="3388" w:name="P3388"/>
          <w:bookmarkEnd w:id="3388"/>
          <w:p>
            <w:pPr>
              <w:pStyle w:val="0"/>
            </w:pPr>
            <w:r>
              <w:rPr>
                <w:sz w:val="20"/>
              </w:rPr>
              <w:t xml:space="preserve">&lt;**&gt; Для стали аустенитного класса и высокохромистой стали.</w:t>
            </w:r>
          </w:p>
          <w:bookmarkStart w:id="3389" w:name="P3389"/>
          <w:bookmarkEnd w:id="3389"/>
          <w:p>
            <w:pPr>
              <w:pStyle w:val="0"/>
            </w:pPr>
            <w:r>
              <w:rPr>
                <w:sz w:val="20"/>
              </w:rPr>
              <w:t xml:space="preserve">&lt;***&gt; Для стали аустенитного класса.</w:t>
            </w:r>
          </w:p>
          <w:p>
            <w:pPr>
              <w:pStyle w:val="0"/>
            </w:pPr>
            <w:r>
              <w:rPr>
                <w:sz w:val="20"/>
              </w:rPr>
              <w:t xml:space="preserve">P - контроль, по результатам которого проводится приемка отливок.</w:t>
            </w:r>
          </w:p>
          <w:p>
            <w:pPr>
              <w:pStyle w:val="0"/>
            </w:pPr>
            <w:r>
              <w:rPr>
                <w:sz w:val="20"/>
              </w:rPr>
              <w:t xml:space="preserve">S - контроль, результаты которого являются информационными и включаются в сертификат.</w:t>
            </w:r>
          </w:p>
          <w:p>
            <w:pPr>
              <w:pStyle w:val="0"/>
            </w:pPr>
            <w:r>
              <w:rPr>
                <w:sz w:val="20"/>
              </w:rPr>
              <w:t xml:space="preserve">K - контроль, проводимый по требованиям конструкторской документации.</w:t>
            </w:r>
          </w:p>
        </w:tc>
      </w:tr>
    </w:tbl>
    <w:p>
      <w:pPr>
        <w:pStyle w:val="0"/>
        <w:jc w:val="both"/>
      </w:pPr>
      <w:r>
        <w:rPr>
          <w:sz w:val="20"/>
        </w:rPr>
      </w:r>
    </w:p>
    <w:p>
      <w:pPr>
        <w:pStyle w:val="2"/>
        <w:outlineLvl w:val="2"/>
        <w:jc w:val="center"/>
      </w:pPr>
      <w:r>
        <w:rPr>
          <w:sz w:val="20"/>
        </w:rPr>
        <w:t xml:space="preserve">Неразрушающий контроль</w:t>
      </w:r>
    </w:p>
    <w:p>
      <w:pPr>
        <w:pStyle w:val="0"/>
        <w:jc w:val="both"/>
      </w:pPr>
      <w:r>
        <w:rPr>
          <w:sz w:val="20"/>
        </w:rPr>
      </w:r>
    </w:p>
    <w:p>
      <w:pPr>
        <w:pStyle w:val="2"/>
        <w:outlineLvl w:val="3"/>
        <w:jc w:val="center"/>
      </w:pPr>
      <w:r>
        <w:rPr>
          <w:sz w:val="20"/>
        </w:rPr>
        <w:t xml:space="preserve">Визуальный и измерительный контроль</w:t>
      </w:r>
    </w:p>
    <w:p>
      <w:pPr>
        <w:pStyle w:val="0"/>
        <w:jc w:val="both"/>
      </w:pPr>
      <w:r>
        <w:rPr>
          <w:sz w:val="20"/>
        </w:rPr>
      </w:r>
    </w:p>
    <w:p>
      <w:pPr>
        <w:pStyle w:val="0"/>
        <w:ind w:firstLine="540"/>
        <w:jc w:val="both"/>
      </w:pPr>
      <w:r>
        <w:rPr>
          <w:sz w:val="20"/>
        </w:rPr>
        <w:t xml:space="preserve">3. Визуальный и измерительный контроль должен проводиться до контроля другими методами. Визуальному контролю должна подвергаться вся поверхность каждой отливки.</w:t>
      </w:r>
    </w:p>
    <w:p>
      <w:pPr>
        <w:pStyle w:val="0"/>
        <w:jc w:val="both"/>
      </w:pPr>
      <w:r>
        <w:rPr>
          <w:sz w:val="20"/>
        </w:rPr>
      </w:r>
    </w:p>
    <w:p>
      <w:pPr>
        <w:pStyle w:val="2"/>
        <w:outlineLvl w:val="3"/>
        <w:jc w:val="center"/>
      </w:pPr>
      <w:r>
        <w:rPr>
          <w:sz w:val="20"/>
        </w:rPr>
        <w:t xml:space="preserve">Капиллярный и магнитопорошковый контроль</w:t>
      </w:r>
    </w:p>
    <w:p>
      <w:pPr>
        <w:pStyle w:val="0"/>
        <w:jc w:val="both"/>
      </w:pPr>
      <w:r>
        <w:rPr>
          <w:sz w:val="20"/>
        </w:rPr>
      </w:r>
    </w:p>
    <w:p>
      <w:pPr>
        <w:pStyle w:val="0"/>
        <w:ind w:firstLine="540"/>
        <w:jc w:val="both"/>
      </w:pPr>
      <w:r>
        <w:rPr>
          <w:sz w:val="20"/>
        </w:rPr>
        <w:t xml:space="preserve">4. Контроль капиллярным и магнитопорошковым методом отливок 1 и 2а классов должен проводиться по всей доступной для контроля поверхности, всех остальных отливок - в местах радиусных переходов, а также в местах, указанных в конструкторской документации.</w:t>
      </w:r>
    </w:p>
    <w:p>
      <w:pPr>
        <w:pStyle w:val="0"/>
        <w:spacing w:before="200" w:line-rule="auto"/>
        <w:ind w:firstLine="540"/>
        <w:jc w:val="both"/>
      </w:pPr>
      <w:r>
        <w:rPr>
          <w:sz w:val="20"/>
        </w:rPr>
        <w:t xml:space="preserve">5. Контроль поверхностей отливок из сталей перлитного класса и высокохромистых сталей после дробеструйной обработки должен проводиться только магнитопорошковым методом.</w:t>
      </w:r>
    </w:p>
    <w:p>
      <w:pPr>
        <w:pStyle w:val="0"/>
        <w:spacing w:before="200" w:line-rule="auto"/>
        <w:ind w:firstLine="540"/>
        <w:jc w:val="both"/>
      </w:pPr>
      <w:r>
        <w:rPr>
          <w:sz w:val="20"/>
        </w:rPr>
        <w:t xml:space="preserve">6. Капиллярный и магнитопорошковый контроль отливок должен проводиться после их окончательной термической и механической обработки.</w:t>
      </w:r>
    </w:p>
    <w:p>
      <w:pPr>
        <w:pStyle w:val="0"/>
        <w:jc w:val="both"/>
      </w:pPr>
      <w:r>
        <w:rPr>
          <w:sz w:val="20"/>
        </w:rPr>
      </w:r>
    </w:p>
    <w:p>
      <w:pPr>
        <w:pStyle w:val="2"/>
        <w:outlineLvl w:val="3"/>
        <w:jc w:val="center"/>
      </w:pPr>
      <w:r>
        <w:rPr>
          <w:sz w:val="20"/>
        </w:rPr>
        <w:t xml:space="preserve">Радиографический и ультразвуковой контроль</w:t>
      </w:r>
    </w:p>
    <w:p>
      <w:pPr>
        <w:pStyle w:val="0"/>
        <w:jc w:val="both"/>
      </w:pPr>
      <w:r>
        <w:rPr>
          <w:sz w:val="20"/>
        </w:rPr>
      </w:r>
    </w:p>
    <w:p>
      <w:pPr>
        <w:pStyle w:val="0"/>
        <w:ind w:firstLine="540"/>
        <w:jc w:val="both"/>
      </w:pPr>
      <w:r>
        <w:rPr>
          <w:sz w:val="20"/>
        </w:rPr>
        <w:t xml:space="preserve">7. Отливки 2в, 3а - 3с классов для контроля предъявляются партиями. В каждую партию включаются отливки одной плавки, изготовленные по одному чертежу и прошедшие термическую обработку по одному режиму (с одинаковой скоростью нагрева и охлаждения). Максимальный размер партии не должен превышать двадцати отливок. При размере партии менее пяти отливок для 2в, 3а - 3с классов проводится контроль двух отливок.</w:t>
      </w:r>
    </w:p>
    <w:p>
      <w:pPr>
        <w:pStyle w:val="0"/>
        <w:spacing w:before="200" w:line-rule="auto"/>
        <w:ind w:firstLine="540"/>
        <w:jc w:val="both"/>
      </w:pPr>
      <w:r>
        <w:rPr>
          <w:sz w:val="20"/>
        </w:rPr>
        <w:t xml:space="preserve">8. Радиографический контроль отливок должен проводиться:</w:t>
      </w:r>
    </w:p>
    <w:p>
      <w:pPr>
        <w:pStyle w:val="0"/>
        <w:spacing w:before="200" w:line-rule="auto"/>
        <w:ind w:firstLine="540"/>
        <w:jc w:val="both"/>
      </w:pPr>
      <w:r>
        <w:rPr>
          <w:sz w:val="20"/>
        </w:rPr>
        <w:t xml:space="preserve">а) для отливок 1 и 2а классов - в полном объеме каждой отливки;</w:t>
      </w:r>
    </w:p>
    <w:p>
      <w:pPr>
        <w:pStyle w:val="0"/>
        <w:spacing w:before="200" w:line-rule="auto"/>
        <w:ind w:firstLine="540"/>
        <w:jc w:val="both"/>
      </w:pPr>
      <w:r>
        <w:rPr>
          <w:sz w:val="20"/>
        </w:rPr>
        <w:t xml:space="preserve">б) для отливок 2в класса - в полном объеме каждой контролируемой отливки, но не менее 50% отливок предъявляемой партии;</w:t>
      </w:r>
    </w:p>
    <w:p>
      <w:pPr>
        <w:pStyle w:val="0"/>
        <w:spacing w:before="200" w:line-rule="auto"/>
        <w:ind w:firstLine="540"/>
        <w:jc w:val="both"/>
      </w:pPr>
      <w:r>
        <w:rPr>
          <w:sz w:val="20"/>
        </w:rPr>
        <w:t xml:space="preserve">в) для отливок 3а - 3с класса - в полном объеме каждой контролируемой отливки, но не менее 20% отливок предъявляемой партии;</w:t>
      </w:r>
    </w:p>
    <w:p>
      <w:pPr>
        <w:pStyle w:val="0"/>
        <w:spacing w:before="200" w:line-rule="auto"/>
        <w:ind w:firstLine="540"/>
        <w:jc w:val="both"/>
      </w:pPr>
      <w:r>
        <w:rPr>
          <w:sz w:val="20"/>
        </w:rPr>
        <w:t xml:space="preserve">г) для заготовки электрошлаковой выплавки - объем каждой контролируемой заготовки в соответствии с требованиями конструкторской документации.</w:t>
      </w:r>
    </w:p>
    <w:p>
      <w:pPr>
        <w:pStyle w:val="0"/>
        <w:spacing w:before="200" w:line-rule="auto"/>
        <w:ind w:firstLine="540"/>
        <w:jc w:val="both"/>
      </w:pPr>
      <w:r>
        <w:rPr>
          <w:sz w:val="20"/>
        </w:rPr>
        <w:t xml:space="preserve">9. Ультразвуковой контроль отливок 2в, 3а - 3с классов должен проводиться в местах, указанных в конструкторской документации.</w:t>
      </w:r>
    </w:p>
    <w:p>
      <w:pPr>
        <w:pStyle w:val="0"/>
        <w:spacing w:before="200" w:line-rule="auto"/>
        <w:ind w:firstLine="540"/>
        <w:jc w:val="both"/>
      </w:pPr>
      <w:r>
        <w:rPr>
          <w:sz w:val="20"/>
        </w:rPr>
        <w:t xml:space="preserve">10. В случае обнаружения внутренних несплошностей или включений, размер которых превышает допустимые, хотя бы в одной контролируемой отливке 2в, 3а - 3с классов, контролю подвергаются все отливки предъявляемой партии.</w:t>
      </w:r>
    </w:p>
    <w:bookmarkStart w:id="3416" w:name="P3416"/>
    <w:bookmarkEnd w:id="3416"/>
    <w:p>
      <w:pPr>
        <w:pStyle w:val="0"/>
        <w:spacing w:before="200" w:line-rule="auto"/>
        <w:ind w:firstLine="540"/>
        <w:jc w:val="both"/>
      </w:pPr>
      <w:r>
        <w:rPr>
          <w:sz w:val="20"/>
        </w:rPr>
        <w:t xml:space="preserve">11. Перед проведением радиографического контроля припуск на сторону при окончательной механической обработке допускается оставлять:</w:t>
      </w:r>
    </w:p>
    <w:p>
      <w:pPr>
        <w:pStyle w:val="0"/>
        <w:spacing w:before="200" w:line-rule="auto"/>
        <w:ind w:firstLine="540"/>
        <w:jc w:val="both"/>
      </w:pPr>
      <w:r>
        <w:rPr>
          <w:sz w:val="20"/>
        </w:rPr>
        <w:t xml:space="preserve">а) для стенок толщиной до 10,0 мм включительно - до 2,0 мм;</w:t>
      </w:r>
    </w:p>
    <w:p>
      <w:pPr>
        <w:pStyle w:val="0"/>
        <w:spacing w:before="200" w:line-rule="auto"/>
        <w:ind w:firstLine="540"/>
        <w:jc w:val="both"/>
      </w:pPr>
      <w:r>
        <w:rPr>
          <w:sz w:val="20"/>
        </w:rPr>
        <w:t xml:space="preserve">б) для стенок толщиной более 10,0 до 150,0 мм включительно - не более 20% толщины;</w:t>
      </w:r>
    </w:p>
    <w:p>
      <w:pPr>
        <w:pStyle w:val="0"/>
        <w:spacing w:before="200" w:line-rule="auto"/>
        <w:ind w:firstLine="540"/>
        <w:jc w:val="both"/>
      </w:pPr>
      <w:r>
        <w:rPr>
          <w:sz w:val="20"/>
        </w:rPr>
        <w:t xml:space="preserve">в) для стенок толщиной более 150,0 мм - до 30,0 мм.</w:t>
      </w:r>
    </w:p>
    <w:p>
      <w:pPr>
        <w:pStyle w:val="0"/>
        <w:jc w:val="both"/>
      </w:pPr>
      <w:r>
        <w:rPr>
          <w:sz w:val="20"/>
        </w:rPr>
      </w:r>
    </w:p>
    <w:p>
      <w:pPr>
        <w:pStyle w:val="2"/>
        <w:outlineLvl w:val="2"/>
        <w:jc w:val="center"/>
      </w:pPr>
      <w:r>
        <w:rPr>
          <w:sz w:val="20"/>
        </w:rPr>
        <w:t xml:space="preserve">Нормы оценки качества по результатам</w:t>
      </w:r>
    </w:p>
    <w:p>
      <w:pPr>
        <w:pStyle w:val="2"/>
        <w:jc w:val="center"/>
      </w:pPr>
      <w:r>
        <w:rPr>
          <w:sz w:val="20"/>
        </w:rPr>
        <w:t xml:space="preserve">неразрушающего контроля</w:t>
      </w:r>
    </w:p>
    <w:p>
      <w:pPr>
        <w:pStyle w:val="0"/>
        <w:jc w:val="both"/>
      </w:pPr>
      <w:r>
        <w:rPr>
          <w:sz w:val="20"/>
        </w:rPr>
      </w:r>
    </w:p>
    <w:p>
      <w:pPr>
        <w:pStyle w:val="2"/>
        <w:outlineLvl w:val="3"/>
        <w:jc w:val="center"/>
      </w:pPr>
      <w:r>
        <w:rPr>
          <w:sz w:val="20"/>
        </w:rPr>
        <w:t xml:space="preserve">Визуальный и измерительный контроль</w:t>
      </w:r>
    </w:p>
    <w:p>
      <w:pPr>
        <w:pStyle w:val="0"/>
        <w:jc w:val="both"/>
      </w:pPr>
      <w:r>
        <w:rPr>
          <w:sz w:val="20"/>
        </w:rPr>
      </w:r>
    </w:p>
    <w:p>
      <w:pPr>
        <w:pStyle w:val="0"/>
        <w:ind w:firstLine="540"/>
        <w:jc w:val="both"/>
      </w:pPr>
      <w:r>
        <w:rPr>
          <w:sz w:val="20"/>
        </w:rPr>
        <w:t xml:space="preserve">12. Размеры и масса отливок должны соответствовать конструкторской документации.</w:t>
      </w:r>
    </w:p>
    <w:p>
      <w:pPr>
        <w:pStyle w:val="0"/>
        <w:spacing w:before="200" w:line-rule="auto"/>
        <w:ind w:firstLine="540"/>
        <w:jc w:val="both"/>
      </w:pPr>
      <w:r>
        <w:rPr>
          <w:sz w:val="20"/>
        </w:rPr>
        <w:t xml:space="preserve">13. Оценка качества механически не обрабатываемых поверхностей отливок должна выполняться по эталонам качества поверхности.</w:t>
      </w:r>
    </w:p>
    <w:p>
      <w:pPr>
        <w:pStyle w:val="0"/>
        <w:spacing w:before="200" w:line-rule="auto"/>
        <w:ind w:firstLine="540"/>
        <w:jc w:val="both"/>
      </w:pPr>
      <w:r>
        <w:rPr>
          <w:sz w:val="20"/>
        </w:rPr>
        <w:t xml:space="preserve">14. На поверхности отливки или ее части, служащей эталоном качества поверхности, не допускаются: пригар, песчаные и шлаковые включения, поверхностные складки, плены, трещины, несглаженные насечки от зубил.</w:t>
      </w:r>
    </w:p>
    <w:bookmarkStart w:id="3429" w:name="P3429"/>
    <w:bookmarkEnd w:id="3429"/>
    <w:p>
      <w:pPr>
        <w:pStyle w:val="0"/>
        <w:spacing w:before="200" w:line-rule="auto"/>
        <w:ind w:firstLine="540"/>
        <w:jc w:val="both"/>
      </w:pPr>
      <w:r>
        <w:rPr>
          <w:sz w:val="20"/>
        </w:rPr>
        <w:t xml:space="preserve">15. На механически не обрабатываемой поверхности отдельных труднодоступных мест отливки, в том числе зоны под седлами клапанов, задвижек, узкие спиральные каналы в корпусах насосов, допускается наличие отдельных участков с плотно приставшим металлизированным пригаром. Размеры таких участков должны быть приведены в конструкторской документации.</w:t>
      </w:r>
    </w:p>
    <w:p>
      <w:pPr>
        <w:pStyle w:val="0"/>
        <w:spacing w:before="200" w:line-rule="auto"/>
        <w:ind w:firstLine="540"/>
        <w:jc w:val="both"/>
      </w:pPr>
      <w:r>
        <w:rPr>
          <w:sz w:val="20"/>
        </w:rPr>
        <w:t xml:space="preserve">16. На механически не обрабатываемой внутренней поверхности отливки, соприкасающейся с рабочей средой и не подвергаемой капиллярному контролю, не допускается наличие пригара (кроме случаев, указанных в </w:t>
      </w:r>
      <w:hyperlink w:history="0" w:anchor="P3429" w:tooltip="15. На механически не обрабатываемой поверхности отдельных труднодоступных мест отливки, в том числе зоны под седлами клапанов, задвижек, узкие спиральные каналы в корпусах насосов, допускается наличие отдельных участков с плотно приставшим металлизированным пригаром. Размеры таких участков должны быть приведены в конструкторской документации.">
        <w:r>
          <w:rPr>
            <w:sz w:val="20"/>
            <w:color w:val="0000ff"/>
          </w:rPr>
          <w:t xml:space="preserve">пункте 15</w:t>
        </w:r>
      </w:hyperlink>
      <w:r>
        <w:rPr>
          <w:sz w:val="20"/>
        </w:rPr>
        <w:t xml:space="preserve"> настоящего приложения), песчаных и шлаковых включений, трещин, плен, пористой поверхности, несглаженных насечек.</w:t>
      </w:r>
    </w:p>
    <w:p>
      <w:pPr>
        <w:pStyle w:val="0"/>
        <w:spacing w:before="200" w:line-rule="auto"/>
        <w:ind w:firstLine="540"/>
        <w:jc w:val="both"/>
      </w:pPr>
      <w:r>
        <w:rPr>
          <w:sz w:val="20"/>
        </w:rPr>
        <w:t xml:space="preserve">17. Допускаются рассредоточенные чистые раковины размером не более 2,0 мм в количестве не более трех на площади размером 100,0 см</w:t>
      </w:r>
      <w:r>
        <w:rPr>
          <w:sz w:val="20"/>
          <w:vertAlign w:val="superscript"/>
        </w:rPr>
        <w:t xml:space="preserve">2</w:t>
      </w:r>
      <w:r>
        <w:rPr>
          <w:sz w:val="20"/>
        </w:rPr>
        <w:t xml:space="preserve"> при расстоянии между ними не менее 10,0 мм.</w:t>
      </w:r>
    </w:p>
    <w:p>
      <w:pPr>
        <w:pStyle w:val="0"/>
        <w:spacing w:before="200" w:line-rule="auto"/>
        <w:ind w:firstLine="540"/>
        <w:jc w:val="both"/>
      </w:pPr>
      <w:r>
        <w:rPr>
          <w:sz w:val="20"/>
        </w:rPr>
        <w:t xml:space="preserve">18. На остальных механически не обрабатываемых поверхностях, не подвергающихся капиллярному контролю, допускаются без исправления отдельные чистые раковины размером не более 4,0 мм и глубиной не более 15% толщины стенки отливки, но не более трех штук на площади 100,0 см</w:t>
      </w:r>
      <w:r>
        <w:rPr>
          <w:sz w:val="20"/>
          <w:vertAlign w:val="superscript"/>
        </w:rPr>
        <w:t xml:space="preserve">2</w:t>
      </w:r>
      <w:r>
        <w:rPr>
          <w:sz w:val="20"/>
        </w:rPr>
        <w:t xml:space="preserve">, и сглаженные насечки от зубил.</w:t>
      </w:r>
    </w:p>
    <w:p>
      <w:pPr>
        <w:pStyle w:val="0"/>
        <w:spacing w:before="200" w:line-rule="auto"/>
        <w:ind w:firstLine="540"/>
        <w:jc w:val="both"/>
      </w:pPr>
      <w:r>
        <w:rPr>
          <w:sz w:val="20"/>
        </w:rPr>
        <w:t xml:space="preserve">19. Нормы оценки качества по результатам визуального и измерительного контроля приведены в таблице N 8.3 настоящего приложения.</w:t>
      </w:r>
    </w:p>
    <w:p>
      <w:pPr>
        <w:pStyle w:val="0"/>
        <w:jc w:val="both"/>
      </w:pPr>
      <w:r>
        <w:rPr>
          <w:sz w:val="20"/>
        </w:rPr>
      </w:r>
    </w:p>
    <w:bookmarkStart w:id="3435" w:name="P3435"/>
    <w:bookmarkEnd w:id="3435"/>
    <w:p>
      <w:pPr>
        <w:pStyle w:val="0"/>
        <w:outlineLvl w:val="4"/>
        <w:jc w:val="right"/>
      </w:pPr>
      <w:r>
        <w:rPr>
          <w:sz w:val="20"/>
        </w:rPr>
        <w:t xml:space="preserve">Таблица N 8.3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17"/>
        <w:gridCol w:w="2261"/>
        <w:gridCol w:w="2891"/>
      </w:tblGrid>
      <w:tr>
        <w:tc>
          <w:tcPr>
            <w:tcW w:w="3917" w:type="dxa"/>
          </w:tcPr>
          <w:p>
            <w:pPr>
              <w:pStyle w:val="0"/>
              <w:jc w:val="center"/>
            </w:pPr>
            <w:r>
              <w:rPr>
                <w:sz w:val="20"/>
              </w:rPr>
              <w:t xml:space="preserve">Толщина контролируемых элементов заготовок, мм</w:t>
            </w:r>
          </w:p>
        </w:tc>
        <w:tc>
          <w:tcPr>
            <w:tcW w:w="2261" w:type="dxa"/>
          </w:tcPr>
          <w:p>
            <w:pPr>
              <w:pStyle w:val="0"/>
              <w:jc w:val="center"/>
            </w:pPr>
            <w:r>
              <w:rPr>
                <w:sz w:val="20"/>
              </w:rPr>
              <w:t xml:space="preserve">Максимально допустимый размер несплошности, мм</w:t>
            </w:r>
          </w:p>
        </w:tc>
        <w:tc>
          <w:tcPr>
            <w:tcW w:w="2891" w:type="dxa"/>
          </w:tcPr>
          <w:p>
            <w:pPr>
              <w:pStyle w:val="0"/>
              <w:jc w:val="center"/>
            </w:pPr>
            <w:r>
              <w:rPr>
                <w:sz w:val="20"/>
              </w:rPr>
              <w:t xml:space="preserve">Максимально допустимое количество несплошностей на любом прямоугольном участке поверхности площадью 40,0 см</w:t>
            </w:r>
            <w:r>
              <w:rPr>
                <w:sz w:val="20"/>
                <w:vertAlign w:val="superscript"/>
              </w:rPr>
              <w:t xml:space="preserve">2</w:t>
            </w:r>
            <w:r>
              <w:rPr>
                <w:sz w:val="20"/>
              </w:rPr>
              <w:t xml:space="preserve"> со стороной не более 150,0 мм</w:t>
            </w:r>
          </w:p>
        </w:tc>
      </w:tr>
      <w:tr>
        <w:tc>
          <w:tcPr>
            <w:tcW w:w="3917" w:type="dxa"/>
            <w:vAlign w:val="center"/>
          </w:tcPr>
          <w:p>
            <w:pPr>
              <w:pStyle w:val="0"/>
              <w:jc w:val="center"/>
            </w:pPr>
            <w:r>
              <w:rPr>
                <w:sz w:val="20"/>
              </w:rPr>
              <w:t xml:space="preserve">До 25,0 включительно</w:t>
            </w:r>
          </w:p>
        </w:tc>
        <w:tc>
          <w:tcPr>
            <w:tcW w:w="2261" w:type="dxa"/>
            <w:vAlign w:val="center"/>
          </w:tcPr>
          <w:p>
            <w:pPr>
              <w:pStyle w:val="0"/>
              <w:jc w:val="center"/>
            </w:pPr>
            <w:r>
              <w:rPr>
                <w:sz w:val="20"/>
              </w:rPr>
              <w:t xml:space="preserve">1,0</w:t>
            </w:r>
          </w:p>
        </w:tc>
        <w:tc>
          <w:tcPr>
            <w:tcW w:w="2891" w:type="dxa"/>
            <w:vAlign w:val="center"/>
          </w:tcPr>
          <w:p>
            <w:pPr>
              <w:pStyle w:val="0"/>
              <w:jc w:val="center"/>
            </w:pPr>
            <w:r>
              <w:rPr>
                <w:sz w:val="20"/>
              </w:rPr>
              <w:t xml:space="preserve">3</w:t>
            </w:r>
          </w:p>
        </w:tc>
      </w:tr>
      <w:tr>
        <w:tc>
          <w:tcPr>
            <w:tcW w:w="3917" w:type="dxa"/>
            <w:vAlign w:val="center"/>
          </w:tcPr>
          <w:p>
            <w:pPr>
              <w:pStyle w:val="0"/>
              <w:jc w:val="center"/>
            </w:pPr>
            <w:r>
              <w:rPr>
                <w:sz w:val="20"/>
              </w:rPr>
              <w:t xml:space="preserve">Более 25,0 до 50,0 включительно</w:t>
            </w:r>
          </w:p>
        </w:tc>
        <w:tc>
          <w:tcPr>
            <w:tcW w:w="2261" w:type="dxa"/>
            <w:vAlign w:val="center"/>
          </w:tcPr>
          <w:p>
            <w:pPr>
              <w:pStyle w:val="0"/>
              <w:jc w:val="center"/>
            </w:pPr>
            <w:r>
              <w:rPr>
                <w:sz w:val="20"/>
              </w:rPr>
              <w:t xml:space="preserve">1,5</w:t>
            </w:r>
          </w:p>
        </w:tc>
        <w:tc>
          <w:tcPr>
            <w:tcW w:w="2891" w:type="dxa"/>
            <w:vAlign w:val="center"/>
          </w:tcPr>
          <w:p>
            <w:pPr>
              <w:pStyle w:val="0"/>
              <w:jc w:val="center"/>
            </w:pPr>
            <w:r>
              <w:rPr>
                <w:sz w:val="20"/>
              </w:rPr>
              <w:t xml:space="preserve">4</w:t>
            </w:r>
          </w:p>
        </w:tc>
      </w:tr>
      <w:tr>
        <w:tc>
          <w:tcPr>
            <w:tcW w:w="3917" w:type="dxa"/>
            <w:vAlign w:val="center"/>
          </w:tcPr>
          <w:p>
            <w:pPr>
              <w:pStyle w:val="0"/>
              <w:jc w:val="center"/>
            </w:pPr>
            <w:r>
              <w:rPr>
                <w:sz w:val="20"/>
              </w:rPr>
              <w:t xml:space="preserve">Более 50,0 до 100,0 включительно</w:t>
            </w:r>
          </w:p>
        </w:tc>
        <w:tc>
          <w:tcPr>
            <w:tcW w:w="2261" w:type="dxa"/>
            <w:vAlign w:val="center"/>
          </w:tcPr>
          <w:p>
            <w:pPr>
              <w:pStyle w:val="0"/>
              <w:jc w:val="center"/>
            </w:pPr>
            <w:r>
              <w:rPr>
                <w:sz w:val="20"/>
              </w:rPr>
              <w:t xml:space="preserve">1,5</w:t>
            </w:r>
          </w:p>
        </w:tc>
        <w:tc>
          <w:tcPr>
            <w:tcW w:w="2891" w:type="dxa"/>
            <w:vAlign w:val="center"/>
          </w:tcPr>
          <w:p>
            <w:pPr>
              <w:pStyle w:val="0"/>
              <w:jc w:val="center"/>
            </w:pPr>
            <w:r>
              <w:rPr>
                <w:sz w:val="20"/>
              </w:rPr>
              <w:t xml:space="preserve">5</w:t>
            </w:r>
          </w:p>
        </w:tc>
      </w:tr>
      <w:tr>
        <w:tc>
          <w:tcPr>
            <w:tcW w:w="3917" w:type="dxa"/>
            <w:vAlign w:val="center"/>
          </w:tcPr>
          <w:p>
            <w:pPr>
              <w:pStyle w:val="0"/>
              <w:jc w:val="center"/>
            </w:pPr>
            <w:r>
              <w:rPr>
                <w:sz w:val="20"/>
              </w:rPr>
              <w:t xml:space="preserve">Более 100,0 до 300,0 включительно</w:t>
            </w:r>
          </w:p>
        </w:tc>
        <w:tc>
          <w:tcPr>
            <w:tcW w:w="2261" w:type="dxa"/>
            <w:vAlign w:val="center"/>
          </w:tcPr>
          <w:p>
            <w:pPr>
              <w:pStyle w:val="0"/>
              <w:jc w:val="center"/>
            </w:pPr>
            <w:r>
              <w:rPr>
                <w:sz w:val="20"/>
              </w:rPr>
              <w:t xml:space="preserve">2,0</w:t>
            </w:r>
          </w:p>
        </w:tc>
        <w:tc>
          <w:tcPr>
            <w:tcW w:w="2891" w:type="dxa"/>
            <w:vAlign w:val="center"/>
          </w:tcPr>
          <w:p>
            <w:pPr>
              <w:pStyle w:val="0"/>
              <w:jc w:val="center"/>
            </w:pPr>
            <w:r>
              <w:rPr>
                <w:sz w:val="20"/>
              </w:rPr>
              <w:t xml:space="preserve">6</w:t>
            </w:r>
          </w:p>
        </w:tc>
      </w:tr>
      <w:tr>
        <w:tc>
          <w:tcPr>
            <w:tcW w:w="3917" w:type="dxa"/>
            <w:vAlign w:val="center"/>
          </w:tcPr>
          <w:p>
            <w:pPr>
              <w:pStyle w:val="0"/>
              <w:jc w:val="center"/>
            </w:pPr>
            <w:r>
              <w:rPr>
                <w:sz w:val="20"/>
              </w:rPr>
              <w:t xml:space="preserve">Более 300,0</w:t>
            </w:r>
          </w:p>
        </w:tc>
        <w:tc>
          <w:tcPr>
            <w:tcW w:w="2261" w:type="dxa"/>
            <w:vAlign w:val="center"/>
          </w:tcPr>
          <w:p>
            <w:pPr>
              <w:pStyle w:val="0"/>
              <w:jc w:val="center"/>
            </w:pPr>
            <w:r>
              <w:rPr>
                <w:sz w:val="20"/>
              </w:rPr>
              <w:t xml:space="preserve">2,0</w:t>
            </w:r>
          </w:p>
        </w:tc>
        <w:tc>
          <w:tcPr>
            <w:tcW w:w="2891" w:type="dxa"/>
            <w:vAlign w:val="center"/>
          </w:tcPr>
          <w:p>
            <w:pPr>
              <w:pStyle w:val="0"/>
              <w:jc w:val="center"/>
            </w:pPr>
            <w:r>
              <w:rPr>
                <w:sz w:val="20"/>
              </w:rPr>
              <w:t xml:space="preserve">7</w:t>
            </w:r>
          </w:p>
        </w:tc>
      </w:tr>
      <w:tr>
        <w:tc>
          <w:tcPr>
            <w:gridSpan w:val="3"/>
            <w:tcW w:w="9069" w:type="dxa"/>
          </w:tcPr>
          <w:p>
            <w:pPr>
              <w:pStyle w:val="0"/>
            </w:pPr>
            <w:r>
              <w:rPr>
                <w:sz w:val="20"/>
              </w:rPr>
              <w:t xml:space="preserve">Примечание. Несплошности размером до 0,5 мм не учитываются.</w:t>
            </w:r>
          </w:p>
        </w:tc>
      </w:tr>
    </w:tbl>
    <w:p>
      <w:pPr>
        <w:pStyle w:val="0"/>
        <w:jc w:val="both"/>
      </w:pPr>
      <w:r>
        <w:rPr>
          <w:sz w:val="20"/>
        </w:rPr>
      </w:r>
    </w:p>
    <w:p>
      <w:pPr>
        <w:pStyle w:val="0"/>
        <w:ind w:firstLine="540"/>
        <w:jc w:val="both"/>
      </w:pPr>
      <w:r>
        <w:rPr>
          <w:sz w:val="20"/>
        </w:rPr>
        <w:t xml:space="preserve">20. На механически не обрабатываемой поверхности заготовок электрошлаковой выплавки допускаются без исправления при проведении визуального контроля несплошности (кроме трещин, надрывов, наплывов, несплавлений) округлой или удлиненной формы, размеры которых не превышают указанных в </w:t>
      </w:r>
      <w:hyperlink w:history="0" w:anchor="P3435" w:tooltip="Таблица N 8.3">
        <w:r>
          <w:rPr>
            <w:sz w:val="20"/>
            <w:color w:val="0000ff"/>
          </w:rPr>
          <w:t xml:space="preserve">таблице N 8.3</w:t>
        </w:r>
      </w:hyperlink>
      <w:r>
        <w:rPr>
          <w:sz w:val="20"/>
        </w:rPr>
        <w:t xml:space="preserve"> настоящего приложения, а также неровности, выступы, впадины высотой или глубиной не более 3,0 мм.</w:t>
      </w:r>
    </w:p>
    <w:p>
      <w:pPr>
        <w:pStyle w:val="0"/>
        <w:spacing w:before="200" w:line-rule="auto"/>
        <w:ind w:firstLine="540"/>
        <w:jc w:val="both"/>
      </w:pPr>
      <w:r>
        <w:rPr>
          <w:sz w:val="20"/>
        </w:rPr>
        <w:t xml:space="preserve">21. На резьбовых поверхностях литых деталей в случаях, не указанных в конструкторской документации, допускаются без исправления видимые невооруженным глазом единичные несплошности (кроме трещин) размером не более одного шага резьбы, протяженностью не более 2,0 мм. Несплошности, расположенные ближе, чем через две нити, не допускаются.</w:t>
      </w:r>
    </w:p>
    <w:p>
      <w:pPr>
        <w:pStyle w:val="0"/>
        <w:jc w:val="both"/>
      </w:pPr>
      <w:r>
        <w:rPr>
          <w:sz w:val="20"/>
        </w:rPr>
      </w:r>
    </w:p>
    <w:p>
      <w:pPr>
        <w:pStyle w:val="2"/>
        <w:outlineLvl w:val="2"/>
        <w:jc w:val="center"/>
      </w:pPr>
      <w:r>
        <w:rPr>
          <w:sz w:val="20"/>
        </w:rPr>
        <w:t xml:space="preserve">Капиллярный и магнитопорошковый контроль</w:t>
      </w:r>
    </w:p>
    <w:p>
      <w:pPr>
        <w:pStyle w:val="0"/>
        <w:jc w:val="both"/>
      </w:pPr>
      <w:r>
        <w:rPr>
          <w:sz w:val="20"/>
        </w:rPr>
      </w:r>
    </w:p>
    <w:p>
      <w:pPr>
        <w:pStyle w:val="0"/>
        <w:ind w:firstLine="540"/>
        <w:jc w:val="both"/>
      </w:pPr>
      <w:r>
        <w:rPr>
          <w:sz w:val="20"/>
        </w:rPr>
        <w:t xml:space="preserve">22. Наличие несплошностей на поверхности отливок, контролируемых капиллярным или магнитопорошковым методами, определяется по индикаторным следам.</w:t>
      </w:r>
    </w:p>
    <w:p>
      <w:pPr>
        <w:pStyle w:val="0"/>
        <w:spacing w:before="200" w:line-rule="auto"/>
        <w:ind w:firstLine="540"/>
        <w:jc w:val="both"/>
      </w:pPr>
      <w:r>
        <w:rPr>
          <w:sz w:val="20"/>
        </w:rPr>
        <w:t xml:space="preserve">23. Индикаторные следы размером менее 1,0 мм не учитываются.</w:t>
      </w:r>
    </w:p>
    <w:p>
      <w:pPr>
        <w:pStyle w:val="0"/>
        <w:spacing w:before="200" w:line-rule="auto"/>
        <w:ind w:firstLine="540"/>
        <w:jc w:val="both"/>
      </w:pPr>
      <w:r>
        <w:rPr>
          <w:sz w:val="20"/>
        </w:rPr>
        <w:t xml:space="preserve">24. Не допускаются:</w:t>
      </w:r>
    </w:p>
    <w:p>
      <w:pPr>
        <w:pStyle w:val="0"/>
        <w:spacing w:before="200" w:line-rule="auto"/>
        <w:ind w:firstLine="540"/>
        <w:jc w:val="both"/>
      </w:pPr>
      <w:r>
        <w:rPr>
          <w:sz w:val="20"/>
        </w:rPr>
        <w:t xml:space="preserve">а) трещины;</w:t>
      </w:r>
    </w:p>
    <w:p>
      <w:pPr>
        <w:pStyle w:val="0"/>
        <w:spacing w:before="200" w:line-rule="auto"/>
        <w:ind w:firstLine="540"/>
        <w:jc w:val="both"/>
      </w:pPr>
      <w:r>
        <w:rPr>
          <w:sz w:val="20"/>
        </w:rPr>
        <w:t xml:space="preserve">б) любые линейные индикаторные следы размером более 10% от суммарной величины толщины стенки отливки плюс 1,0 мм - для стенки толщиной до 20,0 мм;</w:t>
      </w:r>
    </w:p>
    <w:p>
      <w:pPr>
        <w:pStyle w:val="0"/>
        <w:spacing w:before="200" w:line-rule="auto"/>
        <w:ind w:firstLine="540"/>
        <w:jc w:val="both"/>
      </w:pPr>
      <w:r>
        <w:rPr>
          <w:sz w:val="20"/>
        </w:rPr>
        <w:t xml:space="preserve">в) любые линейные индикаторные следы размером более 3,0 + 0,05 (S - 20,0) мм - для стенки толщиной 20,0 - 60,0 мм;</w:t>
      </w:r>
    </w:p>
    <w:p>
      <w:pPr>
        <w:pStyle w:val="0"/>
        <w:spacing w:before="200" w:line-rule="auto"/>
        <w:ind w:firstLine="540"/>
        <w:jc w:val="both"/>
      </w:pPr>
      <w:r>
        <w:rPr>
          <w:sz w:val="20"/>
        </w:rPr>
        <w:t xml:space="preserve">г) любые линейные индикаторные следы размером более 5,0 мм - для стенки толщиной более 60,0 мм;</w:t>
      </w:r>
    </w:p>
    <w:p>
      <w:pPr>
        <w:pStyle w:val="0"/>
        <w:spacing w:before="200" w:line-rule="auto"/>
        <w:ind w:firstLine="540"/>
        <w:jc w:val="both"/>
      </w:pPr>
      <w:r>
        <w:rPr>
          <w:sz w:val="20"/>
        </w:rPr>
        <w:t xml:space="preserve">д) любые округлые индикаторные следы размером более 30% толщины стенки отливки - для стенки толщиной до 15,0 мм включительно;</w:t>
      </w:r>
    </w:p>
    <w:p>
      <w:pPr>
        <w:pStyle w:val="0"/>
        <w:spacing w:before="200" w:line-rule="auto"/>
        <w:ind w:firstLine="540"/>
        <w:jc w:val="both"/>
      </w:pPr>
      <w:r>
        <w:rPr>
          <w:sz w:val="20"/>
        </w:rPr>
        <w:t xml:space="preserve">е) любые округлые индикаторные следы размером 5,0 мм - для толщины стенки более 15,0 мм;</w:t>
      </w:r>
    </w:p>
    <w:p>
      <w:pPr>
        <w:pStyle w:val="0"/>
        <w:spacing w:before="200" w:line-rule="auto"/>
        <w:ind w:firstLine="540"/>
        <w:jc w:val="both"/>
      </w:pPr>
      <w:r>
        <w:rPr>
          <w:sz w:val="20"/>
        </w:rPr>
        <w:t xml:space="preserve">ж) более трех индикаторных следов, расположенных на одной линии на расстоянии менее 2,0 мм друг от друга (расстояние измеряется по ближайшим кромкам индикаторных следов);</w:t>
      </w:r>
    </w:p>
    <w:p>
      <w:pPr>
        <w:pStyle w:val="0"/>
        <w:spacing w:before="200" w:line-rule="auto"/>
        <w:ind w:firstLine="540"/>
        <w:jc w:val="both"/>
      </w:pPr>
      <w:r>
        <w:rPr>
          <w:sz w:val="20"/>
        </w:rPr>
        <w:t xml:space="preserve">з) более девяти индикаторных следов в любом прямоугольнике площадью 40,0 см</w:t>
      </w:r>
      <w:r>
        <w:rPr>
          <w:sz w:val="20"/>
          <w:vertAlign w:val="superscript"/>
        </w:rPr>
        <w:t xml:space="preserve">2</w:t>
      </w:r>
      <w:r>
        <w:rPr>
          <w:sz w:val="20"/>
        </w:rPr>
        <w:t xml:space="preserve">, наибольший размер которого не превышает 150,0 мм.</w:t>
      </w:r>
    </w:p>
    <w:p>
      <w:pPr>
        <w:pStyle w:val="0"/>
        <w:spacing w:before="200" w:line-rule="auto"/>
        <w:ind w:firstLine="540"/>
        <w:jc w:val="both"/>
      </w:pPr>
      <w:r>
        <w:rPr>
          <w:sz w:val="20"/>
        </w:rPr>
        <w:t xml:space="preserve">Линейными считаются индикаторные следы, длина которых в три и более раз превышает ширину, а под длиной и шириной понимаются размеры прямоугольника с наибольшим отношением длины к ширине, в который может быть вписан данный индикаторный след.</w:t>
      </w:r>
    </w:p>
    <w:p>
      <w:pPr>
        <w:pStyle w:val="0"/>
        <w:spacing w:before="200" w:line-rule="auto"/>
        <w:ind w:firstLine="540"/>
        <w:jc w:val="both"/>
      </w:pPr>
      <w:r>
        <w:rPr>
          <w:sz w:val="20"/>
        </w:rPr>
        <w:t xml:space="preserve">25. На окончательно обработанных уплотнительных поверхностях несплошности, индикаторные следы которых имеют размер более 1,0 мм, допускаются при наличии требований в конструкторской документации.</w:t>
      </w:r>
    </w:p>
    <w:p>
      <w:pPr>
        <w:pStyle w:val="0"/>
        <w:spacing w:before="200" w:line-rule="auto"/>
        <w:ind w:firstLine="540"/>
        <w:jc w:val="both"/>
      </w:pPr>
      <w:r>
        <w:rPr>
          <w:sz w:val="20"/>
        </w:rPr>
        <w:t xml:space="preserve">26. Отливки, которые имеют газовую (ситовидную) пористость, не допускаются к исправлению и бракуются.</w:t>
      </w:r>
    </w:p>
    <w:p>
      <w:pPr>
        <w:pStyle w:val="0"/>
        <w:jc w:val="both"/>
      </w:pPr>
      <w:r>
        <w:rPr>
          <w:sz w:val="20"/>
        </w:rPr>
      </w:r>
    </w:p>
    <w:p>
      <w:pPr>
        <w:pStyle w:val="2"/>
        <w:outlineLvl w:val="2"/>
        <w:jc w:val="center"/>
      </w:pPr>
      <w:r>
        <w:rPr>
          <w:sz w:val="20"/>
        </w:rPr>
        <w:t xml:space="preserve">Ультразвуковой контроль</w:t>
      </w:r>
    </w:p>
    <w:p>
      <w:pPr>
        <w:pStyle w:val="0"/>
        <w:jc w:val="both"/>
      </w:pPr>
      <w:r>
        <w:rPr>
          <w:sz w:val="20"/>
        </w:rPr>
      </w:r>
    </w:p>
    <w:bookmarkStart w:id="3479" w:name="P3479"/>
    <w:bookmarkEnd w:id="3479"/>
    <w:p>
      <w:pPr>
        <w:pStyle w:val="0"/>
        <w:ind w:firstLine="540"/>
        <w:jc w:val="both"/>
      </w:pPr>
      <w:r>
        <w:rPr>
          <w:sz w:val="20"/>
        </w:rPr>
        <w:t xml:space="preserve">27. Нормы оценки качества по результатам ультразвукового контроля отливок приведены в таблице N 8.4 настоящего приложения.</w:t>
      </w:r>
    </w:p>
    <w:p>
      <w:pPr>
        <w:pStyle w:val="0"/>
        <w:jc w:val="both"/>
      </w:pPr>
      <w:r>
        <w:rPr>
          <w:sz w:val="20"/>
        </w:rPr>
      </w:r>
    </w:p>
    <w:bookmarkStart w:id="3481" w:name="P3481"/>
    <w:bookmarkEnd w:id="3481"/>
    <w:p>
      <w:pPr>
        <w:pStyle w:val="0"/>
        <w:outlineLvl w:val="3"/>
        <w:jc w:val="right"/>
      </w:pPr>
      <w:r>
        <w:rPr>
          <w:sz w:val="20"/>
        </w:rPr>
        <w:t xml:space="preserve">Таблица N 8.4</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061"/>
        <w:gridCol w:w="994"/>
        <w:gridCol w:w="1757"/>
        <w:gridCol w:w="706"/>
        <w:gridCol w:w="850"/>
        <w:gridCol w:w="845"/>
        <w:gridCol w:w="854"/>
      </w:tblGrid>
      <w:tr>
        <w:tc>
          <w:tcPr>
            <w:tcW w:w="3061" w:type="dxa"/>
            <w:vMerge w:val="restart"/>
          </w:tcPr>
          <w:p>
            <w:pPr>
              <w:pStyle w:val="0"/>
              <w:jc w:val="center"/>
            </w:pPr>
            <w:r>
              <w:rPr>
                <w:sz w:val="20"/>
              </w:rPr>
              <w:t xml:space="preserve">Толщина стенки отливки, мм</w:t>
            </w:r>
          </w:p>
        </w:tc>
        <w:tc>
          <w:tcPr>
            <w:tcW w:w="994" w:type="dxa"/>
            <w:vMerge w:val="restart"/>
          </w:tcPr>
          <w:p>
            <w:pPr>
              <w:pStyle w:val="0"/>
              <w:jc w:val="center"/>
            </w:pPr>
            <w:r>
              <w:rPr>
                <w:sz w:val="20"/>
              </w:rPr>
              <w:t xml:space="preserve">Уровень фиксации, мм</w:t>
            </w:r>
            <w:r>
              <w:rPr>
                <w:sz w:val="20"/>
                <w:vertAlign w:val="superscript"/>
              </w:rPr>
              <w:t xml:space="preserve">2</w:t>
            </w:r>
          </w:p>
        </w:tc>
        <w:tc>
          <w:tcPr>
            <w:tcW w:w="1757" w:type="dxa"/>
            <w:vMerge w:val="restart"/>
          </w:tcPr>
          <w:p>
            <w:pPr>
              <w:pStyle w:val="0"/>
              <w:jc w:val="center"/>
            </w:pPr>
            <w:r>
              <w:rPr>
                <w:sz w:val="20"/>
              </w:rPr>
              <w:t xml:space="preserve">Наибольшая эквивалентная площадь одиночной несплошности, мм</w:t>
            </w:r>
            <w:r>
              <w:rPr>
                <w:sz w:val="20"/>
                <w:vertAlign w:val="superscript"/>
              </w:rPr>
              <w:t xml:space="preserve">2</w:t>
            </w:r>
          </w:p>
        </w:tc>
        <w:tc>
          <w:tcPr>
            <w:gridSpan w:val="2"/>
            <w:tcW w:w="1556" w:type="dxa"/>
          </w:tcPr>
          <w:p>
            <w:pPr>
              <w:pStyle w:val="0"/>
              <w:jc w:val="center"/>
            </w:pPr>
            <w:r>
              <w:rPr>
                <w:sz w:val="20"/>
              </w:rPr>
              <w:t xml:space="preserve">Количество несплошностей, шт</w:t>
            </w:r>
          </w:p>
        </w:tc>
        <w:tc>
          <w:tcPr>
            <w:gridSpan w:val="2"/>
            <w:tcW w:w="1699" w:type="dxa"/>
          </w:tcPr>
          <w:p>
            <w:pPr>
              <w:pStyle w:val="0"/>
              <w:jc w:val="center"/>
            </w:pPr>
            <w:r>
              <w:rPr>
                <w:sz w:val="20"/>
              </w:rPr>
              <w:t xml:space="preserve">Минимальное расстояние между одиночными несплошностями, мм</w:t>
            </w:r>
          </w:p>
        </w:tc>
      </w:tr>
      <w:tr>
        <w:tc>
          <w:tcPr>
            <w:vMerge w:val="continue"/>
          </w:tcPr>
          <w:p/>
        </w:tc>
        <w:tc>
          <w:tcPr>
            <w:vMerge w:val="continue"/>
          </w:tcPr>
          <w:p/>
        </w:tc>
        <w:tc>
          <w:tcPr>
            <w:vMerge w:val="continue"/>
          </w:tcPr>
          <w:p/>
        </w:tc>
        <w:tc>
          <w:tcPr>
            <w:gridSpan w:val="4"/>
            <w:tcW w:w="3255" w:type="dxa"/>
          </w:tcPr>
          <w:p>
            <w:pPr>
              <w:pStyle w:val="0"/>
              <w:jc w:val="center"/>
            </w:pPr>
            <w:r>
              <w:rPr>
                <w:sz w:val="20"/>
              </w:rPr>
              <w:t xml:space="preserve">класс отливки</w:t>
            </w:r>
          </w:p>
        </w:tc>
      </w:tr>
      <w:tr>
        <w:tc>
          <w:tcPr>
            <w:vMerge w:val="continue"/>
          </w:tcPr>
          <w:p/>
        </w:tc>
        <w:tc>
          <w:tcPr>
            <w:vMerge w:val="continue"/>
          </w:tcPr>
          <w:p/>
        </w:tc>
        <w:tc>
          <w:tcPr>
            <w:vMerge w:val="continue"/>
          </w:tcPr>
          <w:p/>
        </w:tc>
        <w:tc>
          <w:tcPr>
            <w:tcW w:w="706" w:type="dxa"/>
          </w:tcPr>
          <w:p>
            <w:pPr>
              <w:pStyle w:val="0"/>
              <w:jc w:val="center"/>
            </w:pPr>
            <w:r>
              <w:rPr>
                <w:sz w:val="20"/>
              </w:rPr>
              <w:t xml:space="preserve">1, 2а</w:t>
            </w:r>
          </w:p>
        </w:tc>
        <w:tc>
          <w:tcPr>
            <w:tcW w:w="850" w:type="dxa"/>
          </w:tcPr>
          <w:p>
            <w:pPr>
              <w:pStyle w:val="0"/>
              <w:jc w:val="center"/>
            </w:pPr>
            <w:r>
              <w:rPr>
                <w:sz w:val="20"/>
              </w:rPr>
              <w:t xml:space="preserve">2в, 3</w:t>
            </w:r>
          </w:p>
        </w:tc>
        <w:tc>
          <w:tcPr>
            <w:tcW w:w="845" w:type="dxa"/>
          </w:tcPr>
          <w:p>
            <w:pPr>
              <w:pStyle w:val="0"/>
              <w:jc w:val="center"/>
            </w:pPr>
            <w:r>
              <w:rPr>
                <w:sz w:val="20"/>
              </w:rPr>
              <w:t xml:space="preserve">1, 2а</w:t>
            </w:r>
          </w:p>
        </w:tc>
        <w:tc>
          <w:tcPr>
            <w:tcW w:w="854" w:type="dxa"/>
          </w:tcPr>
          <w:p>
            <w:pPr>
              <w:pStyle w:val="0"/>
              <w:jc w:val="center"/>
            </w:pPr>
            <w:r>
              <w:rPr>
                <w:sz w:val="20"/>
              </w:rPr>
              <w:t xml:space="preserve">2в, 3</w:t>
            </w:r>
          </w:p>
        </w:tc>
      </w:tr>
      <w:tr>
        <w:tc>
          <w:tcPr>
            <w:tcW w:w="3061" w:type="dxa"/>
            <w:vAlign w:val="center"/>
          </w:tcPr>
          <w:p>
            <w:pPr>
              <w:pStyle w:val="0"/>
              <w:jc w:val="center"/>
            </w:pPr>
            <w:r>
              <w:rPr>
                <w:sz w:val="20"/>
              </w:rPr>
              <w:t xml:space="preserve">До 50,0 включительно</w:t>
            </w:r>
          </w:p>
        </w:tc>
        <w:tc>
          <w:tcPr>
            <w:tcW w:w="994" w:type="dxa"/>
            <w:vAlign w:val="center"/>
          </w:tcPr>
          <w:p>
            <w:pPr>
              <w:pStyle w:val="0"/>
              <w:jc w:val="center"/>
            </w:pPr>
            <w:r>
              <w:rPr>
                <w:sz w:val="20"/>
              </w:rPr>
              <w:t xml:space="preserve">10</w:t>
            </w:r>
          </w:p>
        </w:tc>
        <w:tc>
          <w:tcPr>
            <w:tcW w:w="1757" w:type="dxa"/>
            <w:vAlign w:val="center"/>
          </w:tcPr>
          <w:p>
            <w:pPr>
              <w:pStyle w:val="0"/>
              <w:jc w:val="center"/>
            </w:pPr>
            <w:r>
              <w:rPr>
                <w:sz w:val="20"/>
              </w:rPr>
              <w:t xml:space="preserve">20</w:t>
            </w:r>
          </w:p>
        </w:tc>
        <w:tc>
          <w:tcPr>
            <w:tcW w:w="706" w:type="dxa"/>
            <w:vAlign w:val="center"/>
          </w:tcPr>
          <w:p>
            <w:pPr>
              <w:pStyle w:val="0"/>
              <w:jc w:val="center"/>
            </w:pPr>
            <w:r>
              <w:rPr>
                <w:sz w:val="20"/>
              </w:rPr>
              <w:t xml:space="preserve">12</w:t>
            </w:r>
          </w:p>
        </w:tc>
        <w:tc>
          <w:tcPr>
            <w:tcW w:w="850" w:type="dxa"/>
            <w:vAlign w:val="center"/>
          </w:tcPr>
          <w:p>
            <w:pPr>
              <w:pStyle w:val="0"/>
              <w:jc w:val="center"/>
            </w:pPr>
            <w:r>
              <w:rPr>
                <w:sz w:val="20"/>
              </w:rPr>
              <w:t xml:space="preserve">15</w:t>
            </w:r>
          </w:p>
        </w:tc>
        <w:tc>
          <w:tcPr>
            <w:tcW w:w="845" w:type="dxa"/>
            <w:vAlign w:val="center"/>
          </w:tcPr>
          <w:p>
            <w:pPr>
              <w:pStyle w:val="0"/>
              <w:jc w:val="center"/>
            </w:pPr>
            <w:r>
              <w:rPr>
                <w:sz w:val="20"/>
              </w:rPr>
              <w:t xml:space="preserve">15</w:t>
            </w:r>
          </w:p>
        </w:tc>
        <w:tc>
          <w:tcPr>
            <w:tcW w:w="854" w:type="dxa"/>
            <w:vAlign w:val="center"/>
          </w:tcPr>
          <w:p>
            <w:pPr>
              <w:pStyle w:val="0"/>
              <w:jc w:val="center"/>
            </w:pPr>
            <w:r>
              <w:rPr>
                <w:sz w:val="20"/>
              </w:rPr>
              <w:t xml:space="preserve">10</w:t>
            </w:r>
          </w:p>
        </w:tc>
      </w:tr>
      <w:tr>
        <w:tc>
          <w:tcPr>
            <w:tcW w:w="3061" w:type="dxa"/>
            <w:vAlign w:val="center"/>
          </w:tcPr>
          <w:p>
            <w:pPr>
              <w:pStyle w:val="0"/>
              <w:jc w:val="center"/>
            </w:pPr>
            <w:r>
              <w:rPr>
                <w:sz w:val="20"/>
              </w:rPr>
              <w:t xml:space="preserve">Более 50,0 до 100,0 включительно</w:t>
            </w:r>
          </w:p>
        </w:tc>
        <w:tc>
          <w:tcPr>
            <w:tcW w:w="994" w:type="dxa"/>
            <w:vAlign w:val="center"/>
          </w:tcPr>
          <w:p>
            <w:pPr>
              <w:pStyle w:val="0"/>
              <w:jc w:val="center"/>
            </w:pPr>
            <w:r>
              <w:rPr>
                <w:sz w:val="20"/>
              </w:rPr>
              <w:t xml:space="preserve">15</w:t>
            </w:r>
          </w:p>
        </w:tc>
        <w:tc>
          <w:tcPr>
            <w:tcW w:w="1757" w:type="dxa"/>
            <w:vAlign w:val="center"/>
          </w:tcPr>
          <w:p>
            <w:pPr>
              <w:pStyle w:val="0"/>
              <w:jc w:val="center"/>
            </w:pPr>
            <w:r>
              <w:rPr>
                <w:sz w:val="20"/>
              </w:rPr>
              <w:t xml:space="preserve">30</w:t>
            </w:r>
          </w:p>
        </w:tc>
        <w:tc>
          <w:tcPr>
            <w:tcW w:w="706" w:type="dxa"/>
            <w:vAlign w:val="center"/>
          </w:tcPr>
          <w:p>
            <w:pPr>
              <w:pStyle w:val="0"/>
              <w:jc w:val="center"/>
            </w:pPr>
            <w:r>
              <w:rPr>
                <w:sz w:val="20"/>
              </w:rPr>
              <w:t xml:space="preserve">12</w:t>
            </w:r>
          </w:p>
        </w:tc>
        <w:tc>
          <w:tcPr>
            <w:tcW w:w="850" w:type="dxa"/>
            <w:vAlign w:val="center"/>
          </w:tcPr>
          <w:p>
            <w:pPr>
              <w:pStyle w:val="0"/>
              <w:jc w:val="center"/>
            </w:pPr>
            <w:r>
              <w:rPr>
                <w:sz w:val="20"/>
              </w:rPr>
              <w:t xml:space="preserve">15</w:t>
            </w:r>
          </w:p>
        </w:tc>
        <w:tc>
          <w:tcPr>
            <w:tcW w:w="845" w:type="dxa"/>
            <w:vAlign w:val="center"/>
          </w:tcPr>
          <w:p>
            <w:pPr>
              <w:pStyle w:val="0"/>
              <w:jc w:val="center"/>
            </w:pPr>
            <w:r>
              <w:rPr>
                <w:sz w:val="20"/>
              </w:rPr>
              <w:t xml:space="preserve">25</w:t>
            </w:r>
          </w:p>
        </w:tc>
        <w:tc>
          <w:tcPr>
            <w:tcW w:w="854" w:type="dxa"/>
            <w:vAlign w:val="center"/>
          </w:tcPr>
          <w:p>
            <w:pPr>
              <w:pStyle w:val="0"/>
              <w:jc w:val="center"/>
            </w:pPr>
            <w:r>
              <w:rPr>
                <w:sz w:val="20"/>
              </w:rPr>
              <w:t xml:space="preserve">15</w:t>
            </w:r>
          </w:p>
        </w:tc>
      </w:tr>
      <w:tr>
        <w:tc>
          <w:tcPr>
            <w:tcW w:w="3061" w:type="dxa"/>
            <w:vAlign w:val="center"/>
          </w:tcPr>
          <w:p>
            <w:pPr>
              <w:pStyle w:val="0"/>
              <w:jc w:val="center"/>
            </w:pPr>
            <w:r>
              <w:rPr>
                <w:sz w:val="20"/>
              </w:rPr>
              <w:t xml:space="preserve">Более 100,0 до 300,0 включительно</w:t>
            </w:r>
          </w:p>
        </w:tc>
        <w:tc>
          <w:tcPr>
            <w:tcW w:w="994" w:type="dxa"/>
            <w:vAlign w:val="center"/>
          </w:tcPr>
          <w:p>
            <w:pPr>
              <w:pStyle w:val="0"/>
              <w:jc w:val="center"/>
            </w:pPr>
            <w:r>
              <w:rPr>
                <w:sz w:val="20"/>
              </w:rPr>
              <w:t xml:space="preserve">20</w:t>
            </w:r>
          </w:p>
        </w:tc>
        <w:tc>
          <w:tcPr>
            <w:tcW w:w="1757" w:type="dxa"/>
            <w:vAlign w:val="center"/>
          </w:tcPr>
          <w:p>
            <w:pPr>
              <w:pStyle w:val="0"/>
              <w:jc w:val="center"/>
            </w:pPr>
            <w:r>
              <w:rPr>
                <w:sz w:val="20"/>
              </w:rPr>
              <w:t xml:space="preserve">40</w:t>
            </w:r>
          </w:p>
        </w:tc>
        <w:tc>
          <w:tcPr>
            <w:tcW w:w="706" w:type="dxa"/>
            <w:vAlign w:val="center"/>
          </w:tcPr>
          <w:p>
            <w:pPr>
              <w:pStyle w:val="0"/>
              <w:jc w:val="center"/>
            </w:pPr>
            <w:r>
              <w:rPr>
                <w:sz w:val="20"/>
              </w:rPr>
              <w:t xml:space="preserve">12</w:t>
            </w:r>
          </w:p>
        </w:tc>
        <w:tc>
          <w:tcPr>
            <w:tcW w:w="850" w:type="dxa"/>
            <w:vAlign w:val="center"/>
          </w:tcPr>
          <w:p>
            <w:pPr>
              <w:pStyle w:val="0"/>
              <w:jc w:val="center"/>
            </w:pPr>
            <w:r>
              <w:rPr>
                <w:sz w:val="20"/>
              </w:rPr>
              <w:t xml:space="preserve">15</w:t>
            </w:r>
          </w:p>
        </w:tc>
        <w:tc>
          <w:tcPr>
            <w:tcW w:w="845" w:type="dxa"/>
            <w:vAlign w:val="center"/>
          </w:tcPr>
          <w:p>
            <w:pPr>
              <w:pStyle w:val="0"/>
              <w:jc w:val="center"/>
            </w:pPr>
            <w:r>
              <w:rPr>
                <w:sz w:val="20"/>
              </w:rPr>
              <w:t xml:space="preserve">25</w:t>
            </w:r>
          </w:p>
        </w:tc>
        <w:tc>
          <w:tcPr>
            <w:tcW w:w="854" w:type="dxa"/>
            <w:vAlign w:val="center"/>
          </w:tcPr>
          <w:p>
            <w:pPr>
              <w:pStyle w:val="0"/>
              <w:jc w:val="center"/>
            </w:pPr>
            <w:r>
              <w:rPr>
                <w:sz w:val="20"/>
              </w:rPr>
              <w:t xml:space="preserve">15</w:t>
            </w:r>
          </w:p>
        </w:tc>
      </w:tr>
      <w:tr>
        <w:tc>
          <w:tcPr>
            <w:tcW w:w="3061" w:type="dxa"/>
            <w:vAlign w:val="center"/>
          </w:tcPr>
          <w:p>
            <w:pPr>
              <w:pStyle w:val="0"/>
              <w:jc w:val="center"/>
            </w:pPr>
            <w:r>
              <w:rPr>
                <w:sz w:val="20"/>
              </w:rPr>
              <w:t xml:space="preserve">Более 300,0</w:t>
            </w:r>
          </w:p>
        </w:tc>
        <w:tc>
          <w:tcPr>
            <w:tcW w:w="994" w:type="dxa"/>
            <w:vAlign w:val="center"/>
          </w:tcPr>
          <w:p>
            <w:pPr>
              <w:pStyle w:val="0"/>
              <w:jc w:val="center"/>
            </w:pPr>
            <w:r>
              <w:rPr>
                <w:sz w:val="20"/>
              </w:rPr>
              <w:t xml:space="preserve">30</w:t>
            </w:r>
          </w:p>
        </w:tc>
        <w:tc>
          <w:tcPr>
            <w:tcW w:w="1757" w:type="dxa"/>
            <w:vAlign w:val="center"/>
          </w:tcPr>
          <w:p>
            <w:pPr>
              <w:pStyle w:val="0"/>
              <w:jc w:val="center"/>
            </w:pPr>
            <w:r>
              <w:rPr>
                <w:sz w:val="20"/>
              </w:rPr>
              <w:t xml:space="preserve">50</w:t>
            </w:r>
          </w:p>
        </w:tc>
        <w:tc>
          <w:tcPr>
            <w:tcW w:w="706" w:type="dxa"/>
            <w:vAlign w:val="center"/>
          </w:tcPr>
          <w:p>
            <w:pPr>
              <w:pStyle w:val="0"/>
              <w:jc w:val="center"/>
            </w:pPr>
            <w:r>
              <w:rPr>
                <w:sz w:val="20"/>
              </w:rPr>
              <w:t xml:space="preserve">12</w:t>
            </w:r>
          </w:p>
        </w:tc>
        <w:tc>
          <w:tcPr>
            <w:tcW w:w="850" w:type="dxa"/>
            <w:vAlign w:val="center"/>
          </w:tcPr>
          <w:p>
            <w:pPr>
              <w:pStyle w:val="0"/>
              <w:jc w:val="center"/>
            </w:pPr>
            <w:r>
              <w:rPr>
                <w:sz w:val="20"/>
              </w:rPr>
              <w:t xml:space="preserve">15</w:t>
            </w:r>
          </w:p>
        </w:tc>
        <w:tc>
          <w:tcPr>
            <w:tcW w:w="845" w:type="dxa"/>
            <w:vAlign w:val="center"/>
          </w:tcPr>
          <w:p>
            <w:pPr>
              <w:pStyle w:val="0"/>
              <w:jc w:val="center"/>
            </w:pPr>
            <w:r>
              <w:rPr>
                <w:sz w:val="20"/>
              </w:rPr>
              <w:t xml:space="preserve">25</w:t>
            </w:r>
          </w:p>
        </w:tc>
        <w:tc>
          <w:tcPr>
            <w:tcW w:w="854" w:type="dxa"/>
            <w:vAlign w:val="center"/>
          </w:tcPr>
          <w:p>
            <w:pPr>
              <w:pStyle w:val="0"/>
              <w:jc w:val="center"/>
            </w:pPr>
            <w:r>
              <w:rPr>
                <w:sz w:val="20"/>
              </w:rPr>
              <w:t xml:space="preserve">15</w:t>
            </w:r>
          </w:p>
        </w:tc>
      </w:tr>
      <w:tr>
        <w:tc>
          <w:tcPr>
            <w:gridSpan w:val="7"/>
            <w:tcW w:w="9067" w:type="dxa"/>
          </w:tcPr>
          <w:p>
            <w:pPr>
              <w:pStyle w:val="0"/>
            </w:pPr>
            <w:r>
              <w:rPr>
                <w:sz w:val="20"/>
              </w:rPr>
              <w:t xml:space="preserve">Примечание. Нормы оценки качества даны применительно к контролю с использованием стандартного плоскодонного отражателя.</w:t>
            </w:r>
          </w:p>
        </w:tc>
      </w:tr>
    </w:tbl>
    <w:p>
      <w:pPr>
        <w:pStyle w:val="0"/>
        <w:jc w:val="both"/>
      </w:pPr>
      <w:r>
        <w:rPr>
          <w:sz w:val="20"/>
        </w:rPr>
      </w:r>
    </w:p>
    <w:p>
      <w:pPr>
        <w:pStyle w:val="0"/>
        <w:ind w:firstLine="540"/>
        <w:jc w:val="both"/>
      </w:pPr>
      <w:r>
        <w:rPr>
          <w:sz w:val="20"/>
        </w:rPr>
        <w:t xml:space="preserve">28. К несплошностям, выявленным ультразвуковым контролем и не требующим исправления, относятся одиночные непротяженные несплошности, проектируемые на любой участок поверхности ввода ультразвука размерами 200,0 x 300,0 мм, если их количество и эквивалентная площадь не более, а расстояние между несплошностями не менее значений, указанных в </w:t>
      </w:r>
      <w:hyperlink w:history="0" w:anchor="P3481" w:tooltip="Таблица N 8.4">
        <w:r>
          <w:rPr>
            <w:sz w:val="20"/>
            <w:color w:val="0000ff"/>
          </w:rPr>
          <w:t xml:space="preserve">таблице N 8.4</w:t>
        </w:r>
      </w:hyperlink>
      <w:r>
        <w:rPr>
          <w:sz w:val="20"/>
        </w:rPr>
        <w:t xml:space="preserve"> настоящего приложения. При меньших размерах участка поверхности ввода ультразвука количество несплошностей должно быть уменьшено по отношению к установленному в </w:t>
      </w:r>
      <w:hyperlink w:history="0" w:anchor="P3481" w:tooltip="Таблица N 8.4">
        <w:r>
          <w:rPr>
            <w:sz w:val="20"/>
            <w:color w:val="0000ff"/>
          </w:rPr>
          <w:t xml:space="preserve">таблице N 8.4</w:t>
        </w:r>
      </w:hyperlink>
      <w:r>
        <w:rPr>
          <w:sz w:val="20"/>
        </w:rPr>
        <w:t xml:space="preserve"> настоящего приложения пропорционально отношению площадей этого участка и участка размерами 200,0 x 300,0 мм.</w:t>
      </w:r>
    </w:p>
    <w:p>
      <w:pPr>
        <w:pStyle w:val="0"/>
        <w:spacing w:before="200" w:line-rule="auto"/>
        <w:ind w:firstLine="540"/>
        <w:jc w:val="both"/>
      </w:pPr>
      <w:r>
        <w:rPr>
          <w:sz w:val="20"/>
        </w:rPr>
        <w:t xml:space="preserve">29. В случае обнаружения при ультразвуковом контроле несплошностей, превышающих нормы, приведенные в </w:t>
      </w:r>
      <w:hyperlink w:history="0" w:anchor="P3481" w:tooltip="Таблица N 8.4">
        <w:r>
          <w:rPr>
            <w:sz w:val="20"/>
            <w:color w:val="0000ff"/>
          </w:rPr>
          <w:t xml:space="preserve">таблице N 8.4</w:t>
        </w:r>
      </w:hyperlink>
      <w:r>
        <w:rPr>
          <w:sz w:val="20"/>
        </w:rPr>
        <w:t xml:space="preserve"> настоящего приложения, или вызывающих при контроле прямым преобразователем ослабление донного сигнала до уровня фиксации, отливка или отдельный ее участок могут быть подвергнуты дополнительно радиографическому контролю.</w:t>
      </w:r>
    </w:p>
    <w:p>
      <w:pPr>
        <w:pStyle w:val="0"/>
        <w:jc w:val="both"/>
      </w:pPr>
      <w:r>
        <w:rPr>
          <w:sz w:val="20"/>
        </w:rPr>
      </w:r>
    </w:p>
    <w:p>
      <w:pPr>
        <w:pStyle w:val="2"/>
        <w:outlineLvl w:val="2"/>
        <w:jc w:val="center"/>
      </w:pPr>
      <w:r>
        <w:rPr>
          <w:sz w:val="20"/>
        </w:rPr>
        <w:t xml:space="preserve">Радиографический контроль</w:t>
      </w:r>
    </w:p>
    <w:p>
      <w:pPr>
        <w:pStyle w:val="0"/>
        <w:jc w:val="both"/>
      </w:pPr>
      <w:r>
        <w:rPr>
          <w:sz w:val="20"/>
        </w:rPr>
      </w:r>
    </w:p>
    <w:p>
      <w:pPr>
        <w:pStyle w:val="0"/>
        <w:ind w:firstLine="540"/>
        <w:jc w:val="both"/>
      </w:pPr>
      <w:r>
        <w:rPr>
          <w:sz w:val="20"/>
        </w:rPr>
        <w:t xml:space="preserve">30. По результатам радиографического контроля учитываются несплошности размером:</w:t>
      </w:r>
    </w:p>
    <w:p>
      <w:pPr>
        <w:pStyle w:val="0"/>
        <w:spacing w:before="200" w:line-rule="auto"/>
        <w:ind w:firstLine="540"/>
        <w:jc w:val="both"/>
      </w:pPr>
      <w:r>
        <w:rPr>
          <w:sz w:val="20"/>
        </w:rPr>
        <w:t xml:space="preserve">а) для отливок с толщиной стенки до 50,0 мм включительно - более 1,0 мм;</w:t>
      </w:r>
    </w:p>
    <w:p>
      <w:pPr>
        <w:pStyle w:val="0"/>
        <w:spacing w:before="200" w:line-rule="auto"/>
        <w:ind w:firstLine="540"/>
        <w:jc w:val="both"/>
      </w:pPr>
      <w:r>
        <w:rPr>
          <w:sz w:val="20"/>
        </w:rPr>
        <w:t xml:space="preserve">б) для отливок с толщиной стенки более 50,0 мм - 2% толщины стенки отливки.</w:t>
      </w:r>
    </w:p>
    <w:p>
      <w:pPr>
        <w:pStyle w:val="0"/>
        <w:spacing w:before="200" w:line-rule="auto"/>
        <w:ind w:firstLine="540"/>
        <w:jc w:val="both"/>
      </w:pPr>
      <w:r>
        <w:rPr>
          <w:sz w:val="20"/>
        </w:rPr>
        <w:t xml:space="preserve">31. Нормы оценки качества отливок по результатам радиографического контроля приведены в таблице N 8.5 настоящего приложения.</w:t>
      </w:r>
    </w:p>
    <w:p>
      <w:pPr>
        <w:pStyle w:val="0"/>
        <w:jc w:val="both"/>
      </w:pPr>
      <w:r>
        <w:rPr>
          <w:sz w:val="20"/>
        </w:rPr>
      </w:r>
    </w:p>
    <w:bookmarkStart w:id="3533" w:name="P3533"/>
    <w:bookmarkEnd w:id="3533"/>
    <w:p>
      <w:pPr>
        <w:pStyle w:val="0"/>
        <w:outlineLvl w:val="3"/>
        <w:jc w:val="right"/>
      </w:pPr>
      <w:r>
        <w:rPr>
          <w:sz w:val="20"/>
        </w:rPr>
        <w:t xml:space="preserve">Таблица N 8.5</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17"/>
        <w:gridCol w:w="1530"/>
        <w:gridCol w:w="1247"/>
        <w:gridCol w:w="396"/>
        <w:gridCol w:w="737"/>
        <w:gridCol w:w="566"/>
        <w:gridCol w:w="566"/>
        <w:gridCol w:w="340"/>
        <w:gridCol w:w="340"/>
        <w:gridCol w:w="396"/>
        <w:gridCol w:w="340"/>
        <w:gridCol w:w="396"/>
        <w:gridCol w:w="340"/>
        <w:gridCol w:w="340"/>
        <w:gridCol w:w="340"/>
      </w:tblGrid>
      <w:tr>
        <w:tc>
          <w:tcPr>
            <w:tcW w:w="1417" w:type="dxa"/>
            <w:vMerge w:val="restart"/>
          </w:tcPr>
          <w:p>
            <w:pPr>
              <w:pStyle w:val="0"/>
              <w:jc w:val="center"/>
            </w:pPr>
            <w:r>
              <w:rPr>
                <w:sz w:val="20"/>
              </w:rPr>
              <w:t xml:space="preserve">Толщина стенки отливки, мм</w:t>
            </w:r>
          </w:p>
        </w:tc>
        <w:tc>
          <w:tcPr>
            <w:tcW w:w="1530" w:type="dxa"/>
            <w:vMerge w:val="restart"/>
          </w:tcPr>
          <w:p>
            <w:pPr>
              <w:pStyle w:val="0"/>
              <w:jc w:val="center"/>
            </w:pPr>
            <w:r>
              <w:rPr>
                <w:sz w:val="20"/>
              </w:rPr>
              <w:t xml:space="preserve">Тип несплошности</w:t>
            </w:r>
          </w:p>
        </w:tc>
        <w:tc>
          <w:tcPr>
            <w:tcW w:w="1247" w:type="dxa"/>
            <w:vMerge w:val="restart"/>
          </w:tcPr>
          <w:p>
            <w:pPr>
              <w:pStyle w:val="0"/>
              <w:jc w:val="center"/>
            </w:pPr>
            <w:r>
              <w:rPr>
                <w:sz w:val="20"/>
              </w:rPr>
              <w:t xml:space="preserve">Размеры участка отливки, мм</w:t>
            </w:r>
          </w:p>
        </w:tc>
        <w:tc>
          <w:tcPr>
            <w:gridSpan w:val="4"/>
            <w:tcW w:w="2265" w:type="dxa"/>
          </w:tcPr>
          <w:p>
            <w:pPr>
              <w:pStyle w:val="0"/>
              <w:jc w:val="center"/>
            </w:pPr>
            <w:r>
              <w:rPr>
                <w:sz w:val="20"/>
              </w:rPr>
              <w:t xml:space="preserve">Наибольший размер несплошности на снимке, мм</w:t>
            </w:r>
          </w:p>
        </w:tc>
        <w:tc>
          <w:tcPr>
            <w:gridSpan w:val="4"/>
            <w:tcW w:w="1416" w:type="dxa"/>
          </w:tcPr>
          <w:p>
            <w:pPr>
              <w:pStyle w:val="0"/>
              <w:jc w:val="center"/>
            </w:pPr>
            <w:r>
              <w:rPr>
                <w:sz w:val="20"/>
              </w:rPr>
              <w:t xml:space="preserve">Количество несплошностей, шт., не более</w:t>
            </w:r>
          </w:p>
        </w:tc>
        <w:tc>
          <w:tcPr>
            <w:gridSpan w:val="4"/>
            <w:tcW w:w="1416" w:type="dxa"/>
          </w:tcPr>
          <w:p>
            <w:pPr>
              <w:pStyle w:val="0"/>
              <w:jc w:val="center"/>
            </w:pPr>
            <w:r>
              <w:rPr>
                <w:sz w:val="20"/>
              </w:rPr>
              <w:t xml:space="preserve">Минимальное расстояние на снимке между близлежащими краями несплошностей, мм</w:t>
            </w:r>
          </w:p>
        </w:tc>
      </w:tr>
      <w:tr>
        <w:tc>
          <w:tcPr>
            <w:vMerge w:val="continue"/>
          </w:tcPr>
          <w:p/>
        </w:tc>
        <w:tc>
          <w:tcPr>
            <w:vMerge w:val="continue"/>
          </w:tcPr>
          <w:p/>
        </w:tc>
        <w:tc>
          <w:tcPr>
            <w:vMerge w:val="continue"/>
          </w:tcPr>
          <w:p/>
        </w:tc>
        <w:tc>
          <w:tcPr>
            <w:gridSpan w:val="12"/>
            <w:tcW w:w="5097" w:type="dxa"/>
          </w:tcPr>
          <w:p>
            <w:pPr>
              <w:pStyle w:val="0"/>
              <w:jc w:val="center"/>
            </w:pPr>
            <w:r>
              <w:rPr>
                <w:sz w:val="20"/>
              </w:rPr>
              <w:t xml:space="preserve">Класс отливок</w:t>
            </w:r>
          </w:p>
        </w:tc>
      </w:tr>
      <w:tr>
        <w:tc>
          <w:tcPr>
            <w:vMerge w:val="continue"/>
          </w:tcPr>
          <w:p/>
        </w:tc>
        <w:tc>
          <w:tcPr>
            <w:vMerge w:val="continue"/>
          </w:tcPr>
          <w:p/>
        </w:tc>
        <w:tc>
          <w:tcPr>
            <w:vMerge w:val="continue"/>
          </w:tcPr>
          <w:p/>
        </w:tc>
        <w:tc>
          <w:tcPr>
            <w:tcW w:w="396" w:type="dxa"/>
            <w:vMerge w:val="restart"/>
          </w:tcPr>
          <w:p>
            <w:pPr>
              <w:pStyle w:val="0"/>
              <w:jc w:val="center"/>
            </w:pPr>
            <w:r>
              <w:rPr>
                <w:sz w:val="20"/>
              </w:rPr>
              <w:t xml:space="preserve">1</w:t>
            </w:r>
          </w:p>
        </w:tc>
        <w:tc>
          <w:tcPr>
            <w:gridSpan w:val="2"/>
            <w:tcW w:w="1303" w:type="dxa"/>
          </w:tcPr>
          <w:p>
            <w:pPr>
              <w:pStyle w:val="0"/>
              <w:jc w:val="center"/>
            </w:pPr>
            <w:r>
              <w:rPr>
                <w:sz w:val="20"/>
              </w:rPr>
              <w:t xml:space="preserve">2</w:t>
            </w:r>
          </w:p>
        </w:tc>
        <w:tc>
          <w:tcPr>
            <w:tcW w:w="566" w:type="dxa"/>
            <w:vMerge w:val="restart"/>
          </w:tcPr>
          <w:p>
            <w:pPr>
              <w:pStyle w:val="0"/>
              <w:jc w:val="center"/>
            </w:pPr>
            <w:r>
              <w:rPr>
                <w:sz w:val="20"/>
              </w:rPr>
              <w:t xml:space="preserve">3</w:t>
            </w:r>
          </w:p>
        </w:tc>
        <w:tc>
          <w:tcPr>
            <w:tcW w:w="340" w:type="dxa"/>
            <w:vMerge w:val="restart"/>
          </w:tcPr>
          <w:p>
            <w:pPr>
              <w:pStyle w:val="0"/>
              <w:jc w:val="center"/>
            </w:pPr>
            <w:r>
              <w:rPr>
                <w:sz w:val="20"/>
              </w:rPr>
              <w:t xml:space="preserve">1</w:t>
            </w:r>
          </w:p>
        </w:tc>
        <w:tc>
          <w:tcPr>
            <w:gridSpan w:val="2"/>
            <w:tcW w:w="736" w:type="dxa"/>
          </w:tcPr>
          <w:p>
            <w:pPr>
              <w:pStyle w:val="0"/>
              <w:jc w:val="center"/>
            </w:pPr>
            <w:r>
              <w:rPr>
                <w:sz w:val="20"/>
              </w:rPr>
              <w:t xml:space="preserve">2</w:t>
            </w:r>
          </w:p>
        </w:tc>
        <w:tc>
          <w:tcPr>
            <w:tcW w:w="340" w:type="dxa"/>
            <w:vMerge w:val="restart"/>
          </w:tcPr>
          <w:p>
            <w:pPr>
              <w:pStyle w:val="0"/>
              <w:jc w:val="center"/>
            </w:pPr>
            <w:r>
              <w:rPr>
                <w:sz w:val="20"/>
              </w:rPr>
              <w:t xml:space="preserve">3</w:t>
            </w:r>
          </w:p>
        </w:tc>
        <w:tc>
          <w:tcPr>
            <w:tcW w:w="396" w:type="dxa"/>
            <w:vMerge w:val="restart"/>
          </w:tcPr>
          <w:p>
            <w:pPr>
              <w:pStyle w:val="0"/>
              <w:jc w:val="center"/>
            </w:pPr>
            <w:r>
              <w:rPr>
                <w:sz w:val="20"/>
              </w:rPr>
              <w:t xml:space="preserve">1</w:t>
            </w:r>
          </w:p>
        </w:tc>
        <w:tc>
          <w:tcPr>
            <w:gridSpan w:val="2"/>
            <w:tcW w:w="680" w:type="dxa"/>
          </w:tcPr>
          <w:p>
            <w:pPr>
              <w:pStyle w:val="0"/>
              <w:jc w:val="center"/>
            </w:pPr>
            <w:r>
              <w:rPr>
                <w:sz w:val="20"/>
              </w:rPr>
              <w:t xml:space="preserve">2</w:t>
            </w:r>
          </w:p>
        </w:tc>
        <w:tc>
          <w:tcPr>
            <w:tcW w:w="340" w:type="dxa"/>
            <w:vMerge w:val="restart"/>
          </w:tcPr>
          <w:p>
            <w:pPr>
              <w:pStyle w:val="0"/>
              <w:jc w:val="center"/>
            </w:pPr>
            <w:r>
              <w:rPr>
                <w:sz w:val="20"/>
              </w:rPr>
              <w:t xml:space="preserve">3</w:t>
            </w:r>
          </w:p>
        </w:tc>
      </w:tr>
      <w:tr>
        <w:tc>
          <w:tcPr>
            <w:vMerge w:val="continue"/>
          </w:tcPr>
          <w:p/>
        </w:tc>
        <w:tc>
          <w:tcPr>
            <w:vMerge w:val="continue"/>
          </w:tcPr>
          <w:p/>
        </w:tc>
        <w:tc>
          <w:tcPr>
            <w:vMerge w:val="continue"/>
          </w:tcPr>
          <w:p/>
        </w:tc>
        <w:tc>
          <w:tcPr>
            <w:vMerge w:val="continue"/>
          </w:tcPr>
          <w:p/>
        </w:tc>
        <w:tc>
          <w:tcPr>
            <w:tcW w:w="737" w:type="dxa"/>
          </w:tcPr>
          <w:p>
            <w:pPr>
              <w:pStyle w:val="0"/>
              <w:jc w:val="center"/>
            </w:pPr>
            <w:r>
              <w:rPr>
                <w:sz w:val="20"/>
              </w:rPr>
              <w:t xml:space="preserve">а</w:t>
            </w:r>
          </w:p>
        </w:tc>
        <w:tc>
          <w:tcPr>
            <w:tcW w:w="566" w:type="dxa"/>
          </w:tcPr>
          <w:p>
            <w:pPr>
              <w:pStyle w:val="0"/>
              <w:jc w:val="center"/>
            </w:pPr>
            <w:r>
              <w:rPr>
                <w:sz w:val="20"/>
              </w:rPr>
              <w:t xml:space="preserve">в</w:t>
            </w:r>
          </w:p>
        </w:tc>
        <w:tc>
          <w:tcPr>
            <w:vMerge w:val="continue"/>
          </w:tcPr>
          <w:p/>
        </w:tc>
        <w:tc>
          <w:tcPr>
            <w:vMerge w:val="continue"/>
          </w:tcPr>
          <w:p/>
        </w:tc>
        <w:tc>
          <w:tcPr>
            <w:tcW w:w="340" w:type="dxa"/>
          </w:tcPr>
          <w:p>
            <w:pPr>
              <w:pStyle w:val="0"/>
              <w:jc w:val="center"/>
            </w:pPr>
            <w:r>
              <w:rPr>
                <w:sz w:val="20"/>
              </w:rPr>
              <w:t xml:space="preserve">а</w:t>
            </w:r>
          </w:p>
        </w:tc>
        <w:tc>
          <w:tcPr>
            <w:tcW w:w="396" w:type="dxa"/>
          </w:tcPr>
          <w:p>
            <w:pPr>
              <w:pStyle w:val="0"/>
              <w:jc w:val="center"/>
            </w:pPr>
            <w:r>
              <w:rPr>
                <w:sz w:val="20"/>
              </w:rPr>
              <w:t xml:space="preserve">в</w:t>
            </w:r>
          </w:p>
        </w:tc>
        <w:tc>
          <w:tcPr>
            <w:vMerge w:val="continue"/>
          </w:tcPr>
          <w:p/>
        </w:tc>
        <w:tc>
          <w:tcPr>
            <w:vMerge w:val="continue"/>
          </w:tcPr>
          <w:p/>
        </w:tc>
        <w:tc>
          <w:tcPr>
            <w:tcW w:w="340" w:type="dxa"/>
          </w:tcPr>
          <w:p>
            <w:pPr>
              <w:pStyle w:val="0"/>
              <w:jc w:val="center"/>
            </w:pPr>
            <w:r>
              <w:rPr>
                <w:sz w:val="20"/>
              </w:rPr>
              <w:t xml:space="preserve">а</w:t>
            </w:r>
          </w:p>
        </w:tc>
        <w:tc>
          <w:tcPr>
            <w:tcW w:w="340" w:type="dxa"/>
          </w:tcPr>
          <w:p>
            <w:pPr>
              <w:pStyle w:val="0"/>
              <w:jc w:val="center"/>
            </w:pPr>
            <w:r>
              <w:rPr>
                <w:sz w:val="20"/>
              </w:rPr>
              <w:t xml:space="preserve">в</w:t>
            </w:r>
          </w:p>
        </w:tc>
        <w:tc>
          <w:tcPr>
            <w:vMerge w:val="continue"/>
          </w:tcPr>
          <w:p/>
        </w:tc>
      </w:tr>
      <w:tr>
        <w:tc>
          <w:tcPr>
            <w:tcW w:w="1417" w:type="dxa"/>
            <w:vAlign w:val="center"/>
            <w:vMerge w:val="restart"/>
          </w:tcPr>
          <w:p>
            <w:pPr>
              <w:pStyle w:val="0"/>
              <w:jc w:val="center"/>
            </w:pPr>
            <w:r>
              <w:rPr>
                <w:sz w:val="20"/>
              </w:rPr>
              <w:t xml:space="preserve">До 25,0 включительно</w:t>
            </w:r>
          </w:p>
        </w:tc>
        <w:tc>
          <w:tcPr>
            <w:tcW w:w="1530" w:type="dxa"/>
          </w:tcPr>
          <w:p>
            <w:pPr>
              <w:pStyle w:val="0"/>
              <w:jc w:val="center"/>
            </w:pPr>
            <w:r>
              <w:rPr>
                <w:sz w:val="20"/>
              </w:rPr>
              <w:t xml:space="preserve">Газовая раковина, песчаное и шлаковое включения</w:t>
            </w:r>
          </w:p>
        </w:tc>
        <w:tc>
          <w:tcPr>
            <w:tcW w:w="1247" w:type="dxa"/>
            <w:vAlign w:val="center"/>
            <w:vMerge w:val="restart"/>
          </w:tcPr>
          <w:p>
            <w:pPr>
              <w:pStyle w:val="0"/>
              <w:jc w:val="center"/>
            </w:pPr>
            <w:r>
              <w:rPr>
                <w:sz w:val="20"/>
              </w:rPr>
              <w:t xml:space="preserve">130 x 180</w:t>
            </w:r>
          </w:p>
        </w:tc>
        <w:tc>
          <w:tcPr>
            <w:gridSpan w:val="2"/>
            <w:tcW w:w="1133" w:type="dxa"/>
            <w:vAlign w:val="center"/>
          </w:tcPr>
          <w:p>
            <w:pPr>
              <w:pStyle w:val="0"/>
              <w:jc w:val="center"/>
            </w:pPr>
            <w:r>
              <w:rPr>
                <w:sz w:val="20"/>
              </w:rPr>
              <w:t xml:space="preserve">4</w:t>
            </w:r>
          </w:p>
        </w:tc>
        <w:tc>
          <w:tcPr>
            <w:gridSpan w:val="2"/>
            <w:tcW w:w="1132" w:type="dxa"/>
            <w:vAlign w:val="center"/>
          </w:tcPr>
          <w:p>
            <w:pPr>
              <w:pStyle w:val="0"/>
              <w:jc w:val="center"/>
            </w:pPr>
            <w:r>
              <w:rPr>
                <w:sz w:val="20"/>
              </w:rPr>
              <w:t xml:space="preserve">6</w:t>
            </w:r>
          </w:p>
        </w:tc>
        <w:tc>
          <w:tcPr>
            <w:gridSpan w:val="2"/>
            <w:tcW w:w="680" w:type="dxa"/>
            <w:vAlign w:val="center"/>
          </w:tcPr>
          <w:p>
            <w:pPr>
              <w:pStyle w:val="0"/>
              <w:jc w:val="center"/>
            </w:pPr>
            <w:r>
              <w:rPr>
                <w:sz w:val="20"/>
              </w:rPr>
              <w:t xml:space="preserve">6</w:t>
            </w:r>
          </w:p>
        </w:tc>
        <w:tc>
          <w:tcPr>
            <w:gridSpan w:val="2"/>
            <w:tcW w:w="736" w:type="dxa"/>
            <w:vAlign w:val="center"/>
          </w:tcPr>
          <w:p>
            <w:pPr>
              <w:pStyle w:val="0"/>
              <w:jc w:val="center"/>
            </w:pPr>
            <w:r>
              <w:rPr>
                <w:sz w:val="20"/>
              </w:rPr>
              <w:t xml:space="preserve">6</w:t>
            </w:r>
          </w:p>
        </w:tc>
        <w:tc>
          <w:tcPr>
            <w:gridSpan w:val="2"/>
            <w:tcW w:w="736" w:type="dxa"/>
            <w:vAlign w:val="center"/>
          </w:tcPr>
          <w:p>
            <w:pPr>
              <w:pStyle w:val="0"/>
              <w:jc w:val="center"/>
            </w:pPr>
            <w:r>
              <w:rPr>
                <w:sz w:val="20"/>
              </w:rPr>
              <w:t xml:space="preserve">15</w:t>
            </w:r>
          </w:p>
        </w:tc>
        <w:tc>
          <w:tcPr>
            <w:gridSpan w:val="2"/>
            <w:tcW w:w="680" w:type="dxa"/>
            <w:vAlign w:val="center"/>
          </w:tcPr>
          <w:p>
            <w:pPr>
              <w:pStyle w:val="0"/>
              <w:jc w:val="center"/>
            </w:pPr>
            <w:r>
              <w:rPr>
                <w:sz w:val="20"/>
              </w:rPr>
              <w:t xml:space="preserve">10</w:t>
            </w:r>
          </w:p>
        </w:tc>
      </w:tr>
      <w:tr>
        <w:tc>
          <w:tcPr>
            <w:vMerge w:val="continue"/>
          </w:tcPr>
          <w:p/>
        </w:tc>
        <w:tc>
          <w:tcPr>
            <w:tcW w:w="1530" w:type="dxa"/>
            <w:vAlign w:val="center"/>
          </w:tcPr>
          <w:p>
            <w:pPr>
              <w:pStyle w:val="0"/>
              <w:jc w:val="center"/>
            </w:pPr>
            <w:r>
              <w:rPr>
                <w:sz w:val="20"/>
              </w:rPr>
              <w:t xml:space="preserve">Усадочная рыхлота</w:t>
            </w:r>
          </w:p>
        </w:tc>
        <w:tc>
          <w:tcPr>
            <w:vMerge w:val="continue"/>
          </w:tcPr>
          <w:p/>
        </w:tc>
        <w:tc>
          <w:tcPr>
            <w:gridSpan w:val="2"/>
            <w:tcW w:w="1133" w:type="dxa"/>
            <w:vAlign w:val="center"/>
          </w:tcPr>
          <w:p>
            <w:pPr>
              <w:pStyle w:val="0"/>
              <w:jc w:val="center"/>
            </w:pPr>
            <w:r>
              <w:rPr>
                <w:sz w:val="20"/>
              </w:rPr>
              <w:t xml:space="preserve">0,2S + 5</w:t>
            </w:r>
          </w:p>
        </w:tc>
        <w:tc>
          <w:tcPr>
            <w:gridSpan w:val="2"/>
            <w:tcW w:w="1132" w:type="dxa"/>
            <w:vAlign w:val="center"/>
          </w:tcPr>
          <w:p>
            <w:pPr>
              <w:pStyle w:val="0"/>
              <w:jc w:val="center"/>
            </w:pPr>
            <w:r>
              <w:rPr>
                <w:sz w:val="20"/>
              </w:rPr>
              <w:t xml:space="preserve">0,3S + 5</w:t>
            </w:r>
          </w:p>
        </w:tc>
        <w:tc>
          <w:tcPr>
            <w:gridSpan w:val="2"/>
            <w:tcW w:w="680"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w:t>
            </w:r>
          </w:p>
        </w:tc>
        <w:tc>
          <w:tcPr>
            <w:gridSpan w:val="2"/>
            <w:tcW w:w="680" w:type="dxa"/>
            <w:vAlign w:val="center"/>
          </w:tcPr>
          <w:p>
            <w:pPr>
              <w:pStyle w:val="0"/>
              <w:jc w:val="center"/>
            </w:pPr>
            <w:r>
              <w:rPr>
                <w:sz w:val="20"/>
              </w:rPr>
              <w:t xml:space="preserve">-</w:t>
            </w:r>
          </w:p>
        </w:tc>
      </w:tr>
      <w:tr>
        <w:tc>
          <w:tcPr>
            <w:tcW w:w="1417" w:type="dxa"/>
            <w:vAlign w:val="center"/>
            <w:vMerge w:val="restart"/>
          </w:tcPr>
          <w:p>
            <w:pPr>
              <w:pStyle w:val="0"/>
              <w:jc w:val="center"/>
            </w:pPr>
            <w:r>
              <w:rPr>
                <w:sz w:val="20"/>
              </w:rPr>
              <w:t xml:space="preserve">Более 25,0 до 50,0 включительно</w:t>
            </w:r>
          </w:p>
        </w:tc>
        <w:tc>
          <w:tcPr>
            <w:tcW w:w="1530" w:type="dxa"/>
          </w:tcPr>
          <w:p>
            <w:pPr>
              <w:pStyle w:val="0"/>
              <w:jc w:val="center"/>
            </w:pPr>
            <w:r>
              <w:rPr>
                <w:sz w:val="20"/>
              </w:rPr>
              <w:t xml:space="preserve">Газовая раковина, песчаное и шлаковое включения</w:t>
            </w:r>
          </w:p>
        </w:tc>
        <w:tc>
          <w:tcPr>
            <w:tcW w:w="1247" w:type="dxa"/>
            <w:vAlign w:val="center"/>
            <w:vMerge w:val="restart"/>
          </w:tcPr>
          <w:p>
            <w:pPr>
              <w:pStyle w:val="0"/>
              <w:jc w:val="center"/>
            </w:pPr>
            <w:r>
              <w:rPr>
                <w:sz w:val="20"/>
              </w:rPr>
              <w:t xml:space="preserve">130 x 180</w:t>
            </w:r>
          </w:p>
        </w:tc>
        <w:tc>
          <w:tcPr>
            <w:gridSpan w:val="2"/>
            <w:tcW w:w="1133" w:type="dxa"/>
            <w:vAlign w:val="center"/>
          </w:tcPr>
          <w:p>
            <w:pPr>
              <w:pStyle w:val="0"/>
              <w:jc w:val="center"/>
            </w:pPr>
            <w:r>
              <w:rPr>
                <w:sz w:val="20"/>
              </w:rPr>
              <w:t xml:space="preserve">5</w:t>
            </w:r>
          </w:p>
        </w:tc>
        <w:tc>
          <w:tcPr>
            <w:gridSpan w:val="2"/>
            <w:tcW w:w="1132" w:type="dxa"/>
            <w:vAlign w:val="center"/>
          </w:tcPr>
          <w:p>
            <w:pPr>
              <w:pStyle w:val="0"/>
              <w:jc w:val="center"/>
            </w:pPr>
            <w:r>
              <w:rPr>
                <w:sz w:val="20"/>
              </w:rPr>
              <w:t xml:space="preserve">6</w:t>
            </w:r>
          </w:p>
        </w:tc>
        <w:tc>
          <w:tcPr>
            <w:gridSpan w:val="2"/>
            <w:tcW w:w="680" w:type="dxa"/>
            <w:vAlign w:val="center"/>
          </w:tcPr>
          <w:p>
            <w:pPr>
              <w:pStyle w:val="0"/>
              <w:jc w:val="center"/>
            </w:pPr>
            <w:r>
              <w:rPr>
                <w:sz w:val="20"/>
              </w:rPr>
              <w:t xml:space="preserve">6</w:t>
            </w:r>
          </w:p>
        </w:tc>
        <w:tc>
          <w:tcPr>
            <w:gridSpan w:val="2"/>
            <w:tcW w:w="736" w:type="dxa"/>
            <w:vAlign w:val="center"/>
          </w:tcPr>
          <w:p>
            <w:pPr>
              <w:pStyle w:val="0"/>
              <w:jc w:val="center"/>
            </w:pPr>
            <w:r>
              <w:rPr>
                <w:sz w:val="20"/>
              </w:rPr>
              <w:t xml:space="preserve">8</w:t>
            </w:r>
          </w:p>
        </w:tc>
        <w:tc>
          <w:tcPr>
            <w:gridSpan w:val="2"/>
            <w:tcW w:w="736" w:type="dxa"/>
            <w:vAlign w:val="center"/>
          </w:tcPr>
          <w:p>
            <w:pPr>
              <w:pStyle w:val="0"/>
              <w:jc w:val="center"/>
            </w:pPr>
            <w:r>
              <w:rPr>
                <w:sz w:val="20"/>
              </w:rPr>
              <w:t xml:space="preserve">15</w:t>
            </w:r>
          </w:p>
        </w:tc>
        <w:tc>
          <w:tcPr>
            <w:gridSpan w:val="2"/>
            <w:tcW w:w="680" w:type="dxa"/>
            <w:vAlign w:val="center"/>
          </w:tcPr>
          <w:p>
            <w:pPr>
              <w:pStyle w:val="0"/>
              <w:jc w:val="center"/>
            </w:pPr>
            <w:r>
              <w:rPr>
                <w:sz w:val="20"/>
              </w:rPr>
              <w:t xml:space="preserve">10</w:t>
            </w:r>
          </w:p>
        </w:tc>
      </w:tr>
      <w:tr>
        <w:tc>
          <w:tcPr>
            <w:vMerge w:val="continue"/>
          </w:tcPr>
          <w:p/>
        </w:tc>
        <w:tc>
          <w:tcPr>
            <w:tcW w:w="1530" w:type="dxa"/>
            <w:vAlign w:val="center"/>
          </w:tcPr>
          <w:p>
            <w:pPr>
              <w:pStyle w:val="0"/>
              <w:jc w:val="center"/>
            </w:pPr>
            <w:r>
              <w:rPr>
                <w:sz w:val="20"/>
              </w:rPr>
              <w:t xml:space="preserve">Усадочная рыхлота</w:t>
            </w:r>
          </w:p>
        </w:tc>
        <w:tc>
          <w:tcPr>
            <w:vMerge w:val="continue"/>
          </w:tcPr>
          <w:p/>
        </w:tc>
        <w:tc>
          <w:tcPr>
            <w:gridSpan w:val="2"/>
            <w:tcW w:w="1133" w:type="dxa"/>
            <w:vAlign w:val="center"/>
          </w:tcPr>
          <w:p>
            <w:pPr>
              <w:pStyle w:val="0"/>
              <w:jc w:val="center"/>
            </w:pPr>
            <w:r>
              <w:rPr>
                <w:sz w:val="20"/>
              </w:rPr>
              <w:t xml:space="preserve">0,2S + 5</w:t>
            </w:r>
          </w:p>
        </w:tc>
        <w:tc>
          <w:tcPr>
            <w:gridSpan w:val="2"/>
            <w:tcW w:w="1132" w:type="dxa"/>
            <w:vAlign w:val="center"/>
          </w:tcPr>
          <w:p>
            <w:pPr>
              <w:pStyle w:val="0"/>
              <w:jc w:val="center"/>
            </w:pPr>
            <w:r>
              <w:rPr>
                <w:sz w:val="20"/>
              </w:rPr>
              <w:t xml:space="preserve">0,3S + 5</w:t>
            </w:r>
          </w:p>
        </w:tc>
        <w:tc>
          <w:tcPr>
            <w:gridSpan w:val="2"/>
            <w:tcW w:w="680"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w:t>
            </w:r>
          </w:p>
        </w:tc>
        <w:tc>
          <w:tcPr>
            <w:gridSpan w:val="2"/>
            <w:tcW w:w="680" w:type="dxa"/>
            <w:vAlign w:val="center"/>
          </w:tcPr>
          <w:p>
            <w:pPr>
              <w:pStyle w:val="0"/>
              <w:jc w:val="center"/>
            </w:pPr>
            <w:r>
              <w:rPr>
                <w:sz w:val="20"/>
              </w:rPr>
              <w:t xml:space="preserve">-</w:t>
            </w:r>
          </w:p>
        </w:tc>
      </w:tr>
      <w:tr>
        <w:tc>
          <w:tcPr>
            <w:tcW w:w="1417" w:type="dxa"/>
            <w:vAlign w:val="center"/>
            <w:vMerge w:val="restart"/>
          </w:tcPr>
          <w:p>
            <w:pPr>
              <w:pStyle w:val="0"/>
              <w:jc w:val="center"/>
            </w:pPr>
            <w:r>
              <w:rPr>
                <w:sz w:val="20"/>
              </w:rPr>
              <w:t xml:space="preserve">Более 50,0 до 100,0 включительно</w:t>
            </w:r>
          </w:p>
        </w:tc>
        <w:tc>
          <w:tcPr>
            <w:tcW w:w="1530" w:type="dxa"/>
          </w:tcPr>
          <w:p>
            <w:pPr>
              <w:pStyle w:val="0"/>
              <w:jc w:val="center"/>
            </w:pPr>
            <w:r>
              <w:rPr>
                <w:sz w:val="20"/>
              </w:rPr>
              <w:t xml:space="preserve">Газовая раковина, песчаное и шлаковое включения</w:t>
            </w:r>
          </w:p>
        </w:tc>
        <w:tc>
          <w:tcPr>
            <w:tcW w:w="1247" w:type="dxa"/>
            <w:vAlign w:val="center"/>
            <w:vMerge w:val="restart"/>
          </w:tcPr>
          <w:p>
            <w:pPr>
              <w:pStyle w:val="0"/>
              <w:jc w:val="center"/>
            </w:pPr>
            <w:r>
              <w:rPr>
                <w:sz w:val="20"/>
              </w:rPr>
              <w:t xml:space="preserve">130 x 180</w:t>
            </w:r>
          </w:p>
        </w:tc>
        <w:tc>
          <w:tcPr>
            <w:gridSpan w:val="2"/>
            <w:tcW w:w="1133" w:type="dxa"/>
            <w:vAlign w:val="center"/>
          </w:tcPr>
          <w:p>
            <w:pPr>
              <w:pStyle w:val="0"/>
              <w:jc w:val="center"/>
            </w:pPr>
            <w:r>
              <w:rPr>
                <w:sz w:val="20"/>
              </w:rPr>
              <w:t xml:space="preserve">6</w:t>
            </w:r>
          </w:p>
        </w:tc>
        <w:tc>
          <w:tcPr>
            <w:gridSpan w:val="2"/>
            <w:tcW w:w="1132" w:type="dxa"/>
            <w:vAlign w:val="center"/>
          </w:tcPr>
          <w:p>
            <w:pPr>
              <w:pStyle w:val="0"/>
              <w:jc w:val="center"/>
            </w:pPr>
            <w:r>
              <w:rPr>
                <w:sz w:val="20"/>
              </w:rPr>
              <w:t xml:space="preserve">6</w:t>
            </w:r>
          </w:p>
        </w:tc>
        <w:tc>
          <w:tcPr>
            <w:gridSpan w:val="2"/>
            <w:tcW w:w="680" w:type="dxa"/>
            <w:vAlign w:val="center"/>
          </w:tcPr>
          <w:p>
            <w:pPr>
              <w:pStyle w:val="0"/>
              <w:jc w:val="center"/>
            </w:pPr>
            <w:r>
              <w:rPr>
                <w:sz w:val="20"/>
              </w:rPr>
              <w:t xml:space="preserve">8</w:t>
            </w:r>
          </w:p>
        </w:tc>
        <w:tc>
          <w:tcPr>
            <w:gridSpan w:val="2"/>
            <w:tcW w:w="736" w:type="dxa"/>
            <w:vAlign w:val="center"/>
          </w:tcPr>
          <w:p>
            <w:pPr>
              <w:pStyle w:val="0"/>
              <w:jc w:val="center"/>
            </w:pPr>
            <w:r>
              <w:rPr>
                <w:sz w:val="20"/>
              </w:rPr>
              <w:t xml:space="preserve">10</w:t>
            </w:r>
          </w:p>
        </w:tc>
        <w:tc>
          <w:tcPr>
            <w:gridSpan w:val="2"/>
            <w:tcW w:w="736" w:type="dxa"/>
            <w:vAlign w:val="center"/>
          </w:tcPr>
          <w:p>
            <w:pPr>
              <w:pStyle w:val="0"/>
              <w:jc w:val="center"/>
            </w:pPr>
            <w:r>
              <w:rPr>
                <w:sz w:val="20"/>
              </w:rPr>
              <w:t xml:space="preserve">25</w:t>
            </w:r>
          </w:p>
        </w:tc>
        <w:tc>
          <w:tcPr>
            <w:gridSpan w:val="2"/>
            <w:tcW w:w="680" w:type="dxa"/>
            <w:vAlign w:val="center"/>
          </w:tcPr>
          <w:p>
            <w:pPr>
              <w:pStyle w:val="0"/>
              <w:jc w:val="center"/>
            </w:pPr>
            <w:r>
              <w:rPr>
                <w:sz w:val="20"/>
              </w:rPr>
              <w:t xml:space="preserve">15</w:t>
            </w:r>
          </w:p>
        </w:tc>
      </w:tr>
      <w:tr>
        <w:tc>
          <w:tcPr>
            <w:vMerge w:val="continue"/>
          </w:tcPr>
          <w:p/>
        </w:tc>
        <w:tc>
          <w:tcPr>
            <w:tcW w:w="1530" w:type="dxa"/>
            <w:vAlign w:val="center"/>
          </w:tcPr>
          <w:p>
            <w:pPr>
              <w:pStyle w:val="0"/>
              <w:jc w:val="center"/>
            </w:pPr>
            <w:r>
              <w:rPr>
                <w:sz w:val="20"/>
              </w:rPr>
              <w:t xml:space="preserve">Усадочная рыхлота</w:t>
            </w:r>
          </w:p>
        </w:tc>
        <w:tc>
          <w:tcPr>
            <w:vMerge w:val="continue"/>
          </w:tcPr>
          <w:p/>
        </w:tc>
        <w:tc>
          <w:tcPr>
            <w:gridSpan w:val="2"/>
            <w:tcW w:w="1133" w:type="dxa"/>
            <w:vAlign w:val="center"/>
          </w:tcPr>
          <w:p>
            <w:pPr>
              <w:pStyle w:val="0"/>
              <w:jc w:val="center"/>
            </w:pPr>
            <w:r>
              <w:rPr>
                <w:sz w:val="20"/>
              </w:rPr>
              <w:t xml:space="preserve">0,2S + 5</w:t>
            </w:r>
          </w:p>
        </w:tc>
        <w:tc>
          <w:tcPr>
            <w:gridSpan w:val="2"/>
            <w:tcW w:w="1132" w:type="dxa"/>
            <w:vAlign w:val="center"/>
          </w:tcPr>
          <w:p>
            <w:pPr>
              <w:pStyle w:val="0"/>
              <w:jc w:val="center"/>
            </w:pPr>
            <w:r>
              <w:rPr>
                <w:sz w:val="20"/>
              </w:rPr>
              <w:t xml:space="preserve">0,3S + 5</w:t>
            </w:r>
          </w:p>
        </w:tc>
        <w:tc>
          <w:tcPr>
            <w:gridSpan w:val="2"/>
            <w:tcW w:w="680"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w:t>
            </w:r>
          </w:p>
        </w:tc>
        <w:tc>
          <w:tcPr>
            <w:gridSpan w:val="2"/>
            <w:tcW w:w="680" w:type="dxa"/>
            <w:vAlign w:val="center"/>
          </w:tcPr>
          <w:p>
            <w:pPr>
              <w:pStyle w:val="0"/>
              <w:jc w:val="center"/>
            </w:pPr>
            <w:r>
              <w:rPr>
                <w:sz w:val="20"/>
              </w:rPr>
              <w:t xml:space="preserve">-</w:t>
            </w:r>
          </w:p>
        </w:tc>
      </w:tr>
      <w:tr>
        <w:tc>
          <w:tcPr>
            <w:tcW w:w="1417" w:type="dxa"/>
            <w:vAlign w:val="center"/>
            <w:vMerge w:val="restart"/>
          </w:tcPr>
          <w:p>
            <w:pPr>
              <w:pStyle w:val="0"/>
              <w:jc w:val="center"/>
            </w:pPr>
            <w:r>
              <w:rPr>
                <w:sz w:val="20"/>
              </w:rPr>
              <w:t xml:space="preserve">Более 100,0 до 300,0 включительно</w:t>
            </w:r>
          </w:p>
        </w:tc>
        <w:tc>
          <w:tcPr>
            <w:tcW w:w="1530" w:type="dxa"/>
          </w:tcPr>
          <w:p>
            <w:pPr>
              <w:pStyle w:val="0"/>
              <w:jc w:val="center"/>
            </w:pPr>
            <w:r>
              <w:rPr>
                <w:sz w:val="20"/>
              </w:rPr>
              <w:t xml:space="preserve">Газовая раковина, песчаное и шлаковое включения</w:t>
            </w:r>
          </w:p>
        </w:tc>
        <w:tc>
          <w:tcPr>
            <w:tcW w:w="1247" w:type="dxa"/>
            <w:vAlign w:val="center"/>
            <w:vMerge w:val="restart"/>
          </w:tcPr>
          <w:p>
            <w:pPr>
              <w:pStyle w:val="0"/>
              <w:jc w:val="center"/>
            </w:pPr>
            <w:r>
              <w:rPr>
                <w:sz w:val="20"/>
              </w:rPr>
              <w:t xml:space="preserve">180 x 280</w:t>
            </w:r>
          </w:p>
        </w:tc>
        <w:tc>
          <w:tcPr>
            <w:gridSpan w:val="2"/>
            <w:tcW w:w="1133" w:type="dxa"/>
            <w:vAlign w:val="center"/>
          </w:tcPr>
          <w:p>
            <w:pPr>
              <w:pStyle w:val="0"/>
              <w:jc w:val="center"/>
            </w:pPr>
            <w:r>
              <w:rPr>
                <w:sz w:val="20"/>
              </w:rPr>
              <w:t xml:space="preserve">6</w:t>
            </w:r>
          </w:p>
        </w:tc>
        <w:tc>
          <w:tcPr>
            <w:gridSpan w:val="2"/>
            <w:tcW w:w="1132" w:type="dxa"/>
            <w:vAlign w:val="center"/>
          </w:tcPr>
          <w:p>
            <w:pPr>
              <w:pStyle w:val="0"/>
              <w:jc w:val="center"/>
            </w:pPr>
            <w:r>
              <w:rPr>
                <w:sz w:val="20"/>
              </w:rPr>
              <w:t xml:space="preserve">6</w:t>
            </w:r>
          </w:p>
        </w:tc>
        <w:tc>
          <w:tcPr>
            <w:gridSpan w:val="2"/>
            <w:tcW w:w="680" w:type="dxa"/>
            <w:vAlign w:val="center"/>
          </w:tcPr>
          <w:p>
            <w:pPr>
              <w:pStyle w:val="0"/>
              <w:jc w:val="center"/>
            </w:pPr>
            <w:r>
              <w:rPr>
                <w:sz w:val="20"/>
              </w:rPr>
              <w:t xml:space="preserve">10</w:t>
            </w:r>
          </w:p>
        </w:tc>
        <w:tc>
          <w:tcPr>
            <w:gridSpan w:val="2"/>
            <w:tcW w:w="736" w:type="dxa"/>
            <w:vAlign w:val="center"/>
          </w:tcPr>
          <w:p>
            <w:pPr>
              <w:pStyle w:val="0"/>
              <w:jc w:val="center"/>
            </w:pPr>
            <w:r>
              <w:rPr>
                <w:sz w:val="20"/>
              </w:rPr>
              <w:t xml:space="preserve">12</w:t>
            </w:r>
          </w:p>
        </w:tc>
        <w:tc>
          <w:tcPr>
            <w:gridSpan w:val="2"/>
            <w:tcW w:w="736" w:type="dxa"/>
            <w:vAlign w:val="center"/>
          </w:tcPr>
          <w:p>
            <w:pPr>
              <w:pStyle w:val="0"/>
              <w:jc w:val="center"/>
            </w:pPr>
            <w:r>
              <w:rPr>
                <w:sz w:val="20"/>
              </w:rPr>
              <w:t xml:space="preserve">25</w:t>
            </w:r>
          </w:p>
        </w:tc>
        <w:tc>
          <w:tcPr>
            <w:gridSpan w:val="2"/>
            <w:tcW w:w="680" w:type="dxa"/>
            <w:vAlign w:val="center"/>
          </w:tcPr>
          <w:p>
            <w:pPr>
              <w:pStyle w:val="0"/>
              <w:jc w:val="center"/>
            </w:pPr>
            <w:r>
              <w:rPr>
                <w:sz w:val="20"/>
              </w:rPr>
              <w:t xml:space="preserve">15</w:t>
            </w:r>
          </w:p>
        </w:tc>
      </w:tr>
      <w:tr>
        <w:tc>
          <w:tcPr>
            <w:vMerge w:val="continue"/>
          </w:tcPr>
          <w:p/>
        </w:tc>
        <w:tc>
          <w:tcPr>
            <w:tcW w:w="1530" w:type="dxa"/>
          </w:tcPr>
          <w:p>
            <w:pPr>
              <w:pStyle w:val="0"/>
              <w:jc w:val="center"/>
            </w:pPr>
            <w:r>
              <w:rPr>
                <w:sz w:val="20"/>
              </w:rPr>
              <w:t xml:space="preserve">Усадочная рыхлота</w:t>
            </w:r>
          </w:p>
        </w:tc>
        <w:tc>
          <w:tcPr>
            <w:vMerge w:val="continue"/>
          </w:tcPr>
          <w:p/>
        </w:tc>
        <w:tc>
          <w:tcPr>
            <w:gridSpan w:val="2"/>
            <w:tcW w:w="1133" w:type="dxa"/>
            <w:vAlign w:val="center"/>
          </w:tcPr>
          <w:p>
            <w:pPr>
              <w:pStyle w:val="0"/>
              <w:jc w:val="center"/>
            </w:pPr>
            <w:r>
              <w:rPr>
                <w:sz w:val="20"/>
              </w:rPr>
              <w:t xml:space="preserve">0,1S + 5</w:t>
            </w:r>
          </w:p>
        </w:tc>
        <w:tc>
          <w:tcPr>
            <w:gridSpan w:val="2"/>
            <w:tcW w:w="1132" w:type="dxa"/>
            <w:vAlign w:val="center"/>
          </w:tcPr>
          <w:p>
            <w:pPr>
              <w:pStyle w:val="0"/>
              <w:jc w:val="center"/>
            </w:pPr>
            <w:r>
              <w:rPr>
                <w:sz w:val="20"/>
              </w:rPr>
              <w:t xml:space="preserve">0,1S + 25</w:t>
            </w:r>
          </w:p>
        </w:tc>
        <w:tc>
          <w:tcPr>
            <w:gridSpan w:val="2"/>
            <w:tcW w:w="680"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w:t>
            </w:r>
          </w:p>
        </w:tc>
        <w:tc>
          <w:tcPr>
            <w:gridSpan w:val="2"/>
            <w:tcW w:w="680" w:type="dxa"/>
            <w:vAlign w:val="center"/>
          </w:tcPr>
          <w:p>
            <w:pPr>
              <w:pStyle w:val="0"/>
              <w:jc w:val="center"/>
            </w:pPr>
            <w:r>
              <w:rPr>
                <w:sz w:val="20"/>
              </w:rPr>
              <w:t xml:space="preserve">-</w:t>
            </w:r>
          </w:p>
        </w:tc>
      </w:tr>
      <w:tr>
        <w:tc>
          <w:tcPr>
            <w:tcW w:w="1417" w:type="dxa"/>
            <w:vAlign w:val="center"/>
            <w:vMerge w:val="restart"/>
          </w:tcPr>
          <w:p>
            <w:pPr>
              <w:pStyle w:val="0"/>
              <w:jc w:val="center"/>
            </w:pPr>
            <w:r>
              <w:rPr>
                <w:sz w:val="20"/>
              </w:rPr>
              <w:t xml:space="preserve">Более 300,0</w:t>
            </w:r>
          </w:p>
        </w:tc>
        <w:tc>
          <w:tcPr>
            <w:tcW w:w="1530" w:type="dxa"/>
          </w:tcPr>
          <w:p>
            <w:pPr>
              <w:pStyle w:val="0"/>
              <w:jc w:val="center"/>
            </w:pPr>
            <w:r>
              <w:rPr>
                <w:sz w:val="20"/>
              </w:rPr>
              <w:t xml:space="preserve">Газовая раковина, песчаное и шлаковое включения</w:t>
            </w:r>
          </w:p>
        </w:tc>
        <w:tc>
          <w:tcPr>
            <w:tcW w:w="1247" w:type="dxa"/>
            <w:vAlign w:val="center"/>
            <w:vMerge w:val="restart"/>
          </w:tcPr>
          <w:p>
            <w:pPr>
              <w:pStyle w:val="0"/>
              <w:jc w:val="center"/>
            </w:pPr>
            <w:r>
              <w:rPr>
                <w:sz w:val="20"/>
              </w:rPr>
              <w:t xml:space="preserve">180 x 280</w:t>
            </w:r>
          </w:p>
        </w:tc>
        <w:tc>
          <w:tcPr>
            <w:gridSpan w:val="2"/>
            <w:tcW w:w="1133" w:type="dxa"/>
            <w:vAlign w:val="center"/>
          </w:tcPr>
          <w:p>
            <w:pPr>
              <w:pStyle w:val="0"/>
              <w:jc w:val="center"/>
            </w:pPr>
            <w:r>
              <w:rPr>
                <w:sz w:val="20"/>
              </w:rPr>
              <w:t xml:space="preserve">0,025S</w:t>
            </w:r>
          </w:p>
        </w:tc>
        <w:tc>
          <w:tcPr>
            <w:gridSpan w:val="2"/>
            <w:tcW w:w="1132" w:type="dxa"/>
            <w:vAlign w:val="center"/>
          </w:tcPr>
          <w:p>
            <w:pPr>
              <w:pStyle w:val="0"/>
              <w:jc w:val="center"/>
            </w:pPr>
            <w:r>
              <w:rPr>
                <w:sz w:val="20"/>
              </w:rPr>
              <w:t xml:space="preserve">0,025S</w:t>
            </w:r>
          </w:p>
        </w:tc>
        <w:tc>
          <w:tcPr>
            <w:gridSpan w:val="2"/>
            <w:tcW w:w="680" w:type="dxa"/>
            <w:vAlign w:val="center"/>
          </w:tcPr>
          <w:p>
            <w:pPr>
              <w:pStyle w:val="0"/>
              <w:jc w:val="center"/>
            </w:pPr>
            <w:r>
              <w:rPr>
                <w:sz w:val="20"/>
              </w:rPr>
              <w:t xml:space="preserve">10</w:t>
            </w:r>
          </w:p>
        </w:tc>
        <w:tc>
          <w:tcPr>
            <w:gridSpan w:val="2"/>
            <w:tcW w:w="736" w:type="dxa"/>
            <w:vAlign w:val="center"/>
          </w:tcPr>
          <w:p>
            <w:pPr>
              <w:pStyle w:val="0"/>
              <w:jc w:val="center"/>
            </w:pPr>
            <w:r>
              <w:rPr>
                <w:sz w:val="20"/>
              </w:rPr>
              <w:t xml:space="preserve">12</w:t>
            </w:r>
          </w:p>
        </w:tc>
        <w:tc>
          <w:tcPr>
            <w:gridSpan w:val="2"/>
            <w:tcW w:w="736" w:type="dxa"/>
            <w:vAlign w:val="center"/>
          </w:tcPr>
          <w:p>
            <w:pPr>
              <w:pStyle w:val="0"/>
              <w:jc w:val="center"/>
            </w:pPr>
            <w:r>
              <w:rPr>
                <w:sz w:val="20"/>
              </w:rPr>
              <w:t xml:space="preserve">25</w:t>
            </w:r>
          </w:p>
        </w:tc>
        <w:tc>
          <w:tcPr>
            <w:gridSpan w:val="2"/>
            <w:tcW w:w="680" w:type="dxa"/>
            <w:vAlign w:val="center"/>
          </w:tcPr>
          <w:p>
            <w:pPr>
              <w:pStyle w:val="0"/>
              <w:jc w:val="center"/>
            </w:pPr>
            <w:r>
              <w:rPr>
                <w:sz w:val="20"/>
              </w:rPr>
              <w:t xml:space="preserve">15</w:t>
            </w:r>
          </w:p>
        </w:tc>
      </w:tr>
      <w:tr>
        <w:tc>
          <w:tcPr>
            <w:vMerge w:val="continue"/>
          </w:tcPr>
          <w:p/>
        </w:tc>
        <w:tc>
          <w:tcPr>
            <w:tcW w:w="1530" w:type="dxa"/>
          </w:tcPr>
          <w:p>
            <w:pPr>
              <w:pStyle w:val="0"/>
              <w:jc w:val="center"/>
            </w:pPr>
            <w:r>
              <w:rPr>
                <w:sz w:val="20"/>
              </w:rPr>
              <w:t xml:space="preserve">Усадочная рыхлота</w:t>
            </w:r>
          </w:p>
        </w:tc>
        <w:tc>
          <w:tcPr>
            <w:vMerge w:val="continue"/>
          </w:tcPr>
          <w:p/>
        </w:tc>
        <w:tc>
          <w:tcPr>
            <w:gridSpan w:val="2"/>
            <w:tcW w:w="1133" w:type="dxa"/>
            <w:vAlign w:val="center"/>
          </w:tcPr>
          <w:p>
            <w:pPr>
              <w:pStyle w:val="0"/>
              <w:jc w:val="center"/>
            </w:pPr>
            <w:r>
              <w:rPr>
                <w:sz w:val="20"/>
              </w:rPr>
              <w:t xml:space="preserve">0,1S + 15,</w:t>
            </w:r>
          </w:p>
          <w:p>
            <w:pPr>
              <w:pStyle w:val="0"/>
              <w:jc w:val="center"/>
            </w:pPr>
            <w:r>
              <w:rPr>
                <w:sz w:val="20"/>
              </w:rPr>
              <w:t xml:space="preserve">но не более 55</w:t>
            </w:r>
          </w:p>
        </w:tc>
        <w:tc>
          <w:tcPr>
            <w:gridSpan w:val="2"/>
            <w:tcW w:w="1132" w:type="dxa"/>
            <w:vAlign w:val="center"/>
          </w:tcPr>
          <w:p>
            <w:pPr>
              <w:pStyle w:val="0"/>
              <w:jc w:val="center"/>
            </w:pPr>
            <w:r>
              <w:rPr>
                <w:sz w:val="20"/>
              </w:rPr>
              <w:t xml:space="preserve">0,1S + 25,</w:t>
            </w:r>
          </w:p>
          <w:p>
            <w:pPr>
              <w:pStyle w:val="0"/>
              <w:jc w:val="center"/>
            </w:pPr>
            <w:r>
              <w:rPr>
                <w:sz w:val="20"/>
              </w:rPr>
              <w:t xml:space="preserve">но не более 65</w:t>
            </w:r>
          </w:p>
        </w:tc>
        <w:tc>
          <w:tcPr>
            <w:gridSpan w:val="2"/>
            <w:tcW w:w="680"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1</w:t>
            </w:r>
          </w:p>
        </w:tc>
        <w:tc>
          <w:tcPr>
            <w:gridSpan w:val="2"/>
            <w:tcW w:w="736" w:type="dxa"/>
            <w:vAlign w:val="center"/>
          </w:tcPr>
          <w:p>
            <w:pPr>
              <w:pStyle w:val="0"/>
              <w:jc w:val="center"/>
            </w:pPr>
            <w:r>
              <w:rPr>
                <w:sz w:val="20"/>
              </w:rPr>
              <w:t xml:space="preserve">-</w:t>
            </w:r>
          </w:p>
        </w:tc>
        <w:tc>
          <w:tcPr>
            <w:gridSpan w:val="2"/>
            <w:tcW w:w="680" w:type="dxa"/>
            <w:vAlign w:val="center"/>
          </w:tcPr>
          <w:p>
            <w:pPr>
              <w:pStyle w:val="0"/>
              <w:jc w:val="center"/>
            </w:pPr>
            <w:r>
              <w:rPr>
                <w:sz w:val="20"/>
              </w:rPr>
              <w:t xml:space="preserve">-</w:t>
            </w:r>
          </w:p>
        </w:tc>
      </w:tr>
      <w:tr>
        <w:tc>
          <w:tcPr>
            <w:gridSpan w:val="15"/>
            <w:tcW w:w="9291" w:type="dxa"/>
          </w:tcPr>
          <w:p>
            <w:pPr>
              <w:pStyle w:val="0"/>
            </w:pPr>
            <w:r>
              <w:rPr>
                <w:sz w:val="20"/>
              </w:rPr>
              <w:t xml:space="preserve">Примечания.</w:t>
            </w:r>
          </w:p>
          <w:p>
            <w:pPr>
              <w:pStyle w:val="0"/>
            </w:pPr>
            <w:r>
              <w:rPr>
                <w:sz w:val="20"/>
              </w:rPr>
              <w:t xml:space="preserve">1. S - толщина стенки отливки в месте расположения несплошности.</w:t>
            </w:r>
          </w:p>
          <w:p>
            <w:pPr>
              <w:pStyle w:val="0"/>
            </w:pPr>
            <w:r>
              <w:rPr>
                <w:sz w:val="20"/>
              </w:rPr>
              <w:t xml:space="preserve">2. Скопление газовых раковин или песчаных и шлаковых включений, имеющих размеры меньше приведенных в таблице, допускается принимать за единичную несплошность. Максимальный линейный размер скопления не должен превышать указанных в таблице размеров. В пределах скопления расстояние между несплошностями не учитывается, а линейный размер скопления определяется как наибольшее расстояние между краями самых удаленных друг от друга несплошностей, входящих в скопление.</w:t>
            </w:r>
          </w:p>
        </w:tc>
      </w:tr>
    </w:tbl>
    <w:p>
      <w:pPr>
        <w:pStyle w:val="0"/>
        <w:jc w:val="both"/>
      </w:pPr>
      <w:r>
        <w:rPr>
          <w:sz w:val="20"/>
        </w:rPr>
      </w:r>
    </w:p>
    <w:p>
      <w:pPr>
        <w:pStyle w:val="0"/>
        <w:ind w:firstLine="540"/>
        <w:jc w:val="both"/>
      </w:pPr>
      <w:r>
        <w:rPr>
          <w:sz w:val="20"/>
        </w:rPr>
        <w:t xml:space="preserve">32. Нормы оценки качества по результатам радиографического контроля отливок электрошлаковой выплавки приведены в таблице N 8.6 настоящего приложения.</w:t>
      </w:r>
    </w:p>
    <w:p>
      <w:pPr>
        <w:pStyle w:val="0"/>
        <w:jc w:val="both"/>
      </w:pPr>
      <w:r>
        <w:rPr>
          <w:sz w:val="20"/>
        </w:rPr>
      </w:r>
    </w:p>
    <w:bookmarkStart w:id="3645" w:name="P3645"/>
    <w:bookmarkEnd w:id="3645"/>
    <w:p>
      <w:pPr>
        <w:pStyle w:val="0"/>
        <w:outlineLvl w:val="3"/>
        <w:jc w:val="right"/>
      </w:pPr>
      <w:r>
        <w:rPr>
          <w:sz w:val="20"/>
        </w:rPr>
        <w:t xml:space="preserve">Таблица N 8.6</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35"/>
        <w:gridCol w:w="1361"/>
        <w:gridCol w:w="1598"/>
        <w:gridCol w:w="1304"/>
        <w:gridCol w:w="1928"/>
      </w:tblGrid>
      <w:tr>
        <w:tc>
          <w:tcPr>
            <w:tcW w:w="2835" w:type="dxa"/>
          </w:tcPr>
          <w:p>
            <w:pPr>
              <w:pStyle w:val="0"/>
              <w:jc w:val="center"/>
            </w:pPr>
            <w:r>
              <w:rPr>
                <w:sz w:val="20"/>
              </w:rPr>
              <w:t xml:space="preserve">Толщина стенки отливки,</w:t>
            </w:r>
          </w:p>
          <w:p>
            <w:pPr>
              <w:pStyle w:val="0"/>
              <w:jc w:val="center"/>
            </w:pPr>
            <w:r>
              <w:rPr>
                <w:sz w:val="20"/>
              </w:rPr>
              <w:t xml:space="preserve">мм</w:t>
            </w:r>
          </w:p>
        </w:tc>
        <w:tc>
          <w:tcPr>
            <w:tcW w:w="1361" w:type="dxa"/>
          </w:tcPr>
          <w:p>
            <w:pPr>
              <w:pStyle w:val="0"/>
              <w:jc w:val="center"/>
            </w:pPr>
            <w:r>
              <w:rPr>
                <w:sz w:val="20"/>
              </w:rPr>
              <w:t xml:space="preserve">Размеры участка отливки,</w:t>
            </w:r>
          </w:p>
          <w:p>
            <w:pPr>
              <w:pStyle w:val="0"/>
              <w:jc w:val="center"/>
            </w:pPr>
            <w:r>
              <w:rPr>
                <w:sz w:val="20"/>
              </w:rPr>
              <w:t xml:space="preserve">мм</w:t>
            </w:r>
          </w:p>
        </w:tc>
        <w:tc>
          <w:tcPr>
            <w:tcW w:w="1598" w:type="dxa"/>
          </w:tcPr>
          <w:p>
            <w:pPr>
              <w:pStyle w:val="0"/>
              <w:jc w:val="center"/>
            </w:pPr>
            <w:r>
              <w:rPr>
                <w:sz w:val="20"/>
              </w:rPr>
              <w:t xml:space="preserve">Наибольший размер несплошностей на снимке,</w:t>
            </w:r>
          </w:p>
          <w:p>
            <w:pPr>
              <w:pStyle w:val="0"/>
              <w:jc w:val="center"/>
            </w:pPr>
            <w:r>
              <w:rPr>
                <w:sz w:val="20"/>
              </w:rPr>
              <w:t xml:space="preserve">мм</w:t>
            </w:r>
          </w:p>
        </w:tc>
        <w:tc>
          <w:tcPr>
            <w:tcW w:w="1304" w:type="dxa"/>
          </w:tcPr>
          <w:p>
            <w:pPr>
              <w:pStyle w:val="0"/>
              <w:jc w:val="center"/>
            </w:pPr>
            <w:r>
              <w:rPr>
                <w:sz w:val="20"/>
              </w:rPr>
              <w:t xml:space="preserve">Количество несплошностей,</w:t>
            </w:r>
          </w:p>
          <w:p>
            <w:pPr>
              <w:pStyle w:val="0"/>
              <w:jc w:val="center"/>
            </w:pPr>
            <w:r>
              <w:rPr>
                <w:sz w:val="20"/>
              </w:rPr>
              <w:t xml:space="preserve">шт.</w:t>
            </w:r>
          </w:p>
        </w:tc>
        <w:tc>
          <w:tcPr>
            <w:tcW w:w="1928" w:type="dxa"/>
          </w:tcPr>
          <w:p>
            <w:pPr>
              <w:pStyle w:val="0"/>
              <w:jc w:val="center"/>
            </w:pPr>
            <w:r>
              <w:rPr>
                <w:sz w:val="20"/>
              </w:rPr>
              <w:t xml:space="preserve">Минимальное расстояние на снимке между близлежащими краями несплошностей,</w:t>
            </w:r>
          </w:p>
          <w:p>
            <w:pPr>
              <w:pStyle w:val="0"/>
              <w:jc w:val="center"/>
            </w:pPr>
            <w:r>
              <w:rPr>
                <w:sz w:val="20"/>
              </w:rPr>
              <w:t xml:space="preserve">мм</w:t>
            </w:r>
          </w:p>
        </w:tc>
      </w:tr>
      <w:tr>
        <w:tc>
          <w:tcPr>
            <w:tcW w:w="2835" w:type="dxa"/>
            <w:vAlign w:val="center"/>
          </w:tcPr>
          <w:p>
            <w:pPr>
              <w:pStyle w:val="0"/>
              <w:jc w:val="center"/>
            </w:pPr>
            <w:r>
              <w:rPr>
                <w:sz w:val="20"/>
              </w:rPr>
              <w:t xml:space="preserve">До 25,0 включительно</w:t>
            </w:r>
          </w:p>
        </w:tc>
        <w:tc>
          <w:tcPr>
            <w:tcW w:w="1361" w:type="dxa"/>
            <w:vAlign w:val="center"/>
          </w:tcPr>
          <w:p>
            <w:pPr>
              <w:pStyle w:val="0"/>
              <w:jc w:val="center"/>
            </w:pPr>
            <w:r>
              <w:rPr>
                <w:sz w:val="20"/>
              </w:rPr>
              <w:t xml:space="preserve">130 x 180</w:t>
            </w:r>
          </w:p>
        </w:tc>
        <w:tc>
          <w:tcPr>
            <w:tcW w:w="1598" w:type="dxa"/>
            <w:vAlign w:val="center"/>
          </w:tcPr>
          <w:p>
            <w:pPr>
              <w:pStyle w:val="0"/>
              <w:jc w:val="center"/>
            </w:pPr>
            <w:r>
              <w:rPr>
                <w:sz w:val="20"/>
              </w:rPr>
              <w:t xml:space="preserve">3</w:t>
            </w:r>
          </w:p>
        </w:tc>
        <w:tc>
          <w:tcPr>
            <w:tcW w:w="1304" w:type="dxa"/>
            <w:vAlign w:val="center"/>
          </w:tcPr>
          <w:p>
            <w:pPr>
              <w:pStyle w:val="0"/>
              <w:jc w:val="center"/>
            </w:pPr>
            <w:r>
              <w:rPr>
                <w:sz w:val="20"/>
              </w:rPr>
              <w:t xml:space="preserve">8</w:t>
            </w:r>
          </w:p>
        </w:tc>
        <w:tc>
          <w:tcPr>
            <w:tcW w:w="1928" w:type="dxa"/>
            <w:vAlign w:val="center"/>
          </w:tcPr>
          <w:p>
            <w:pPr>
              <w:pStyle w:val="0"/>
              <w:jc w:val="center"/>
            </w:pPr>
            <w:r>
              <w:rPr>
                <w:sz w:val="20"/>
              </w:rPr>
              <w:t xml:space="preserve">15</w:t>
            </w:r>
          </w:p>
        </w:tc>
      </w:tr>
      <w:tr>
        <w:tc>
          <w:tcPr>
            <w:tcW w:w="2835" w:type="dxa"/>
            <w:vAlign w:val="center"/>
          </w:tcPr>
          <w:p>
            <w:pPr>
              <w:pStyle w:val="0"/>
              <w:jc w:val="center"/>
            </w:pPr>
            <w:r>
              <w:rPr>
                <w:sz w:val="20"/>
              </w:rPr>
              <w:t xml:space="preserve">Более 25,0 до 50,0 включительно</w:t>
            </w:r>
          </w:p>
        </w:tc>
        <w:tc>
          <w:tcPr>
            <w:tcW w:w="1361" w:type="dxa"/>
            <w:vAlign w:val="center"/>
          </w:tcPr>
          <w:p>
            <w:pPr>
              <w:pStyle w:val="0"/>
              <w:jc w:val="center"/>
            </w:pPr>
            <w:r>
              <w:rPr>
                <w:sz w:val="20"/>
              </w:rPr>
              <w:t xml:space="preserve">130 x 180</w:t>
            </w:r>
          </w:p>
        </w:tc>
        <w:tc>
          <w:tcPr>
            <w:tcW w:w="1598" w:type="dxa"/>
            <w:vAlign w:val="center"/>
          </w:tcPr>
          <w:p>
            <w:pPr>
              <w:pStyle w:val="0"/>
              <w:jc w:val="center"/>
            </w:pPr>
            <w:r>
              <w:rPr>
                <w:sz w:val="20"/>
              </w:rPr>
              <w:t xml:space="preserve">4</w:t>
            </w:r>
          </w:p>
        </w:tc>
        <w:tc>
          <w:tcPr>
            <w:tcW w:w="1304" w:type="dxa"/>
            <w:vAlign w:val="center"/>
          </w:tcPr>
          <w:p>
            <w:pPr>
              <w:pStyle w:val="0"/>
              <w:jc w:val="center"/>
            </w:pPr>
            <w:r>
              <w:rPr>
                <w:sz w:val="20"/>
              </w:rPr>
              <w:t xml:space="preserve">8</w:t>
            </w:r>
          </w:p>
        </w:tc>
        <w:tc>
          <w:tcPr>
            <w:tcW w:w="1928" w:type="dxa"/>
            <w:vAlign w:val="center"/>
          </w:tcPr>
          <w:p>
            <w:pPr>
              <w:pStyle w:val="0"/>
              <w:jc w:val="center"/>
            </w:pPr>
            <w:r>
              <w:rPr>
                <w:sz w:val="20"/>
              </w:rPr>
              <w:t xml:space="preserve">15</w:t>
            </w:r>
          </w:p>
        </w:tc>
      </w:tr>
      <w:tr>
        <w:tc>
          <w:tcPr>
            <w:tcW w:w="2835" w:type="dxa"/>
            <w:vAlign w:val="center"/>
          </w:tcPr>
          <w:p>
            <w:pPr>
              <w:pStyle w:val="0"/>
              <w:jc w:val="center"/>
            </w:pPr>
            <w:r>
              <w:rPr>
                <w:sz w:val="20"/>
              </w:rPr>
              <w:t xml:space="preserve">Более 50,0 до 100,0 включительно</w:t>
            </w:r>
          </w:p>
        </w:tc>
        <w:tc>
          <w:tcPr>
            <w:tcW w:w="1361" w:type="dxa"/>
            <w:vAlign w:val="center"/>
          </w:tcPr>
          <w:p>
            <w:pPr>
              <w:pStyle w:val="0"/>
              <w:jc w:val="center"/>
            </w:pPr>
            <w:r>
              <w:rPr>
                <w:sz w:val="20"/>
              </w:rPr>
              <w:t xml:space="preserve">130 x 180</w:t>
            </w:r>
          </w:p>
        </w:tc>
        <w:tc>
          <w:tcPr>
            <w:tcW w:w="1598" w:type="dxa"/>
            <w:vAlign w:val="center"/>
          </w:tcPr>
          <w:p>
            <w:pPr>
              <w:pStyle w:val="0"/>
              <w:jc w:val="center"/>
            </w:pPr>
            <w:r>
              <w:rPr>
                <w:sz w:val="20"/>
              </w:rPr>
              <w:t xml:space="preserve">5</w:t>
            </w:r>
          </w:p>
        </w:tc>
        <w:tc>
          <w:tcPr>
            <w:tcW w:w="1304" w:type="dxa"/>
            <w:vAlign w:val="center"/>
          </w:tcPr>
          <w:p>
            <w:pPr>
              <w:pStyle w:val="0"/>
              <w:jc w:val="center"/>
            </w:pPr>
            <w:r>
              <w:rPr>
                <w:sz w:val="20"/>
              </w:rPr>
              <w:t xml:space="preserve">11</w:t>
            </w:r>
          </w:p>
        </w:tc>
        <w:tc>
          <w:tcPr>
            <w:tcW w:w="1928" w:type="dxa"/>
            <w:vAlign w:val="center"/>
          </w:tcPr>
          <w:p>
            <w:pPr>
              <w:pStyle w:val="0"/>
              <w:jc w:val="center"/>
            </w:pPr>
            <w:r>
              <w:rPr>
                <w:sz w:val="20"/>
              </w:rPr>
              <w:t xml:space="preserve">25</w:t>
            </w:r>
          </w:p>
        </w:tc>
      </w:tr>
      <w:tr>
        <w:tc>
          <w:tcPr>
            <w:tcW w:w="2835" w:type="dxa"/>
            <w:vAlign w:val="center"/>
          </w:tcPr>
          <w:p>
            <w:pPr>
              <w:pStyle w:val="0"/>
              <w:jc w:val="center"/>
            </w:pPr>
            <w:r>
              <w:rPr>
                <w:sz w:val="20"/>
              </w:rPr>
              <w:t xml:space="preserve">Более 100,0 до 300,0 включительно</w:t>
            </w:r>
          </w:p>
        </w:tc>
        <w:tc>
          <w:tcPr>
            <w:tcW w:w="1361" w:type="dxa"/>
            <w:vAlign w:val="center"/>
          </w:tcPr>
          <w:p>
            <w:pPr>
              <w:pStyle w:val="0"/>
              <w:jc w:val="center"/>
            </w:pPr>
            <w:r>
              <w:rPr>
                <w:sz w:val="20"/>
              </w:rPr>
              <w:t xml:space="preserve">180 x 280</w:t>
            </w:r>
          </w:p>
        </w:tc>
        <w:tc>
          <w:tcPr>
            <w:tcW w:w="1598" w:type="dxa"/>
            <w:vAlign w:val="center"/>
          </w:tcPr>
          <w:p>
            <w:pPr>
              <w:pStyle w:val="0"/>
              <w:jc w:val="center"/>
            </w:pPr>
            <w:r>
              <w:rPr>
                <w:sz w:val="20"/>
              </w:rPr>
              <w:t xml:space="preserve">5</w:t>
            </w:r>
          </w:p>
        </w:tc>
        <w:tc>
          <w:tcPr>
            <w:tcW w:w="1304" w:type="dxa"/>
            <w:vAlign w:val="center"/>
          </w:tcPr>
          <w:p>
            <w:pPr>
              <w:pStyle w:val="0"/>
              <w:jc w:val="center"/>
            </w:pPr>
            <w:r>
              <w:rPr>
                <w:sz w:val="20"/>
              </w:rPr>
              <w:t xml:space="preserve">14</w:t>
            </w:r>
          </w:p>
        </w:tc>
        <w:tc>
          <w:tcPr>
            <w:tcW w:w="1928" w:type="dxa"/>
            <w:vAlign w:val="center"/>
          </w:tcPr>
          <w:p>
            <w:pPr>
              <w:pStyle w:val="0"/>
              <w:jc w:val="center"/>
            </w:pPr>
            <w:r>
              <w:rPr>
                <w:sz w:val="20"/>
              </w:rPr>
              <w:t xml:space="preserve">25</w:t>
            </w:r>
          </w:p>
        </w:tc>
      </w:tr>
      <w:tr>
        <w:tc>
          <w:tcPr>
            <w:tcW w:w="2835" w:type="dxa"/>
            <w:vAlign w:val="center"/>
          </w:tcPr>
          <w:p>
            <w:pPr>
              <w:pStyle w:val="0"/>
              <w:jc w:val="center"/>
            </w:pPr>
            <w:r>
              <w:rPr>
                <w:sz w:val="20"/>
              </w:rPr>
              <w:t xml:space="preserve">Более 300,0</w:t>
            </w:r>
          </w:p>
        </w:tc>
        <w:tc>
          <w:tcPr>
            <w:tcW w:w="1361" w:type="dxa"/>
            <w:vAlign w:val="center"/>
          </w:tcPr>
          <w:p>
            <w:pPr>
              <w:pStyle w:val="0"/>
              <w:jc w:val="center"/>
            </w:pPr>
            <w:r>
              <w:rPr>
                <w:sz w:val="20"/>
              </w:rPr>
              <w:t xml:space="preserve">180 x 280</w:t>
            </w:r>
          </w:p>
        </w:tc>
        <w:tc>
          <w:tcPr>
            <w:tcW w:w="1598" w:type="dxa"/>
            <w:vAlign w:val="center"/>
          </w:tcPr>
          <w:p>
            <w:pPr>
              <w:pStyle w:val="0"/>
              <w:jc w:val="center"/>
            </w:pPr>
            <w:r>
              <w:rPr>
                <w:sz w:val="20"/>
              </w:rPr>
              <w:t xml:space="preserve">6</w:t>
            </w:r>
          </w:p>
        </w:tc>
        <w:tc>
          <w:tcPr>
            <w:tcW w:w="1304" w:type="dxa"/>
            <w:vAlign w:val="center"/>
          </w:tcPr>
          <w:p>
            <w:pPr>
              <w:pStyle w:val="0"/>
              <w:jc w:val="center"/>
            </w:pPr>
            <w:r>
              <w:rPr>
                <w:sz w:val="20"/>
              </w:rPr>
              <w:t xml:space="preserve">14</w:t>
            </w:r>
          </w:p>
        </w:tc>
        <w:tc>
          <w:tcPr>
            <w:tcW w:w="1928" w:type="dxa"/>
            <w:vAlign w:val="center"/>
          </w:tcPr>
          <w:p>
            <w:pPr>
              <w:pStyle w:val="0"/>
              <w:jc w:val="center"/>
            </w:pPr>
            <w:r>
              <w:rPr>
                <w:sz w:val="20"/>
              </w:rPr>
              <w:t xml:space="preserve">25</w:t>
            </w:r>
          </w:p>
        </w:tc>
      </w:tr>
    </w:tbl>
    <w:p>
      <w:pPr>
        <w:pStyle w:val="0"/>
        <w:jc w:val="both"/>
      </w:pPr>
      <w:r>
        <w:rPr>
          <w:sz w:val="20"/>
        </w:rPr>
      </w:r>
    </w:p>
    <w:p>
      <w:pPr>
        <w:pStyle w:val="0"/>
        <w:ind w:firstLine="540"/>
        <w:jc w:val="both"/>
      </w:pPr>
      <w:r>
        <w:rPr>
          <w:sz w:val="20"/>
        </w:rPr>
        <w:t xml:space="preserve">33. Несплошности, размеры и количество которых превышают приведенные в </w:t>
      </w:r>
      <w:hyperlink w:history="0" w:anchor="P3533" w:tooltip="Таблица N 8.5">
        <w:r>
          <w:rPr>
            <w:sz w:val="20"/>
            <w:color w:val="0000ff"/>
          </w:rPr>
          <w:t xml:space="preserve">таблицах N 8.5</w:t>
        </w:r>
      </w:hyperlink>
      <w:r>
        <w:rPr>
          <w:sz w:val="20"/>
        </w:rPr>
        <w:t xml:space="preserve"> - </w:t>
      </w:r>
      <w:hyperlink w:history="0" w:anchor="P3645" w:tooltip="Таблица N 8.6">
        <w:r>
          <w:rPr>
            <w:sz w:val="20"/>
            <w:color w:val="0000ff"/>
          </w:rPr>
          <w:t xml:space="preserve">8.6</w:t>
        </w:r>
      </w:hyperlink>
      <w:r>
        <w:rPr>
          <w:sz w:val="20"/>
        </w:rPr>
        <w:t xml:space="preserve"> настоящего приложения, не допускаются.</w:t>
      </w:r>
    </w:p>
    <w:p>
      <w:pPr>
        <w:pStyle w:val="0"/>
        <w:spacing w:before="200" w:line-rule="auto"/>
        <w:ind w:firstLine="540"/>
        <w:jc w:val="both"/>
      </w:pPr>
      <w:r>
        <w:rPr>
          <w:sz w:val="20"/>
        </w:rPr>
        <w:t xml:space="preserve">34. При расшифровке радиографических снимков не учитываются видимые на них и допустимые без исправления поверхностные несплошности и отдельные поверхностные неровности, связанные с исправлением несплошностей или зачисткой поверхности.</w:t>
      </w:r>
    </w:p>
    <w:p>
      <w:pPr>
        <w:pStyle w:val="0"/>
        <w:spacing w:before="200" w:line-rule="auto"/>
        <w:ind w:firstLine="540"/>
        <w:jc w:val="both"/>
      </w:pPr>
      <w:r>
        <w:rPr>
          <w:sz w:val="20"/>
        </w:rPr>
        <w:t xml:space="preserve">35. Если на одном и том же радиографическом снимке зафиксированы несплошности типа газовых раковин, песчаных и шлаковых включений, то без исправления допускаются несплошности одного типа, не превышающие норм, приведенных в </w:t>
      </w:r>
      <w:hyperlink w:history="0" w:anchor="P3533" w:tooltip="Таблица N 8.5">
        <w:r>
          <w:rPr>
            <w:sz w:val="20"/>
            <w:color w:val="0000ff"/>
          </w:rPr>
          <w:t xml:space="preserve">таблице N 8.5</w:t>
        </w:r>
      </w:hyperlink>
      <w:r>
        <w:rPr>
          <w:sz w:val="20"/>
        </w:rPr>
        <w:t xml:space="preserve"> настоящего приложения. Количество несплошностей других типов должно быть вдвое меньше норм, приведенных в </w:t>
      </w:r>
      <w:hyperlink w:history="0" w:anchor="P3533" w:tooltip="Таблица N 8.5">
        <w:r>
          <w:rPr>
            <w:sz w:val="20"/>
            <w:color w:val="0000ff"/>
          </w:rPr>
          <w:t xml:space="preserve">таблице N 8.5</w:t>
        </w:r>
      </w:hyperlink>
      <w:r>
        <w:rPr>
          <w:sz w:val="20"/>
        </w:rPr>
        <w:t xml:space="preserve"> настоящего приложения, а минимальное расстояние между этими несплошностями должно соответствовать требованиям, приведенным в </w:t>
      </w:r>
      <w:hyperlink w:history="0" w:anchor="P3533" w:tooltip="Таблица N 8.5">
        <w:r>
          <w:rPr>
            <w:sz w:val="20"/>
            <w:color w:val="0000ff"/>
          </w:rPr>
          <w:t xml:space="preserve">таблице N 8.5</w:t>
        </w:r>
      </w:hyperlink>
      <w:r>
        <w:rPr>
          <w:sz w:val="20"/>
        </w:rPr>
        <w:t xml:space="preserve"> настоящего приложения.</w:t>
      </w:r>
    </w:p>
    <w:p>
      <w:pPr>
        <w:pStyle w:val="0"/>
        <w:spacing w:before="200" w:line-rule="auto"/>
        <w:ind w:firstLine="540"/>
        <w:jc w:val="both"/>
      </w:pPr>
      <w:r>
        <w:rPr>
          <w:sz w:val="20"/>
        </w:rPr>
        <w:t xml:space="preserve">36. Если на одном и том же радиографическом снимке зафиксированы газовые раковины, песчаные и шлаковые включения и усадочные рыхлоты, то усадочные рыхлоты допускаются без исправления при условии соответствия их показателей нормам, приведенным в </w:t>
      </w:r>
      <w:hyperlink w:history="0" w:anchor="P3533" w:tooltip="Таблица N 8.5">
        <w:r>
          <w:rPr>
            <w:sz w:val="20"/>
            <w:color w:val="0000ff"/>
          </w:rPr>
          <w:t xml:space="preserve">таблице N 8.5</w:t>
        </w:r>
      </w:hyperlink>
      <w:r>
        <w:rPr>
          <w:sz w:val="20"/>
        </w:rPr>
        <w:t xml:space="preserve"> настоящего приложения. Общее количество газовых раковин, песчаных и шлаковых включений должно быть вдвое меньше норм, а минимальное расстояние между ними должно соответствовать требованиям </w:t>
      </w:r>
      <w:hyperlink w:history="0" w:anchor="P3533" w:tooltip="Таблица N 8.5">
        <w:r>
          <w:rPr>
            <w:sz w:val="20"/>
            <w:color w:val="0000ff"/>
          </w:rPr>
          <w:t xml:space="preserve">таблицы N 8.5</w:t>
        </w:r>
      </w:hyperlink>
      <w:r>
        <w:rPr>
          <w:sz w:val="20"/>
        </w:rPr>
        <w:t xml:space="preserve"> настоящего приложения.</w:t>
      </w:r>
    </w:p>
    <w:p>
      <w:pPr>
        <w:pStyle w:val="0"/>
        <w:spacing w:before="200" w:line-rule="auto"/>
        <w:ind w:firstLine="540"/>
        <w:jc w:val="both"/>
      </w:pPr>
      <w:r>
        <w:rPr>
          <w:sz w:val="20"/>
        </w:rPr>
        <w:t xml:space="preserve">37. На любом участке отливки размерами 130,0 x 180,0 мм для отливок с толщиной стенки до 100,0 мм и размерами 180,0 x 280,0 мм для отливок с толщиной стенки свыше 100,0 мм не должно быть несплошностей, показатели которых превышают требования </w:t>
      </w:r>
      <w:hyperlink w:history="0" w:anchor="P3533" w:tooltip="Таблица N 8.5">
        <w:r>
          <w:rPr>
            <w:sz w:val="20"/>
            <w:color w:val="0000ff"/>
          </w:rPr>
          <w:t xml:space="preserve">таблиц N 8.5</w:t>
        </w:r>
      </w:hyperlink>
      <w:r>
        <w:rPr>
          <w:sz w:val="20"/>
        </w:rPr>
        <w:t xml:space="preserve"> - </w:t>
      </w:r>
      <w:hyperlink w:history="0" w:anchor="P3645" w:tooltip="Таблица N 8.6">
        <w:r>
          <w:rPr>
            <w:sz w:val="20"/>
            <w:color w:val="0000ff"/>
          </w:rPr>
          <w:t xml:space="preserve">8.6</w:t>
        </w:r>
      </w:hyperlink>
      <w:r>
        <w:rPr>
          <w:sz w:val="20"/>
        </w:rPr>
        <w:t xml:space="preserve"> настоящего приложения.</w:t>
      </w:r>
    </w:p>
    <w:p>
      <w:pPr>
        <w:pStyle w:val="0"/>
        <w:spacing w:before="200" w:line-rule="auto"/>
        <w:ind w:firstLine="540"/>
        <w:jc w:val="both"/>
      </w:pPr>
      <w:r>
        <w:rPr>
          <w:sz w:val="20"/>
        </w:rPr>
        <w:t xml:space="preserve">38. Если размеры отливки менее 130,0 x 180,0 мм или 180,0 x 280,0 мм, то количество несплошностей, допустимых без исправления, должно быть пропорционально уменьшено по отношению к размерам участка отливки, приведенным в </w:t>
      </w:r>
      <w:hyperlink w:history="0" w:anchor="P3533" w:tooltip="Таблица N 8.5">
        <w:r>
          <w:rPr>
            <w:sz w:val="20"/>
            <w:color w:val="0000ff"/>
          </w:rPr>
          <w:t xml:space="preserve">таблицах N 8.5</w:t>
        </w:r>
      </w:hyperlink>
      <w:r>
        <w:rPr>
          <w:sz w:val="20"/>
        </w:rPr>
        <w:t xml:space="preserve"> - </w:t>
      </w:r>
      <w:hyperlink w:history="0" w:anchor="P3645" w:tooltip="Таблица N 8.6">
        <w:r>
          <w:rPr>
            <w:sz w:val="20"/>
            <w:color w:val="0000ff"/>
          </w:rPr>
          <w:t xml:space="preserve">8.6</w:t>
        </w:r>
      </w:hyperlink>
      <w:r>
        <w:rPr>
          <w:sz w:val="20"/>
        </w:rPr>
        <w:t xml:space="preserve"> настоящего приложения.</w:t>
      </w:r>
    </w:p>
    <w:p>
      <w:pPr>
        <w:pStyle w:val="0"/>
        <w:spacing w:before="200" w:line-rule="auto"/>
        <w:ind w:firstLine="540"/>
        <w:jc w:val="both"/>
      </w:pPr>
      <w:r>
        <w:rPr>
          <w:sz w:val="20"/>
        </w:rPr>
        <w:t xml:space="preserve">39. После проведения ультразвукового контроля, при котором на отдельных участках отливки обнаружены несплошности, радиографическому контролю должны подвергаться участки отливок с несплошностями, выходящими за пределы радиографического участка, до тех пор, пока несплошности не будут выявлены полностью.</w:t>
      </w:r>
    </w:p>
    <w:p>
      <w:pPr>
        <w:pStyle w:val="0"/>
        <w:spacing w:before="200" w:line-rule="auto"/>
        <w:ind w:firstLine="540"/>
        <w:jc w:val="both"/>
      </w:pPr>
      <w:r>
        <w:rPr>
          <w:sz w:val="20"/>
        </w:rPr>
        <w:t xml:space="preserve">40. Трещины любого характера, обнаруженные в отливке при контроле, должны быть удалены с последующим исправлением заваркой.</w:t>
      </w:r>
    </w:p>
    <w:p>
      <w:pPr>
        <w:pStyle w:val="0"/>
        <w:jc w:val="both"/>
      </w:pPr>
      <w:r>
        <w:rPr>
          <w:sz w:val="20"/>
        </w:rPr>
      </w:r>
    </w:p>
    <w:p>
      <w:pPr>
        <w:pStyle w:val="2"/>
        <w:outlineLvl w:val="2"/>
        <w:jc w:val="center"/>
      </w:pPr>
      <w:r>
        <w:rPr>
          <w:sz w:val="20"/>
        </w:rPr>
        <w:t xml:space="preserve">Разрушающий контроль</w:t>
      </w:r>
    </w:p>
    <w:p>
      <w:pPr>
        <w:pStyle w:val="0"/>
        <w:jc w:val="both"/>
      </w:pPr>
      <w:r>
        <w:rPr>
          <w:sz w:val="20"/>
        </w:rPr>
      </w:r>
    </w:p>
    <w:p>
      <w:pPr>
        <w:pStyle w:val="0"/>
        <w:ind w:firstLine="540"/>
        <w:jc w:val="both"/>
      </w:pPr>
      <w:r>
        <w:rPr>
          <w:sz w:val="20"/>
        </w:rPr>
        <w:t xml:space="preserve">41. При разрушающем контроле должны проводиться механические испытания и контроль химического состава металла отливок.</w:t>
      </w:r>
    </w:p>
    <w:p>
      <w:pPr>
        <w:pStyle w:val="0"/>
        <w:spacing w:before="200" w:line-rule="auto"/>
        <w:ind w:firstLine="540"/>
        <w:jc w:val="both"/>
      </w:pPr>
      <w:r>
        <w:rPr>
          <w:sz w:val="20"/>
        </w:rPr>
        <w:t xml:space="preserve">Для сталей аустенитного класса и высокохромистых сталей должен проводиться контроль коррозионных свойств.</w:t>
      </w:r>
    </w:p>
    <w:p>
      <w:pPr>
        <w:pStyle w:val="0"/>
        <w:spacing w:before="200" w:line-rule="auto"/>
        <w:ind w:firstLine="540"/>
        <w:jc w:val="both"/>
      </w:pPr>
      <w:r>
        <w:rPr>
          <w:sz w:val="20"/>
        </w:rPr>
        <w:t xml:space="preserve">Для сталей аустенитного класса должен проводиться контроль содержания ферритной фазы.</w:t>
      </w:r>
    </w:p>
    <w:p>
      <w:pPr>
        <w:pStyle w:val="0"/>
        <w:spacing w:before="200" w:line-rule="auto"/>
        <w:ind w:firstLine="540"/>
        <w:jc w:val="both"/>
      </w:pPr>
      <w:r>
        <w:rPr>
          <w:sz w:val="20"/>
        </w:rPr>
        <w:t xml:space="preserve">42. Порядок проведения, объем и методы разрушающего контроля и места вырезки образцов должны устанавливаться в конструкторской и технологической документации.</w:t>
      </w:r>
    </w:p>
    <w:p>
      <w:pPr>
        <w:pStyle w:val="0"/>
        <w:spacing w:before="200" w:line-rule="auto"/>
        <w:ind w:firstLine="540"/>
        <w:jc w:val="both"/>
      </w:pPr>
      <w:r>
        <w:rPr>
          <w:sz w:val="20"/>
        </w:rPr>
        <w:t xml:space="preserve">43. Типы и количество образцов устанавливаются конструкторской и технологической документацией с учетом требований документов по стандартизации на соответствующие полуфабрикаты.</w:t>
      </w:r>
    </w:p>
    <w:p>
      <w:pPr>
        <w:pStyle w:val="0"/>
        <w:spacing w:before="200" w:line-rule="auto"/>
        <w:ind w:firstLine="540"/>
        <w:jc w:val="both"/>
      </w:pPr>
      <w:r>
        <w:rPr>
          <w:sz w:val="20"/>
        </w:rPr>
        <w:t xml:space="preserve">44. Схема отбора образцов для определения механических свойств металла отливок разрабатывается организацией-изготовителем и указывается в технологической документации.</w:t>
      </w:r>
    </w:p>
    <w:p>
      <w:pPr>
        <w:pStyle w:val="0"/>
        <w:jc w:val="both"/>
      </w:pPr>
      <w:r>
        <w:rPr>
          <w:sz w:val="20"/>
        </w:rPr>
      </w:r>
    </w:p>
    <w:p>
      <w:pPr>
        <w:pStyle w:val="2"/>
        <w:outlineLvl w:val="2"/>
        <w:jc w:val="center"/>
      </w:pPr>
      <w:r>
        <w:rPr>
          <w:sz w:val="20"/>
        </w:rPr>
        <w:t xml:space="preserve">Контроль химического состава металла отливок</w:t>
      </w:r>
    </w:p>
    <w:p>
      <w:pPr>
        <w:pStyle w:val="0"/>
        <w:jc w:val="both"/>
      </w:pPr>
      <w:r>
        <w:rPr>
          <w:sz w:val="20"/>
        </w:rPr>
      </w:r>
    </w:p>
    <w:p>
      <w:pPr>
        <w:pStyle w:val="0"/>
        <w:ind w:firstLine="540"/>
        <w:jc w:val="both"/>
      </w:pPr>
      <w:r>
        <w:rPr>
          <w:sz w:val="20"/>
        </w:rPr>
        <w:t xml:space="preserve">45. Химический состав металла отливок должен определяться на пробах, отбираемых от каждой плавки.</w:t>
      </w:r>
    </w:p>
    <w:p>
      <w:pPr>
        <w:pStyle w:val="0"/>
        <w:spacing w:before="200" w:line-rule="auto"/>
        <w:ind w:firstLine="540"/>
        <w:jc w:val="both"/>
      </w:pPr>
      <w:r>
        <w:rPr>
          <w:sz w:val="20"/>
        </w:rPr>
        <w:t xml:space="preserve">Пробы для определения химического состава металла заготовок электрошлаковой выплавки должны отбираться из специального припуска для отбора проб. Для заготовок электрошлаковой выплавки 2-го и 3-го классов пробы должны отбираться из припуска на механическую обработку на глубине не менее 3,0 мм от поверхности отливки.</w:t>
      </w:r>
    </w:p>
    <w:p>
      <w:pPr>
        <w:pStyle w:val="0"/>
        <w:spacing w:before="200" w:line-rule="auto"/>
        <w:ind w:firstLine="540"/>
        <w:jc w:val="both"/>
      </w:pPr>
      <w:r>
        <w:rPr>
          <w:sz w:val="20"/>
        </w:rPr>
        <w:t xml:space="preserve">46. Проверка соответствия химического состава металла заготовок электрошлаковой выплавки должна проводиться для отливок:</w:t>
      </w:r>
    </w:p>
    <w:p>
      <w:pPr>
        <w:pStyle w:val="0"/>
        <w:spacing w:before="200" w:line-rule="auto"/>
        <w:ind w:firstLine="540"/>
        <w:jc w:val="both"/>
      </w:pPr>
      <w:r>
        <w:rPr>
          <w:sz w:val="20"/>
        </w:rPr>
        <w:t xml:space="preserve">а) 1 класса - на каждой заготовке;</w:t>
      </w:r>
    </w:p>
    <w:p>
      <w:pPr>
        <w:pStyle w:val="0"/>
        <w:spacing w:before="200" w:line-rule="auto"/>
        <w:ind w:firstLine="540"/>
        <w:jc w:val="both"/>
      </w:pPr>
      <w:r>
        <w:rPr>
          <w:sz w:val="20"/>
        </w:rPr>
        <w:t xml:space="preserve">б) 2 класса - на двух заготовках от партии;</w:t>
      </w:r>
    </w:p>
    <w:p>
      <w:pPr>
        <w:pStyle w:val="0"/>
        <w:spacing w:before="200" w:line-rule="auto"/>
        <w:ind w:firstLine="540"/>
        <w:jc w:val="both"/>
      </w:pPr>
      <w:r>
        <w:rPr>
          <w:sz w:val="20"/>
        </w:rPr>
        <w:t xml:space="preserve">в) 3 класса - на одной заготовке от партии.</w:t>
      </w:r>
    </w:p>
    <w:p>
      <w:pPr>
        <w:pStyle w:val="0"/>
        <w:spacing w:before="200" w:line-rule="auto"/>
        <w:ind w:firstLine="540"/>
        <w:jc w:val="both"/>
      </w:pPr>
      <w:r>
        <w:rPr>
          <w:sz w:val="20"/>
        </w:rPr>
        <w:t xml:space="preserve">47. Химический состав материала отливки должен определяться в соответствии с требованиями документов по стандартизации, включенных в Сводный </w:t>
      </w:r>
      <w:hyperlink w:history="0" r:id="rId93"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p>
      <w:pPr>
        <w:pStyle w:val="0"/>
        <w:jc w:val="both"/>
      </w:pPr>
      <w:r>
        <w:rPr>
          <w:sz w:val="20"/>
        </w:rPr>
      </w:r>
    </w:p>
    <w:p>
      <w:pPr>
        <w:pStyle w:val="2"/>
        <w:outlineLvl w:val="2"/>
        <w:jc w:val="center"/>
      </w:pPr>
      <w:r>
        <w:rPr>
          <w:sz w:val="20"/>
        </w:rPr>
        <w:t xml:space="preserve">Контроль механических свойств металла</w:t>
      </w:r>
    </w:p>
    <w:p>
      <w:pPr>
        <w:pStyle w:val="0"/>
        <w:jc w:val="both"/>
      </w:pPr>
      <w:r>
        <w:rPr>
          <w:sz w:val="20"/>
        </w:rPr>
      </w:r>
    </w:p>
    <w:p>
      <w:pPr>
        <w:pStyle w:val="0"/>
        <w:ind w:firstLine="540"/>
        <w:jc w:val="both"/>
      </w:pPr>
      <w:r>
        <w:rPr>
          <w:sz w:val="20"/>
        </w:rPr>
        <w:t xml:space="preserve">48. Механические свойства металла определяются на образцах, отбираемых после окончательной термической обработки механическим или анодно-механическим способом.</w:t>
      </w:r>
    </w:p>
    <w:bookmarkStart w:id="3714" w:name="P3714"/>
    <w:bookmarkEnd w:id="3714"/>
    <w:p>
      <w:pPr>
        <w:pStyle w:val="0"/>
        <w:spacing w:before="200" w:line-rule="auto"/>
        <w:ind w:firstLine="540"/>
        <w:jc w:val="both"/>
      </w:pPr>
      <w:r>
        <w:rPr>
          <w:sz w:val="20"/>
        </w:rPr>
        <w:t xml:space="preserve">49. Порядок отбора заготовок образцов для контроля механических свойств металла отливок, за исключением отливок электрошлаковой выплавки, приведен в таблице N 8.7 настоящего приложения.</w:t>
      </w:r>
    </w:p>
    <w:p>
      <w:pPr>
        <w:pStyle w:val="0"/>
        <w:jc w:val="both"/>
      </w:pPr>
      <w:r>
        <w:rPr>
          <w:sz w:val="20"/>
        </w:rPr>
      </w:r>
    </w:p>
    <w:bookmarkStart w:id="3716" w:name="P3716"/>
    <w:bookmarkEnd w:id="3716"/>
    <w:p>
      <w:pPr>
        <w:pStyle w:val="0"/>
        <w:outlineLvl w:val="3"/>
        <w:jc w:val="right"/>
      </w:pPr>
      <w:r>
        <w:rPr>
          <w:sz w:val="20"/>
        </w:rPr>
        <w:t xml:space="preserve">Таблица N 8.7</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907"/>
        <w:gridCol w:w="1587"/>
        <w:gridCol w:w="4422"/>
      </w:tblGrid>
      <w:tr>
        <w:tc>
          <w:tcPr>
            <w:tcW w:w="2154" w:type="dxa"/>
          </w:tcPr>
          <w:p>
            <w:pPr>
              <w:pStyle w:val="0"/>
              <w:jc w:val="center"/>
            </w:pPr>
            <w:r>
              <w:rPr>
                <w:sz w:val="20"/>
              </w:rPr>
              <w:t xml:space="preserve">Класс стали</w:t>
            </w:r>
          </w:p>
        </w:tc>
        <w:tc>
          <w:tcPr>
            <w:tcW w:w="907" w:type="dxa"/>
          </w:tcPr>
          <w:p>
            <w:pPr>
              <w:pStyle w:val="0"/>
              <w:jc w:val="center"/>
            </w:pPr>
            <w:r>
              <w:rPr>
                <w:sz w:val="20"/>
              </w:rPr>
              <w:t xml:space="preserve">Класс отливки</w:t>
            </w:r>
          </w:p>
        </w:tc>
        <w:tc>
          <w:tcPr>
            <w:tcW w:w="1587" w:type="dxa"/>
          </w:tcPr>
          <w:p>
            <w:pPr>
              <w:pStyle w:val="0"/>
              <w:jc w:val="center"/>
            </w:pPr>
            <w:r>
              <w:rPr>
                <w:sz w:val="20"/>
              </w:rPr>
              <w:t xml:space="preserve">Толщина стенки отливки S, мм</w:t>
            </w:r>
          </w:p>
        </w:tc>
        <w:tc>
          <w:tcPr>
            <w:tcW w:w="4422" w:type="dxa"/>
          </w:tcPr>
          <w:p>
            <w:pPr>
              <w:pStyle w:val="0"/>
              <w:jc w:val="center"/>
            </w:pPr>
            <w:r>
              <w:rPr>
                <w:sz w:val="20"/>
              </w:rPr>
              <w:t xml:space="preserve">Отбор заготовок образцов</w:t>
            </w:r>
          </w:p>
        </w:tc>
      </w:tr>
      <w:tr>
        <w:tc>
          <w:tcPr>
            <w:tcW w:w="2154" w:type="dxa"/>
            <w:vAlign w:val="center"/>
          </w:tcPr>
          <w:p>
            <w:pPr>
              <w:pStyle w:val="0"/>
              <w:jc w:val="center"/>
            </w:pPr>
            <w:r>
              <w:rPr>
                <w:sz w:val="20"/>
              </w:rPr>
              <w:t xml:space="preserve">Высокохромистый и аустенитный</w:t>
            </w:r>
          </w:p>
        </w:tc>
        <w:tc>
          <w:tcPr>
            <w:tcW w:w="907" w:type="dxa"/>
            <w:vAlign w:val="center"/>
          </w:tcPr>
          <w:p>
            <w:pPr>
              <w:pStyle w:val="0"/>
              <w:jc w:val="center"/>
            </w:pPr>
            <w:r>
              <w:rPr>
                <w:sz w:val="20"/>
              </w:rPr>
              <w:t xml:space="preserve">все</w:t>
            </w:r>
          </w:p>
        </w:tc>
        <w:tc>
          <w:tcPr>
            <w:tcW w:w="1587" w:type="dxa"/>
            <w:vAlign w:val="center"/>
            <w:vMerge w:val="restart"/>
          </w:tcPr>
          <w:p>
            <w:pPr>
              <w:pStyle w:val="0"/>
              <w:jc w:val="center"/>
            </w:pPr>
            <w:r>
              <w:rPr>
                <w:sz w:val="20"/>
              </w:rPr>
              <w:t xml:space="preserve">не зависит</w:t>
            </w:r>
          </w:p>
        </w:tc>
        <w:tc>
          <w:tcPr>
            <w:tcW w:w="4422" w:type="dxa"/>
            <w:vAlign w:val="center"/>
          </w:tcPr>
          <w:p>
            <w:pPr>
              <w:pStyle w:val="0"/>
              <w:jc w:val="center"/>
            </w:pPr>
            <w:r>
              <w:rPr>
                <w:sz w:val="20"/>
              </w:rPr>
              <w:t xml:space="preserve">От пробы или от отдельно отлитой или прилитой пробы</w:t>
            </w:r>
          </w:p>
        </w:tc>
      </w:tr>
      <w:tr>
        <w:tc>
          <w:tcPr>
            <w:tcW w:w="2154" w:type="dxa"/>
            <w:vAlign w:val="center"/>
            <w:vMerge w:val="restart"/>
          </w:tcPr>
          <w:p>
            <w:pPr>
              <w:pStyle w:val="0"/>
              <w:jc w:val="center"/>
            </w:pPr>
            <w:r>
              <w:rPr>
                <w:sz w:val="20"/>
              </w:rPr>
              <w:t xml:space="preserve">Перлитный</w:t>
            </w:r>
          </w:p>
        </w:tc>
        <w:tc>
          <w:tcPr>
            <w:tcW w:w="907" w:type="dxa"/>
            <w:vAlign w:val="center"/>
          </w:tcPr>
          <w:p>
            <w:pPr>
              <w:pStyle w:val="0"/>
              <w:jc w:val="center"/>
            </w:pPr>
            <w:r>
              <w:rPr>
                <w:sz w:val="20"/>
              </w:rPr>
              <w:t xml:space="preserve">3</w:t>
            </w:r>
          </w:p>
        </w:tc>
        <w:tc>
          <w:tcPr>
            <w:vMerge w:val="continue"/>
          </w:tcPr>
          <w:p/>
        </w:tc>
        <w:tc>
          <w:tcPr>
            <w:tcW w:w="4422" w:type="dxa"/>
            <w:vAlign w:val="center"/>
            <w:vMerge w:val="restart"/>
          </w:tcPr>
          <w:p>
            <w:pPr>
              <w:pStyle w:val="0"/>
              <w:jc w:val="center"/>
            </w:pPr>
            <w:r>
              <w:rPr>
                <w:sz w:val="20"/>
              </w:rPr>
              <w:t xml:space="preserve">От пробы</w:t>
            </w:r>
          </w:p>
        </w:tc>
      </w:tr>
      <w:tr>
        <w:tc>
          <w:tcPr>
            <w:vMerge w:val="continue"/>
          </w:tcPr>
          <w:p/>
        </w:tc>
        <w:tc>
          <w:tcPr>
            <w:tcW w:w="907" w:type="dxa"/>
            <w:vAlign w:val="center"/>
          </w:tcPr>
          <w:p>
            <w:pPr>
              <w:pStyle w:val="0"/>
              <w:jc w:val="center"/>
            </w:pPr>
            <w:r>
              <w:rPr>
                <w:sz w:val="20"/>
              </w:rPr>
              <w:t xml:space="preserve">1; 2</w:t>
            </w:r>
          </w:p>
        </w:tc>
        <w:tc>
          <w:tcPr>
            <w:tcW w:w="1587" w:type="dxa"/>
            <w:vAlign w:val="center"/>
          </w:tcPr>
          <w:p>
            <w:pPr>
              <w:pStyle w:val="0"/>
              <w:jc w:val="center"/>
            </w:pPr>
            <w:r>
              <w:rPr>
                <w:sz w:val="20"/>
              </w:rPr>
              <w:t xml:space="preserve">до 50,0</w:t>
            </w:r>
          </w:p>
        </w:tc>
        <w:tc>
          <w:tcPr>
            <w:vMerge w:val="continue"/>
          </w:tcPr>
          <w:p/>
        </w:tc>
      </w:tr>
      <w:tr>
        <w:tc>
          <w:tcPr>
            <w:vMerge w:val="continue"/>
          </w:tcPr>
          <w:p/>
        </w:tc>
        <w:tc>
          <w:tcPr>
            <w:tcW w:w="907" w:type="dxa"/>
            <w:vAlign w:val="center"/>
          </w:tcPr>
          <w:p>
            <w:pPr>
              <w:pStyle w:val="0"/>
              <w:jc w:val="center"/>
            </w:pPr>
            <w:r>
              <w:rPr>
                <w:sz w:val="20"/>
              </w:rPr>
              <w:t xml:space="preserve">1; 2</w:t>
            </w:r>
          </w:p>
        </w:tc>
        <w:tc>
          <w:tcPr>
            <w:tcW w:w="1587" w:type="dxa"/>
            <w:vAlign w:val="center"/>
          </w:tcPr>
          <w:p>
            <w:pPr>
              <w:pStyle w:val="0"/>
              <w:jc w:val="center"/>
            </w:pPr>
            <w:r>
              <w:rPr>
                <w:sz w:val="20"/>
              </w:rPr>
              <w:t xml:space="preserve">более 50,0</w:t>
            </w:r>
          </w:p>
        </w:tc>
        <w:tc>
          <w:tcPr>
            <w:tcW w:w="4422" w:type="dxa"/>
            <w:vAlign w:val="center"/>
          </w:tcPr>
          <w:p>
            <w:pPr>
              <w:pStyle w:val="0"/>
              <w:jc w:val="center"/>
            </w:pPr>
            <w:r>
              <w:rPr>
                <w:sz w:val="20"/>
              </w:rPr>
              <w:t xml:space="preserve">От специального припуска на отливке или от отдельно отлитой или прилитой пробы</w:t>
            </w:r>
          </w:p>
        </w:tc>
      </w:tr>
    </w:tbl>
    <w:p>
      <w:pPr>
        <w:pStyle w:val="0"/>
        <w:jc w:val="both"/>
      </w:pPr>
      <w:r>
        <w:rPr>
          <w:sz w:val="20"/>
        </w:rPr>
      </w:r>
    </w:p>
    <w:p>
      <w:pPr>
        <w:pStyle w:val="0"/>
        <w:ind w:firstLine="540"/>
        <w:jc w:val="both"/>
      </w:pPr>
      <w:r>
        <w:rPr>
          <w:sz w:val="20"/>
        </w:rPr>
        <w:t xml:space="preserve">50. Отдельно отлитая или прилитая проба для сталей аустенитного класса и высокохромистых сталей должна иметь сечение S x S, где S - расчетная толщина стенки отливки в состоянии термообработки, определяющая выбор материала. Определяющая стенка указывается конструкторской организацией в чертеже литой детали. Для сталей перлитного класса размер одной из сторон пробы должен быть не менее расчетной толщины стенки, а размеры двух других сторон - не менее тройной ее толщины.</w:t>
      </w:r>
    </w:p>
    <w:p>
      <w:pPr>
        <w:pStyle w:val="0"/>
        <w:spacing w:before="200" w:line-rule="auto"/>
        <w:ind w:firstLine="540"/>
        <w:jc w:val="both"/>
      </w:pPr>
      <w:r>
        <w:rPr>
          <w:sz w:val="20"/>
        </w:rPr>
        <w:t xml:space="preserve">51. Отдельно отлитая проба должна быть той же плавки, изготовлена тем же способом и подвергаться термической обработке в той же садке и по тому же режиму, что и проверяемая отливка.</w:t>
      </w:r>
    </w:p>
    <w:p>
      <w:pPr>
        <w:pStyle w:val="0"/>
        <w:spacing w:before="200" w:line-rule="auto"/>
        <w:ind w:firstLine="540"/>
        <w:jc w:val="both"/>
      </w:pPr>
      <w:r>
        <w:rPr>
          <w:sz w:val="20"/>
        </w:rPr>
        <w:t xml:space="preserve">52. Отбор образцов для определения механических свойств металла из темплета, вырезанного из специального припуска на термически обработанной отливке, необходимо выполнять так, чтобы от любой точки поверхности припуска продольные оси образцов проходили на расстоянии, равном 1/4 толщины стенки, а центр образцов (середина длины) находился от торцевой поверхности припуска на расстоянии, не меньшем толщины стенки.</w:t>
      </w:r>
    </w:p>
    <w:bookmarkStart w:id="3738" w:name="P3738"/>
    <w:bookmarkEnd w:id="3738"/>
    <w:p>
      <w:pPr>
        <w:pStyle w:val="0"/>
        <w:spacing w:before="200" w:line-rule="auto"/>
        <w:ind w:firstLine="540"/>
        <w:jc w:val="both"/>
      </w:pPr>
      <w:r>
        <w:rPr>
          <w:sz w:val="20"/>
        </w:rPr>
        <w:t xml:space="preserve">53. Отбор образцов для определения механических свойств металла из отдельно отлитой или прилитой термически обработанной пробы размерами 3S x 3S x S необходимо выполнять так, чтобы продольные оси образцов проходили на расстоянии, равном 1/4 толщины стенки от поверхности пробы, а центр образцов (середина длины) находился от ближайшего торца пробы на расстоянии, не меньшем толщины стенки.</w:t>
      </w:r>
    </w:p>
    <w:p>
      <w:pPr>
        <w:pStyle w:val="0"/>
        <w:spacing w:before="200" w:line-rule="auto"/>
        <w:ind w:firstLine="540"/>
        <w:jc w:val="both"/>
      </w:pPr>
      <w:r>
        <w:rPr>
          <w:sz w:val="20"/>
        </w:rPr>
        <w:t xml:space="preserve">54. Положение образцов при их отборе из отдельно отлитой или прилитой пробы размерами S x S не регламентируется.</w:t>
      </w:r>
    </w:p>
    <w:p>
      <w:pPr>
        <w:pStyle w:val="0"/>
        <w:spacing w:before="200" w:line-rule="auto"/>
        <w:ind w:firstLine="540"/>
        <w:jc w:val="both"/>
      </w:pPr>
      <w:r>
        <w:rPr>
          <w:sz w:val="20"/>
        </w:rPr>
        <w:t xml:space="preserve">55. Отбор образцов для определения механических свойств металла заготовок электрошлаковой выплавки из сталей всех классов должен выполняться из специального припуска на отливки в соответствии с </w:t>
      </w:r>
      <w:hyperlink w:history="0" w:anchor="P3738" w:tooltip="53. Отбор образцов для определения механических свойств металла из отдельно отлитой или прилитой термически обработанной пробы размерами 3S x 3S x S необходимо выполнять так, чтобы продольные оси образцов проходили на расстоянии, равном 1/4 толщины стенки от поверхности пробы, а центр образцов (середина длины) находился от ближайшего торца пробы на расстоянии, не меньшем толщины стенки.">
        <w:r>
          <w:rPr>
            <w:sz w:val="20"/>
            <w:color w:val="0000ff"/>
          </w:rPr>
          <w:t xml:space="preserve">пунктом 53</w:t>
        </w:r>
      </w:hyperlink>
      <w:r>
        <w:rPr>
          <w:sz w:val="20"/>
        </w:rPr>
        <w:t xml:space="preserve"> настоящего приложения. Припуск для отбора образцов должен быть указан в конструкторской документации.</w:t>
      </w:r>
    </w:p>
    <w:p>
      <w:pPr>
        <w:pStyle w:val="0"/>
        <w:spacing w:before="200" w:line-rule="auto"/>
        <w:ind w:firstLine="540"/>
        <w:jc w:val="both"/>
      </w:pPr>
      <w:r>
        <w:rPr>
          <w:sz w:val="20"/>
        </w:rPr>
        <w:t xml:space="preserve">56. Отбор образцов от заготовок электрошлаковой выплавки из стали перлитного класса с толщиной стенки S свыше 50,0 мм проводится с соблюдением требований </w:t>
      </w:r>
      <w:hyperlink w:history="0" w:anchor="P3743" w:tooltip="57. Испытания механических свойств должны проводиться на образцах из прилитой или отдельно отлитой пробы размерами 3S x 3S x S (или сечением S x S - при контроле каждой плавки; на образцах из специального припуска на отливке и из прилитой пробы размерами 3S x 3S x S - при контроле каждой отливки; на образцах из специального припуска на заготовке электрошлаковой выплавки - в объеме, установленном в пункте 49 настоящего приложения для проверки химического состава металла.">
        <w:r>
          <w:rPr>
            <w:sz w:val="20"/>
            <w:color w:val="0000ff"/>
          </w:rPr>
          <w:t xml:space="preserve">пунктов 57</w:t>
        </w:r>
      </w:hyperlink>
      <w:r>
        <w:rPr>
          <w:sz w:val="20"/>
        </w:rPr>
        <w:t xml:space="preserve"> - </w:t>
      </w:r>
      <w:hyperlink w:history="0" w:anchor="P3745" w:tooltip="59. Испытание на растяжение для отливок, работающих при температуре среды выше 100 °C, должны проводиться в соответствии с требованиями документа по стандартизации, включенного в Сводный перечень.">
        <w:r>
          <w:rPr>
            <w:sz w:val="20"/>
            <w:color w:val="0000ff"/>
          </w:rPr>
          <w:t xml:space="preserve">59</w:t>
        </w:r>
      </w:hyperlink>
      <w:r>
        <w:rPr>
          <w:sz w:val="20"/>
        </w:rPr>
        <w:t xml:space="preserve"> настоящего приложения.</w:t>
      </w:r>
    </w:p>
    <w:p>
      <w:pPr>
        <w:pStyle w:val="0"/>
        <w:spacing w:before="200" w:line-rule="auto"/>
        <w:ind w:firstLine="540"/>
        <w:jc w:val="both"/>
      </w:pPr>
      <w:r>
        <w:rPr>
          <w:sz w:val="20"/>
        </w:rPr>
        <w:t xml:space="preserve">Положение образцов не регламентируется для отливок электрошлаковой выплавки из сталей аустенитного класса, а также углеродистых, кремнемарганцовистых и высокохромистых сталей.</w:t>
      </w:r>
    </w:p>
    <w:bookmarkStart w:id="3743" w:name="P3743"/>
    <w:bookmarkEnd w:id="3743"/>
    <w:p>
      <w:pPr>
        <w:pStyle w:val="0"/>
        <w:spacing w:before="200" w:line-rule="auto"/>
        <w:ind w:firstLine="540"/>
        <w:jc w:val="both"/>
      </w:pPr>
      <w:r>
        <w:rPr>
          <w:sz w:val="20"/>
        </w:rPr>
        <w:t xml:space="preserve">57. Испытания механических свойств должны проводиться на образцах из прилитой или отдельно отлитой пробы размерами 3S x 3S x S (или сечением S x S - при контроле каждой плавки; на образцах из специального припуска на отливке и из прилитой пробы размерами 3S x 3S x S - при контроле каждой отливки; на образцах из специального припуска на заготовке электрошлаковой выплавки - в объеме, установленном в </w:t>
      </w:r>
      <w:hyperlink w:history="0" w:anchor="P3714" w:tooltip="49. Порядок отбора заготовок образцов для контроля механических свойств металла отливок, за исключением отливок электрошлаковой выплавки, приведен в таблице N 8.7 настоящего приложения.">
        <w:r>
          <w:rPr>
            <w:sz w:val="20"/>
            <w:color w:val="0000ff"/>
          </w:rPr>
          <w:t xml:space="preserve">пункте 49</w:t>
        </w:r>
      </w:hyperlink>
      <w:r>
        <w:rPr>
          <w:sz w:val="20"/>
        </w:rPr>
        <w:t xml:space="preserve"> настоящего приложения для проверки химического состава металла.</w:t>
      </w:r>
    </w:p>
    <w:p>
      <w:pPr>
        <w:pStyle w:val="0"/>
        <w:spacing w:before="200" w:line-rule="auto"/>
        <w:ind w:firstLine="540"/>
        <w:jc w:val="both"/>
      </w:pPr>
      <w:r>
        <w:rPr>
          <w:sz w:val="20"/>
        </w:rPr>
        <w:t xml:space="preserve">58. Испытание на растяжение отливок при нормальной температуре должно проводиться в соответствии с требованиями документа по стандартизации, включенного в Сводный </w:t>
      </w:r>
      <w:hyperlink w:history="0" r:id="rId94"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bookmarkStart w:id="3745" w:name="P3745"/>
    <w:bookmarkEnd w:id="3745"/>
    <w:p>
      <w:pPr>
        <w:pStyle w:val="0"/>
        <w:spacing w:before="200" w:line-rule="auto"/>
        <w:ind w:firstLine="540"/>
        <w:jc w:val="both"/>
      </w:pPr>
      <w:r>
        <w:rPr>
          <w:sz w:val="20"/>
        </w:rPr>
        <w:t xml:space="preserve">59. Испытание на растяжение для отливок, работающих при температуре среды выше 100 °C, должны проводиться в соответствии с требованиями документа по стандартизации, включенного в Сводный </w:t>
      </w:r>
      <w:hyperlink w:history="0" r:id="rId95"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p>
      <w:pPr>
        <w:pStyle w:val="0"/>
        <w:spacing w:before="200" w:line-rule="auto"/>
        <w:ind w:firstLine="540"/>
        <w:jc w:val="both"/>
      </w:pPr>
      <w:r>
        <w:rPr>
          <w:sz w:val="20"/>
        </w:rPr>
        <w:t xml:space="preserve">60. Если значение рабочей температуры литой детали, указанное в конструкторской документации, не совпадает со значением температуры испытания, приведенной в документах по стандартизации, то испытание образцов на растяжение должно выполняться при ближайшей большей температуре, указанной в документах по стандартизации, включенных в Сводный </w:t>
      </w:r>
      <w:hyperlink w:history="0" r:id="rId96"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bookmarkStart w:id="3747" w:name="P3747"/>
    <w:bookmarkEnd w:id="3747"/>
    <w:p>
      <w:pPr>
        <w:pStyle w:val="0"/>
        <w:spacing w:before="200" w:line-rule="auto"/>
        <w:ind w:firstLine="540"/>
        <w:jc w:val="both"/>
      </w:pPr>
      <w:r>
        <w:rPr>
          <w:sz w:val="20"/>
        </w:rPr>
        <w:t xml:space="preserve">61. Испытания на ударный изгиб должны проводиться в соответствии с требованиями документа по стандартизации, включенного в Сводный </w:t>
      </w:r>
      <w:hyperlink w:history="0" r:id="rId97"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p>
      <w:pPr>
        <w:pStyle w:val="0"/>
        <w:spacing w:before="200" w:line-rule="auto"/>
        <w:ind w:firstLine="540"/>
        <w:jc w:val="both"/>
      </w:pPr>
      <w:r>
        <w:rPr>
          <w:sz w:val="20"/>
        </w:rPr>
        <w:t xml:space="preserve">62. После окончательной термической обработки твердость металла отливок должна определяться методом измерения по Бринеллю в соответствии с требованиями документа по стандартизации, включенного в Сводный </w:t>
      </w:r>
      <w:hyperlink w:history="0" r:id="rId98"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 Твердость отливок из стали аустенитного класса не определяется.</w:t>
      </w:r>
    </w:p>
    <w:p>
      <w:pPr>
        <w:pStyle w:val="0"/>
        <w:spacing w:before="200" w:line-rule="auto"/>
        <w:ind w:firstLine="540"/>
        <w:jc w:val="both"/>
      </w:pPr>
      <w:r>
        <w:rPr>
          <w:sz w:val="20"/>
        </w:rPr>
        <w:t xml:space="preserve">63. Контроль твердости должен проводиться на поверхностях отливок, предварительно зачищенных от окалины и обезуглероженного слоя.</w:t>
      </w:r>
    </w:p>
    <w:p>
      <w:pPr>
        <w:pStyle w:val="0"/>
        <w:jc w:val="both"/>
      </w:pPr>
      <w:r>
        <w:rPr>
          <w:sz w:val="20"/>
        </w:rPr>
      </w:r>
    </w:p>
    <w:p>
      <w:pPr>
        <w:pStyle w:val="2"/>
        <w:outlineLvl w:val="2"/>
        <w:jc w:val="center"/>
      </w:pPr>
      <w:r>
        <w:rPr>
          <w:sz w:val="20"/>
        </w:rPr>
        <w:t xml:space="preserve">Контроль коррозионных свойств сталей аустенитного класса</w:t>
      </w:r>
    </w:p>
    <w:p>
      <w:pPr>
        <w:pStyle w:val="2"/>
        <w:jc w:val="center"/>
      </w:pPr>
      <w:r>
        <w:rPr>
          <w:sz w:val="20"/>
        </w:rPr>
        <w:t xml:space="preserve">и высокохромистых сталей</w:t>
      </w:r>
    </w:p>
    <w:p>
      <w:pPr>
        <w:pStyle w:val="0"/>
        <w:jc w:val="both"/>
      </w:pPr>
      <w:r>
        <w:rPr>
          <w:sz w:val="20"/>
        </w:rPr>
      </w:r>
    </w:p>
    <w:p>
      <w:pPr>
        <w:pStyle w:val="0"/>
        <w:ind w:firstLine="540"/>
        <w:jc w:val="both"/>
      </w:pPr>
      <w:r>
        <w:rPr>
          <w:sz w:val="20"/>
        </w:rPr>
        <w:t xml:space="preserve">64. Для стали аустенитного класса должны проводиться испытания на стойкость к межкристаллитной коррозии, для высокохромистой стали - на определение скорости общей коррозии.</w:t>
      </w:r>
    </w:p>
    <w:p>
      <w:pPr>
        <w:pStyle w:val="0"/>
        <w:spacing w:before="200" w:line-rule="auto"/>
        <w:ind w:firstLine="540"/>
        <w:jc w:val="both"/>
      </w:pPr>
      <w:r>
        <w:rPr>
          <w:sz w:val="20"/>
        </w:rPr>
        <w:t xml:space="preserve">65. Коррозионные свойства металла должны определяться на образцах, отбираемых в соответствии с требованиями </w:t>
      </w:r>
      <w:hyperlink w:history="0" w:anchor="P3716" w:tooltip="Таблица N 8.7">
        <w:r>
          <w:rPr>
            <w:sz w:val="20"/>
            <w:color w:val="0000ff"/>
          </w:rPr>
          <w:t xml:space="preserve">таблицы N 8.7</w:t>
        </w:r>
      </w:hyperlink>
      <w:r>
        <w:rPr>
          <w:sz w:val="20"/>
        </w:rPr>
        <w:t xml:space="preserve"> настоящего приложения; для заготовок электрошлаковой выплавки - в соответствии с </w:t>
      </w:r>
      <w:hyperlink w:history="0" w:anchor="P3747" w:tooltip="61. Испытания на ударный изгиб должны проводиться в соответствии с требованиями документа по стандартизации, включенного в Сводный перечень.">
        <w:r>
          <w:rPr>
            <w:sz w:val="20"/>
            <w:color w:val="0000ff"/>
          </w:rPr>
          <w:t xml:space="preserve">пунктом 61</w:t>
        </w:r>
      </w:hyperlink>
      <w:r>
        <w:rPr>
          <w:sz w:val="20"/>
        </w:rPr>
        <w:t xml:space="preserve"> настоящего приложения. Положение образцов при отборе проб из припуска не регламентируется.</w:t>
      </w:r>
    </w:p>
    <w:p>
      <w:pPr>
        <w:pStyle w:val="0"/>
        <w:spacing w:before="200" w:line-rule="auto"/>
        <w:ind w:firstLine="540"/>
        <w:jc w:val="both"/>
      </w:pPr>
      <w:r>
        <w:rPr>
          <w:sz w:val="20"/>
        </w:rPr>
        <w:t xml:space="preserve">66. Испытание на стойкость к межкристаллитной коррозии должно выполняться в соответствии с требованиями </w:t>
      </w:r>
      <w:hyperlink w:history="0" r:id="rId99" w:tooltip="Ссылка на КонсультантПлюс">
        <w:r>
          <w:rPr>
            <w:sz w:val="20"/>
            <w:color w:val="0000ff"/>
          </w:rPr>
          <w:t xml:space="preserve">ГОСТ 6032-2017</w:t>
        </w:r>
      </w:hyperlink>
      <w:r>
        <w:rPr>
          <w:sz w:val="20"/>
        </w:rPr>
        <w:t xml:space="preserve">.</w:t>
      </w:r>
    </w:p>
    <w:p>
      <w:pPr>
        <w:pStyle w:val="0"/>
        <w:spacing w:before="200" w:line-rule="auto"/>
        <w:ind w:firstLine="540"/>
        <w:jc w:val="both"/>
      </w:pPr>
      <w:r>
        <w:rPr>
          <w:sz w:val="20"/>
        </w:rPr>
        <w:t xml:space="preserve">67. Если отливки из сталей аустенитного класса и высокохромистых сталей после сварки подвергаются дополнительной термической обработке, то заготовки, из которых отбираются образцы, перед испытанием на стойкость к межкристаллитной коррозии и перед определением скорости коррозии должны подвергаться термической обработке по такому же режиму.</w:t>
      </w:r>
    </w:p>
    <w:p>
      <w:pPr>
        <w:pStyle w:val="0"/>
        <w:jc w:val="both"/>
      </w:pPr>
      <w:r>
        <w:rPr>
          <w:sz w:val="20"/>
        </w:rPr>
      </w:r>
    </w:p>
    <w:p>
      <w:pPr>
        <w:pStyle w:val="2"/>
        <w:outlineLvl w:val="2"/>
        <w:jc w:val="center"/>
      </w:pPr>
      <w:r>
        <w:rPr>
          <w:sz w:val="20"/>
        </w:rPr>
        <w:t xml:space="preserve">Контроль содержания ферритной фазы в сталях</w:t>
      </w:r>
    </w:p>
    <w:p>
      <w:pPr>
        <w:pStyle w:val="2"/>
        <w:jc w:val="center"/>
      </w:pPr>
      <w:r>
        <w:rPr>
          <w:sz w:val="20"/>
        </w:rPr>
        <w:t xml:space="preserve">аустенитного класса</w:t>
      </w:r>
    </w:p>
    <w:p>
      <w:pPr>
        <w:pStyle w:val="0"/>
        <w:jc w:val="both"/>
      </w:pPr>
      <w:r>
        <w:rPr>
          <w:sz w:val="20"/>
        </w:rPr>
      </w:r>
    </w:p>
    <w:p>
      <w:pPr>
        <w:pStyle w:val="0"/>
        <w:ind w:firstLine="540"/>
        <w:jc w:val="both"/>
      </w:pPr>
      <w:r>
        <w:rPr>
          <w:sz w:val="20"/>
        </w:rPr>
        <w:t xml:space="preserve">68. Содержание ферритной фазы должно определяться в соответствии с требованиями документа по стандартизации, включенного в Сводный </w:t>
      </w:r>
      <w:hyperlink w:history="0" r:id="rId100"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 не менее чем на двух образцах от каждой плавки или на одной заготовке электрошлаковой выплавки от партии.</w:t>
      </w:r>
    </w:p>
    <w:p>
      <w:pPr>
        <w:pStyle w:val="0"/>
        <w:spacing w:before="200" w:line-rule="auto"/>
        <w:ind w:firstLine="540"/>
        <w:jc w:val="both"/>
      </w:pPr>
      <w:r>
        <w:rPr>
          <w:sz w:val="20"/>
        </w:rPr>
        <w:t xml:space="preserve">69. Пробы для определения содержания ферритной фазы в металле заготовок электрошлаковой выплавки должны отбираться из припуска для отбора проб до термообработки заготовок.</w:t>
      </w:r>
    </w:p>
    <w:p>
      <w:pPr>
        <w:pStyle w:val="0"/>
        <w:spacing w:before="200" w:line-rule="auto"/>
        <w:ind w:firstLine="540"/>
        <w:jc w:val="both"/>
      </w:pPr>
      <w:r>
        <w:rPr>
          <w:sz w:val="20"/>
        </w:rPr>
        <w:t xml:space="preserve">70. Отбор проб должен проводиться после термической обработки с последующим аргонодуговым переплавом в медную форму.</w:t>
      </w:r>
    </w:p>
    <w:p>
      <w:pPr>
        <w:pStyle w:val="0"/>
        <w:jc w:val="both"/>
      </w:pPr>
      <w:r>
        <w:rPr>
          <w:sz w:val="20"/>
        </w:rPr>
      </w:r>
    </w:p>
    <w:p>
      <w:pPr>
        <w:pStyle w:val="2"/>
        <w:outlineLvl w:val="2"/>
        <w:jc w:val="center"/>
      </w:pPr>
      <w:r>
        <w:rPr>
          <w:sz w:val="20"/>
        </w:rPr>
        <w:t xml:space="preserve">Нормы оценки качества по результатам разрушающего контроля</w:t>
      </w:r>
    </w:p>
    <w:p>
      <w:pPr>
        <w:pStyle w:val="0"/>
        <w:jc w:val="both"/>
      </w:pPr>
      <w:r>
        <w:rPr>
          <w:sz w:val="20"/>
        </w:rPr>
      </w:r>
    </w:p>
    <w:p>
      <w:pPr>
        <w:pStyle w:val="2"/>
        <w:outlineLvl w:val="3"/>
        <w:jc w:val="center"/>
      </w:pPr>
      <w:r>
        <w:rPr>
          <w:sz w:val="20"/>
        </w:rPr>
        <w:t xml:space="preserve">Химический состав</w:t>
      </w:r>
    </w:p>
    <w:p>
      <w:pPr>
        <w:pStyle w:val="0"/>
        <w:jc w:val="both"/>
      </w:pPr>
      <w:r>
        <w:rPr>
          <w:sz w:val="20"/>
        </w:rPr>
      </w:r>
    </w:p>
    <w:p>
      <w:pPr>
        <w:pStyle w:val="0"/>
        <w:ind w:firstLine="540"/>
        <w:jc w:val="both"/>
      </w:pPr>
      <w:r>
        <w:rPr>
          <w:sz w:val="20"/>
        </w:rPr>
        <w:t xml:space="preserve">71. Химический состав металла отливок должен удовлетворять требованиям документов по стандартизации, включенных в Сводный </w:t>
      </w:r>
      <w:hyperlink w:history="0" r:id="rId101"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p>
      <w:pPr>
        <w:pStyle w:val="0"/>
        <w:jc w:val="both"/>
      </w:pPr>
      <w:r>
        <w:rPr>
          <w:sz w:val="20"/>
        </w:rPr>
      </w:r>
    </w:p>
    <w:p>
      <w:pPr>
        <w:pStyle w:val="2"/>
        <w:outlineLvl w:val="3"/>
        <w:jc w:val="center"/>
      </w:pPr>
      <w:r>
        <w:rPr>
          <w:sz w:val="20"/>
        </w:rPr>
        <w:t xml:space="preserve">Механические свойства металла</w:t>
      </w:r>
    </w:p>
    <w:p>
      <w:pPr>
        <w:pStyle w:val="0"/>
        <w:jc w:val="both"/>
      </w:pPr>
      <w:r>
        <w:rPr>
          <w:sz w:val="20"/>
        </w:rPr>
      </w:r>
    </w:p>
    <w:p>
      <w:pPr>
        <w:pStyle w:val="0"/>
        <w:ind w:firstLine="540"/>
        <w:jc w:val="both"/>
      </w:pPr>
      <w:r>
        <w:rPr>
          <w:sz w:val="20"/>
        </w:rPr>
        <w:t xml:space="preserve">72. Механические свойства металла отливок должны удовлетворять требованиям конструкторской документации и документов по стандартизации.</w:t>
      </w:r>
    </w:p>
    <w:p>
      <w:pPr>
        <w:pStyle w:val="0"/>
        <w:spacing w:before="200" w:line-rule="auto"/>
        <w:ind w:firstLine="540"/>
        <w:jc w:val="both"/>
      </w:pPr>
      <w:r>
        <w:rPr>
          <w:sz w:val="20"/>
        </w:rPr>
        <w:t xml:space="preserve">73. При неудовлетворительных результатах испытаний механических свойств проводят повторно испытания на удвоенном количестве образцов того вида, который показал неудовлетворительные результаты. При неудовлетворительных результатах повторного испытания хотя бы одного образца отливки вместе с пробными отдельно отлитыми или прилитыми брусками и темплетами для отбора образцов подвергаются повторной термической обработке. Темплеты для отбора образцов вместе с тепловым буфером, а также прилитые бруски привариваются на прихватах к отливкам в том месте, где они находились до отрезки.</w:t>
      </w:r>
    </w:p>
    <w:p>
      <w:pPr>
        <w:pStyle w:val="0"/>
        <w:spacing w:before="200" w:line-rule="auto"/>
        <w:ind w:firstLine="540"/>
        <w:jc w:val="both"/>
      </w:pPr>
      <w:r>
        <w:rPr>
          <w:sz w:val="20"/>
        </w:rPr>
        <w:t xml:space="preserve">74. Для заготовок электрошлаковой выплавки проводятся испытания механических свойств каждой заготовки партии.</w:t>
      </w:r>
    </w:p>
    <w:p>
      <w:pPr>
        <w:pStyle w:val="0"/>
        <w:spacing w:before="200" w:line-rule="auto"/>
        <w:ind w:firstLine="540"/>
        <w:jc w:val="both"/>
      </w:pPr>
      <w:r>
        <w:rPr>
          <w:sz w:val="20"/>
        </w:rPr>
        <w:t xml:space="preserve">75. После повторной термической обработки или отпуска контролируются все механические свойства. При неудовлетворительных результатах испытаний после повторных термических обработок отливки считаются не соответствующими требованиям настоящих Правил.</w:t>
      </w:r>
    </w:p>
    <w:p>
      <w:pPr>
        <w:pStyle w:val="0"/>
        <w:spacing w:before="200" w:line-rule="auto"/>
        <w:ind w:firstLine="540"/>
        <w:jc w:val="both"/>
      </w:pPr>
      <w:r>
        <w:rPr>
          <w:sz w:val="20"/>
        </w:rPr>
        <w:t xml:space="preserve">76. Количество полных термических обработок должно быть не более трех. Количество отпусков не ограничивается.</w:t>
      </w:r>
    </w:p>
    <w:p>
      <w:pPr>
        <w:pStyle w:val="0"/>
        <w:spacing w:before="200" w:line-rule="auto"/>
        <w:ind w:firstLine="540"/>
        <w:jc w:val="both"/>
      </w:pPr>
      <w:r>
        <w:rPr>
          <w:sz w:val="20"/>
        </w:rPr>
        <w:t xml:space="preserve">77. Испытания считаются недействительными, если их результаты не соответствуют требованиям настоящих Правил вследствие:</w:t>
      </w:r>
    </w:p>
    <w:p>
      <w:pPr>
        <w:pStyle w:val="0"/>
        <w:spacing w:before="200" w:line-rule="auto"/>
        <w:ind w:firstLine="540"/>
        <w:jc w:val="both"/>
      </w:pPr>
      <w:r>
        <w:rPr>
          <w:sz w:val="20"/>
        </w:rPr>
        <w:t xml:space="preserve">а) неправильной установки образца в захваты или нарушения установленной скорости нагружения;</w:t>
      </w:r>
    </w:p>
    <w:p>
      <w:pPr>
        <w:pStyle w:val="0"/>
        <w:spacing w:before="200" w:line-rule="auto"/>
        <w:ind w:firstLine="540"/>
        <w:jc w:val="both"/>
      </w:pPr>
      <w:r>
        <w:rPr>
          <w:sz w:val="20"/>
        </w:rPr>
        <w:t xml:space="preserve">б) наличия литейного дефекта или дефекта, полученного при изготовлении образца;</w:t>
      </w:r>
    </w:p>
    <w:p>
      <w:pPr>
        <w:pStyle w:val="0"/>
        <w:spacing w:before="200" w:line-rule="auto"/>
        <w:ind w:firstLine="540"/>
        <w:jc w:val="both"/>
      </w:pPr>
      <w:r>
        <w:rPr>
          <w:sz w:val="20"/>
        </w:rPr>
        <w:t xml:space="preserve">в) разрушения образца за пределами расчетной длины; в таких случаях испытания повторяют на новых образцах, отобранных в том же количестве.</w:t>
      </w:r>
    </w:p>
    <w:p>
      <w:pPr>
        <w:pStyle w:val="0"/>
        <w:spacing w:before="200" w:line-rule="auto"/>
        <w:ind w:firstLine="540"/>
        <w:jc w:val="both"/>
      </w:pPr>
      <w:r>
        <w:rPr>
          <w:sz w:val="20"/>
        </w:rPr>
        <w:t xml:space="preserve">78. Твердость отливок из стали соответствующей марки должна удовлетворять требованиям документов по стандартизации, включенных в Сводный </w:t>
      </w:r>
      <w:hyperlink w:history="0" r:id="rId102"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 или конструкторской документации.</w:t>
      </w:r>
    </w:p>
    <w:p>
      <w:pPr>
        <w:pStyle w:val="0"/>
        <w:spacing w:before="200" w:line-rule="auto"/>
        <w:ind w:firstLine="540"/>
        <w:jc w:val="both"/>
      </w:pPr>
      <w:r>
        <w:rPr>
          <w:sz w:val="20"/>
        </w:rPr>
        <w:t xml:space="preserve">79. При неудовлетворительных результатах замера твердости испытания осуществляются повторно, число измерений удваивается.</w:t>
      </w:r>
    </w:p>
    <w:p>
      <w:pPr>
        <w:pStyle w:val="0"/>
        <w:jc w:val="both"/>
      </w:pPr>
      <w:r>
        <w:rPr>
          <w:sz w:val="20"/>
        </w:rPr>
      </w:r>
    </w:p>
    <w:p>
      <w:pPr>
        <w:pStyle w:val="2"/>
        <w:outlineLvl w:val="3"/>
        <w:jc w:val="center"/>
      </w:pPr>
      <w:r>
        <w:rPr>
          <w:sz w:val="20"/>
        </w:rPr>
        <w:t xml:space="preserve">Коррозионные свойства сталей аустенитного класса</w:t>
      </w:r>
    </w:p>
    <w:p>
      <w:pPr>
        <w:pStyle w:val="0"/>
        <w:jc w:val="both"/>
      </w:pPr>
      <w:r>
        <w:rPr>
          <w:sz w:val="20"/>
        </w:rPr>
      </w:r>
    </w:p>
    <w:p>
      <w:pPr>
        <w:pStyle w:val="0"/>
        <w:ind w:firstLine="540"/>
        <w:jc w:val="both"/>
      </w:pPr>
      <w:r>
        <w:rPr>
          <w:sz w:val="20"/>
        </w:rPr>
        <w:t xml:space="preserve">80. При обнаружении на одном образце склонности к межкристаллитной коррозии должно проводиться повторное испытание удвоенного количества образцов.</w:t>
      </w:r>
    </w:p>
    <w:p>
      <w:pPr>
        <w:pStyle w:val="0"/>
        <w:spacing w:before="200" w:line-rule="auto"/>
        <w:ind w:firstLine="540"/>
        <w:jc w:val="both"/>
      </w:pPr>
      <w:r>
        <w:rPr>
          <w:sz w:val="20"/>
        </w:rPr>
        <w:t xml:space="preserve">81. При неудовлетворительных результатах повторного испытания хотя бы на одном образце отливки из сталей аустенитного класса вместе с пробами для отбора образцов подвергаются повторной термической обработке, после чего испытания на стойкость к межкристаллитной коррозии повторяются с обязательным определением механических свойств. Количество повторных термических обработок должно быть не более трех.</w:t>
      </w:r>
    </w:p>
    <w:p>
      <w:pPr>
        <w:pStyle w:val="0"/>
        <w:spacing w:before="200" w:line-rule="auto"/>
        <w:ind w:firstLine="540"/>
        <w:jc w:val="both"/>
      </w:pPr>
      <w:r>
        <w:rPr>
          <w:sz w:val="20"/>
        </w:rPr>
        <w:t xml:space="preserve">82. Если после третьей термической обработки сталь имеет склонность к межкристаллитной коррозии, то отливки данной плавки не допускаются к использованию.</w:t>
      </w:r>
    </w:p>
    <w:p>
      <w:pPr>
        <w:pStyle w:val="0"/>
        <w:jc w:val="both"/>
      </w:pPr>
      <w:r>
        <w:rPr>
          <w:sz w:val="20"/>
        </w:rPr>
      </w:r>
    </w:p>
    <w:p>
      <w:pPr>
        <w:pStyle w:val="2"/>
        <w:outlineLvl w:val="3"/>
        <w:jc w:val="center"/>
      </w:pPr>
      <w:r>
        <w:rPr>
          <w:sz w:val="20"/>
        </w:rPr>
        <w:t xml:space="preserve">Содержание ферритной фазы</w:t>
      </w:r>
    </w:p>
    <w:p>
      <w:pPr>
        <w:pStyle w:val="0"/>
        <w:jc w:val="both"/>
      </w:pPr>
      <w:r>
        <w:rPr>
          <w:sz w:val="20"/>
        </w:rPr>
      </w:r>
    </w:p>
    <w:p>
      <w:pPr>
        <w:pStyle w:val="0"/>
        <w:ind w:firstLine="540"/>
        <w:jc w:val="both"/>
      </w:pPr>
      <w:r>
        <w:rPr>
          <w:sz w:val="20"/>
        </w:rPr>
        <w:t xml:space="preserve">83. Содержание ферритной фазы в сталях аустенитного класса должно соответствовать требованиям документов по стандартизации, включенных в Сводный </w:t>
      </w:r>
      <w:hyperlink w:history="0" r:id="rId103"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w:t>
      </w:r>
    </w:p>
    <w:p>
      <w:pPr>
        <w:pStyle w:val="0"/>
        <w:jc w:val="both"/>
      </w:pPr>
      <w:r>
        <w:rPr>
          <w:sz w:val="20"/>
        </w:rPr>
      </w:r>
    </w:p>
    <w:p>
      <w:pPr>
        <w:pStyle w:val="2"/>
        <w:outlineLvl w:val="3"/>
        <w:jc w:val="center"/>
      </w:pPr>
      <w:r>
        <w:rPr>
          <w:sz w:val="20"/>
        </w:rPr>
        <w:t xml:space="preserve">Контроль и оценка качества кромок литых деталей, входящих</w:t>
      </w:r>
    </w:p>
    <w:p>
      <w:pPr>
        <w:pStyle w:val="2"/>
        <w:jc w:val="center"/>
      </w:pPr>
      <w:r>
        <w:rPr>
          <w:sz w:val="20"/>
        </w:rPr>
        <w:t xml:space="preserve">в состав сварно-литых конструкций</w:t>
      </w:r>
    </w:p>
    <w:p>
      <w:pPr>
        <w:pStyle w:val="0"/>
        <w:jc w:val="both"/>
      </w:pPr>
      <w:r>
        <w:rPr>
          <w:sz w:val="20"/>
        </w:rPr>
      </w:r>
    </w:p>
    <w:p>
      <w:pPr>
        <w:pStyle w:val="0"/>
        <w:ind w:firstLine="540"/>
        <w:jc w:val="both"/>
      </w:pPr>
      <w:r>
        <w:rPr>
          <w:sz w:val="20"/>
        </w:rPr>
        <w:t xml:space="preserve">84. Кромки каждой из литых деталей, подлежащих сварке друг с другом или с любыми другими деталями, перед их сваркой на участке шириной L + 20 мм от торца кромки (рисунок 8.1) должны быть проконтролированы визуально, а в вызывающих сомнения местах - с помощью лупы 4 - 7-кратного увеличения и подвергнуты радиографическому контролю. Контроль должен выполняться по всему периметру свариваемых кромок.</w:t>
      </w:r>
    </w:p>
    <w:p>
      <w:pPr>
        <w:pStyle w:val="0"/>
        <w:jc w:val="both"/>
      </w:pPr>
      <w:r>
        <w:rPr>
          <w:sz w:val="20"/>
        </w:rPr>
      </w:r>
    </w:p>
    <w:p>
      <w:pPr>
        <w:pStyle w:val="0"/>
        <w:jc w:val="center"/>
      </w:pPr>
      <w:r>
        <w:rPr>
          <w:position w:val="-96"/>
        </w:rPr>
        <w:drawing>
          <wp:inline distT="0" distB="0" distL="0" distR="0">
            <wp:extent cx="1801495" cy="13474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1801495" cy="1347470"/>
                    </a:xfrm>
                    <a:prstGeom prst="rect">
                      <a:avLst/>
                    </a:prstGeom>
                    <a:noFill/>
                    <a:ln>
                      <a:noFill/>
                    </a:ln>
                  </pic:spPr>
                </pic:pic>
              </a:graphicData>
            </a:graphic>
          </wp:inline>
        </w:drawing>
      </w:r>
    </w:p>
    <w:p>
      <w:pPr>
        <w:pStyle w:val="0"/>
        <w:jc w:val="both"/>
      </w:pPr>
      <w:r>
        <w:rPr>
          <w:sz w:val="20"/>
        </w:rPr>
      </w:r>
    </w:p>
    <w:bookmarkStart w:id="3803" w:name="P3803"/>
    <w:bookmarkEnd w:id="3803"/>
    <w:p>
      <w:pPr>
        <w:pStyle w:val="0"/>
        <w:jc w:val="center"/>
      </w:pPr>
      <w:r>
        <w:rPr>
          <w:sz w:val="20"/>
        </w:rPr>
        <w:t xml:space="preserve">Рисунок 8.1. Кромка литой детали</w:t>
      </w:r>
    </w:p>
    <w:p>
      <w:pPr>
        <w:pStyle w:val="0"/>
        <w:jc w:val="both"/>
      </w:pPr>
      <w:r>
        <w:rPr>
          <w:sz w:val="20"/>
        </w:rPr>
      </w:r>
    </w:p>
    <w:p>
      <w:pPr>
        <w:pStyle w:val="0"/>
        <w:ind w:firstLine="540"/>
        <w:jc w:val="both"/>
      </w:pPr>
      <w:r>
        <w:rPr>
          <w:sz w:val="20"/>
        </w:rPr>
        <w:t xml:space="preserve">85. Радиографический контроль должен проводиться после механической обработки, выполненной в соответствии с требованиями </w:t>
      </w:r>
      <w:hyperlink w:history="0" w:anchor="P3416" w:tooltip="11. Перед проведением радиографического контроля припуск на сторону при окончательной механической обработке допускается оставлять:">
        <w:r>
          <w:rPr>
            <w:sz w:val="20"/>
            <w:color w:val="0000ff"/>
          </w:rPr>
          <w:t xml:space="preserve">пункта 11</w:t>
        </w:r>
      </w:hyperlink>
      <w:r>
        <w:rPr>
          <w:sz w:val="20"/>
        </w:rPr>
        <w:t xml:space="preserve"> настоящего приложения, или зачистки литой детали перед разделкой кромок под сварку или после их разделки.</w:t>
      </w:r>
    </w:p>
    <w:p>
      <w:pPr>
        <w:pStyle w:val="0"/>
        <w:spacing w:before="200" w:line-rule="auto"/>
        <w:ind w:firstLine="540"/>
        <w:jc w:val="both"/>
      </w:pPr>
      <w:r>
        <w:rPr>
          <w:sz w:val="20"/>
        </w:rPr>
        <w:t xml:space="preserve">86. Несплошности, выявленные при контроле кромок на участке шириной L + 20 мм, не должны превышать норм, приведенных в </w:t>
      </w:r>
      <w:hyperlink w:history="0" w:anchor="P1217" w:tooltip="ОЦЕНКА">
        <w:r>
          <w:rPr>
            <w:sz w:val="20"/>
            <w:color w:val="0000ff"/>
          </w:rPr>
          <w:t xml:space="preserve">приложении N 4</w:t>
        </w:r>
      </w:hyperlink>
      <w:r>
        <w:rPr>
          <w:sz w:val="20"/>
        </w:rPr>
        <w:t xml:space="preserve"> к настоящим Правилам.</w:t>
      </w:r>
    </w:p>
    <w:p>
      <w:pPr>
        <w:pStyle w:val="0"/>
        <w:jc w:val="both"/>
      </w:pPr>
      <w:r>
        <w:rPr>
          <w:sz w:val="20"/>
        </w:rPr>
      </w:r>
    </w:p>
    <w:p>
      <w:pPr>
        <w:pStyle w:val="2"/>
        <w:outlineLvl w:val="3"/>
        <w:jc w:val="center"/>
      </w:pPr>
      <w:r>
        <w:rPr>
          <w:sz w:val="20"/>
        </w:rPr>
        <w:t xml:space="preserve">Контроль исправления дефектов</w:t>
      </w:r>
    </w:p>
    <w:p>
      <w:pPr>
        <w:pStyle w:val="0"/>
        <w:jc w:val="both"/>
      </w:pPr>
      <w:r>
        <w:rPr>
          <w:sz w:val="20"/>
        </w:rPr>
      </w:r>
    </w:p>
    <w:p>
      <w:pPr>
        <w:pStyle w:val="0"/>
        <w:ind w:firstLine="540"/>
        <w:jc w:val="both"/>
      </w:pPr>
      <w:r>
        <w:rPr>
          <w:sz w:val="20"/>
        </w:rPr>
        <w:t xml:space="preserve">87. Исправлению подлежат несплошности, наличие которых в отливках и кромках под сварку и на их поверхности не допускается нормами, установленными в </w:t>
      </w:r>
      <w:hyperlink w:history="0" w:anchor="P3479" w:tooltip="27. Нормы оценки качества по результатам ультразвукового контроля отливок приведены в таблице N 8.4 настоящего приложения.">
        <w:r>
          <w:rPr>
            <w:sz w:val="20"/>
            <w:color w:val="0000ff"/>
          </w:rPr>
          <w:t xml:space="preserve">пункте 27</w:t>
        </w:r>
      </w:hyperlink>
      <w:r>
        <w:rPr>
          <w:sz w:val="20"/>
        </w:rPr>
        <w:t xml:space="preserve"> настоящего приложения.</w:t>
      </w:r>
    </w:p>
    <w:p>
      <w:pPr>
        <w:pStyle w:val="0"/>
        <w:spacing w:before="200" w:line-rule="auto"/>
        <w:ind w:firstLine="540"/>
        <w:jc w:val="both"/>
      </w:pPr>
      <w:r>
        <w:rPr>
          <w:sz w:val="20"/>
        </w:rPr>
        <w:t xml:space="preserve">Если суммарная площадь участков поверхности кромки, подлежащих исправлению, превышает 50% всей площади поверхности кромки, допускается наплавлять кромку по всему периметру. При этом толщина наплавки не должна выходить за пределы зоны L + 20 мм, указанной на </w:t>
      </w:r>
      <w:hyperlink w:history="0" w:anchor="P3803" w:tooltip="Рисунок 8.1. Кромка литой детали">
        <w:r>
          <w:rPr>
            <w:sz w:val="20"/>
            <w:color w:val="0000ff"/>
          </w:rPr>
          <w:t xml:space="preserve">рисунке 8.1</w:t>
        </w:r>
      </w:hyperlink>
      <w:r>
        <w:rPr>
          <w:sz w:val="20"/>
        </w:rPr>
        <w:t xml:space="preserve">.</w:t>
      </w:r>
    </w:p>
    <w:p>
      <w:pPr>
        <w:pStyle w:val="0"/>
        <w:spacing w:before="200" w:line-rule="auto"/>
        <w:ind w:firstLine="540"/>
        <w:jc w:val="both"/>
      </w:pPr>
      <w:r>
        <w:rPr>
          <w:sz w:val="20"/>
        </w:rPr>
        <w:t xml:space="preserve">88. Исправление дефектов в отливках и кромках под сварку в зависимости от марки стали должно выполняться по технологической документации организации-изготовителя отливок.</w:t>
      </w:r>
    </w:p>
    <w:p>
      <w:pPr>
        <w:pStyle w:val="0"/>
        <w:spacing w:before="200" w:line-rule="auto"/>
        <w:ind w:firstLine="540"/>
        <w:jc w:val="both"/>
      </w:pPr>
      <w:r>
        <w:rPr>
          <w:sz w:val="20"/>
        </w:rPr>
        <w:t xml:space="preserve">89. Поверхность каждой выборки при ремонте должна подвергаться капиллярному или магнитопорошковому контролю.</w:t>
      </w:r>
    </w:p>
    <w:p>
      <w:pPr>
        <w:pStyle w:val="0"/>
        <w:spacing w:before="200" w:line-rule="auto"/>
        <w:ind w:firstLine="540"/>
        <w:jc w:val="both"/>
      </w:pPr>
      <w:r>
        <w:rPr>
          <w:sz w:val="20"/>
        </w:rPr>
        <w:t xml:space="preserve">90. Если на поверхности отливки после удаления дефектов размер каждого из углублений не превышает 10% толщины стенки для отливки с толщиной стенки до 20,0 мм или 1,0 мм + 5% толщины стенки для отливки с толщиной стенки свыше 20,0 мм, то производится зачистка кромок углублений с обеспечением плавного перехода к основной поверхности без последующего исправления их заваркой.</w:t>
      </w:r>
    </w:p>
    <w:p>
      <w:pPr>
        <w:pStyle w:val="0"/>
        <w:spacing w:before="200" w:line-rule="auto"/>
        <w:ind w:firstLine="540"/>
        <w:jc w:val="both"/>
      </w:pPr>
      <w:r>
        <w:rPr>
          <w:sz w:val="20"/>
        </w:rPr>
        <w:t xml:space="preserve">91. В случае совмещения дефектов на наружной и внутренней поверхностях суммарная глубина выборок не должна превышать требований </w:t>
      </w:r>
      <w:hyperlink w:history="0" w:anchor="P3817" w:tooltip="93. Масса удаляемого металла для каждой выборки не должна превышать 5%, а суммарная масса удаляемого металла для всех выборок - 10% массы отливки.">
        <w:r>
          <w:rPr>
            <w:sz w:val="20"/>
            <w:color w:val="0000ff"/>
          </w:rPr>
          <w:t xml:space="preserve">пункта 93</w:t>
        </w:r>
      </w:hyperlink>
      <w:r>
        <w:rPr>
          <w:sz w:val="20"/>
        </w:rPr>
        <w:t xml:space="preserve"> настоящего приложения.</w:t>
      </w:r>
    </w:p>
    <w:p>
      <w:pPr>
        <w:pStyle w:val="0"/>
        <w:spacing w:before="200" w:line-rule="auto"/>
        <w:ind w:firstLine="540"/>
        <w:jc w:val="both"/>
      </w:pPr>
      <w:r>
        <w:rPr>
          <w:sz w:val="20"/>
        </w:rPr>
        <w:t xml:space="preserve">92. На отливках и их сварных кромках места расположения дефектов, подлежащих исправлению, должны быть отмечены способом, обеспечивающим сохранность разметки до исправления дефекта.</w:t>
      </w:r>
    </w:p>
    <w:bookmarkStart w:id="3817" w:name="P3817"/>
    <w:bookmarkEnd w:id="3817"/>
    <w:p>
      <w:pPr>
        <w:pStyle w:val="0"/>
        <w:spacing w:before="200" w:line-rule="auto"/>
        <w:ind w:firstLine="540"/>
        <w:jc w:val="both"/>
      </w:pPr>
      <w:r>
        <w:rPr>
          <w:sz w:val="20"/>
        </w:rPr>
        <w:t xml:space="preserve">93. Масса удаляемого металла для каждой выборки не должна превышать 5%, а суммарная масса удаляемого металла для всех выборок - 10% массы отливки.</w:t>
      </w:r>
    </w:p>
    <w:p>
      <w:pPr>
        <w:pStyle w:val="0"/>
        <w:spacing w:before="200" w:line-rule="auto"/>
        <w:ind w:firstLine="540"/>
        <w:jc w:val="both"/>
      </w:pPr>
      <w:r>
        <w:rPr>
          <w:sz w:val="20"/>
        </w:rPr>
        <w:t xml:space="preserve">94. После заварки выборок исправленные отливки должны подвергаться термической обработке, если она предусмотрена для сварных соединений из стали данной марки аналогичной толщины.</w:t>
      </w:r>
    </w:p>
    <w:p>
      <w:pPr>
        <w:pStyle w:val="0"/>
        <w:spacing w:before="200" w:line-rule="auto"/>
        <w:ind w:firstLine="540"/>
        <w:jc w:val="both"/>
      </w:pPr>
      <w:r>
        <w:rPr>
          <w:sz w:val="20"/>
        </w:rPr>
        <w:t xml:space="preserve">95. Режимы термической обработки отливок после заварки выборок должны соответствовать требованиям документа по стандартизации на отливку, включенного в Сводный </w:t>
      </w:r>
      <w:hyperlink w:history="0" r:id="rId105" w:tooltip="Постановление Правительства РФ от 12.07.2016 N 669 (ред. от 18.05.2023) &quot;Об утверждении Положения о стандартизации в отношении продукции (работ, услуг), для которой устанавливаются требования, связанные с обеспечением безопасности в области использования атомной энергии, а также процессов и иных объектов стандартизации, связанных с такой продукцией&quot; {КонсультантПлюс}">
        <w:r>
          <w:rPr>
            <w:sz w:val="20"/>
            <w:color w:val="0000ff"/>
          </w:rPr>
          <w:t xml:space="preserve">перечень</w:t>
        </w:r>
      </w:hyperlink>
      <w:r>
        <w:rPr>
          <w:sz w:val="20"/>
        </w:rPr>
        <w:t xml:space="preserve">, или конструкторской документации.</w:t>
      </w:r>
    </w:p>
    <w:p>
      <w:pPr>
        <w:pStyle w:val="0"/>
        <w:spacing w:before="200" w:line-rule="auto"/>
        <w:ind w:firstLine="540"/>
        <w:jc w:val="both"/>
      </w:pPr>
      <w:r>
        <w:rPr>
          <w:sz w:val="20"/>
        </w:rPr>
        <w:t xml:space="preserve">96. Заварка выборок без последующей термической обработки исправленных отливок выполняется при условии, что максимальная глубина выборок не превышает 20% толщины стенки - при толщине стенки до 125,0 мм или 25,0 мм - при толщине стенки свыше 125,0 мм, а максимальная площадь выборки в плане составляет не более 100,0 см</w:t>
      </w:r>
      <w:r>
        <w:rPr>
          <w:sz w:val="20"/>
          <w:vertAlign w:val="superscript"/>
        </w:rPr>
        <w:t xml:space="preserve">2</w:t>
      </w:r>
      <w:r>
        <w:rPr>
          <w:sz w:val="20"/>
        </w:rPr>
        <w:t xml:space="preserve">.</w:t>
      </w:r>
    </w:p>
    <w:p>
      <w:pPr>
        <w:pStyle w:val="0"/>
        <w:spacing w:before="200" w:line-rule="auto"/>
        <w:ind w:firstLine="540"/>
        <w:jc w:val="both"/>
      </w:pPr>
      <w:r>
        <w:rPr>
          <w:sz w:val="20"/>
        </w:rPr>
        <w:t xml:space="preserve">97. При исправлении дефектов в отливках и кромках под сварку недопустимо применение пробок, чеканки, пропитки и других, не указанных в настоящем приложении, методов исправления. Сквозные отверстия исправляются установкой вставок из той же марки стали с их заваркой (с полным проплавлением сварных кромок) и последующей термической обработкой.</w:t>
      </w:r>
    </w:p>
    <w:p>
      <w:pPr>
        <w:pStyle w:val="0"/>
        <w:spacing w:before="200" w:line-rule="auto"/>
        <w:ind w:firstLine="540"/>
        <w:jc w:val="both"/>
      </w:pPr>
      <w:r>
        <w:rPr>
          <w:sz w:val="20"/>
        </w:rPr>
        <w:t xml:space="preserve">98. Участки отливок и их кромки под сварку, которые были подвергнуты исправлению заваркой, должны контролироваться всеми методами, которыми они контролировались до исправления. При этом контроль проводится после термической обработки.</w:t>
      </w:r>
    </w:p>
    <w:p>
      <w:pPr>
        <w:pStyle w:val="0"/>
        <w:spacing w:before="200" w:line-rule="auto"/>
        <w:ind w:firstLine="540"/>
        <w:jc w:val="both"/>
      </w:pPr>
      <w:r>
        <w:rPr>
          <w:sz w:val="20"/>
        </w:rPr>
        <w:t xml:space="preserve">99. Оценка качества исправленных заваркой мест по результатам контроля должна выполняться:</w:t>
      </w:r>
    </w:p>
    <w:p>
      <w:pPr>
        <w:pStyle w:val="0"/>
        <w:spacing w:before="200" w:line-rule="auto"/>
        <w:ind w:firstLine="540"/>
        <w:jc w:val="both"/>
      </w:pPr>
      <w:r>
        <w:rPr>
          <w:sz w:val="20"/>
        </w:rPr>
        <w:t xml:space="preserve">а) для отливок, исключая кромки под сварку, - в соответствии с требованиями настоящего приложения;</w:t>
      </w:r>
    </w:p>
    <w:p>
      <w:pPr>
        <w:pStyle w:val="0"/>
        <w:spacing w:before="200" w:line-rule="auto"/>
        <w:ind w:firstLine="540"/>
        <w:jc w:val="both"/>
      </w:pPr>
      <w:r>
        <w:rPr>
          <w:sz w:val="20"/>
        </w:rPr>
        <w:t xml:space="preserve">б) для кромок под сварку - по нормам, приведенным в </w:t>
      </w:r>
      <w:hyperlink w:history="0" w:anchor="P1217" w:tooltip="ОЦЕНКА">
        <w:r>
          <w:rPr>
            <w:sz w:val="20"/>
            <w:color w:val="0000ff"/>
          </w:rPr>
          <w:t xml:space="preserve">приложении N 4</w:t>
        </w:r>
      </w:hyperlink>
      <w:r>
        <w:rPr>
          <w:sz w:val="20"/>
        </w:rPr>
        <w:t xml:space="preserve"> к настоящим Правилам.</w:t>
      </w:r>
    </w:p>
    <w:p>
      <w:pPr>
        <w:pStyle w:val="0"/>
        <w:spacing w:before="200" w:line-rule="auto"/>
        <w:ind w:firstLine="540"/>
        <w:jc w:val="both"/>
      </w:pPr>
      <w:r>
        <w:rPr>
          <w:sz w:val="20"/>
        </w:rPr>
        <w:t xml:space="preserve">100. Исправление дефектов на одном и том же участке допускается проводить не более трех раз.</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Ростехнадзора от 14.11.2018 N 553</w:t>
            <w:br/>
            <w:t>(ред. от 08.07.2024)</w:t>
            <w:br/>
            <w:t>"Об утверждении федеральных норм и правил в области исполь...</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03.09.2024</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83445&amp;dst=100006" TargetMode = "External"/>
	<Relationship Id="rId8" Type="http://schemas.openxmlformats.org/officeDocument/2006/relationships/hyperlink" Target="https://login.consultant.ru/link/?req=doc&amp;base=LAW&amp;n=420533&amp;dst=127" TargetMode = "External"/>
	<Relationship Id="rId9" Type="http://schemas.openxmlformats.org/officeDocument/2006/relationships/hyperlink" Target="https://login.consultant.ru/link/?req=doc&amp;base=LAW&amp;n=461055&amp;dst=28" TargetMode = "External"/>
	<Relationship Id="rId10" Type="http://schemas.openxmlformats.org/officeDocument/2006/relationships/hyperlink" Target="https://login.consultant.ru/link/?req=doc&amp;base=LAW&amp;n=483445&amp;dst=100006" TargetMode = "External"/>
	<Relationship Id="rId11" Type="http://schemas.openxmlformats.org/officeDocument/2006/relationships/hyperlink" Target="https://login.consultant.ru/link/?req=doc&amp;base=LAW&amp;n=420533&amp;dst=127" TargetMode = "External"/>
	<Relationship Id="rId12" Type="http://schemas.openxmlformats.org/officeDocument/2006/relationships/hyperlink" Target="https://login.consultant.ru/link/?req=doc&amp;base=LAW&amp;n=455399&amp;dst=4" TargetMode = "External"/>
	<Relationship Id="rId13" Type="http://schemas.openxmlformats.org/officeDocument/2006/relationships/hyperlink" Target="https://login.consultant.ru/link/?req=doc&amp;base=LAW&amp;n=341680&amp;dst=100009" TargetMode = "External"/>
	<Relationship Id="rId14" Type="http://schemas.openxmlformats.org/officeDocument/2006/relationships/hyperlink" Target="https://login.consultant.ru/link/?req=doc&amp;base=LAW&amp;n=341680&amp;dst=100009" TargetMode = "External"/>
	<Relationship Id="rId15" Type="http://schemas.openxmlformats.org/officeDocument/2006/relationships/hyperlink" Target="https://login.consultant.ru/link/?req=doc&amp;base=LAW&amp;n=483445&amp;dst=100010" TargetMode = "External"/>
	<Relationship Id="rId16" Type="http://schemas.openxmlformats.org/officeDocument/2006/relationships/hyperlink" Target="https://login.consultant.ru/link/?req=doc&amp;base=OTN&amp;n=19414" TargetMode = "External"/>
	<Relationship Id="rId17" Type="http://schemas.openxmlformats.org/officeDocument/2006/relationships/hyperlink" Target="https://login.consultant.ru/link/?req=doc&amp;base=LAW&amp;n=295247&amp;dst=100006" TargetMode = "External"/>
	<Relationship Id="rId18" Type="http://schemas.openxmlformats.org/officeDocument/2006/relationships/hyperlink" Target="https://login.consultant.ru/link/?req=doc&amp;base=LAW&amp;n=483759&amp;dst=100009" TargetMode = "External"/>
	<Relationship Id="rId19" Type="http://schemas.openxmlformats.org/officeDocument/2006/relationships/hyperlink" Target="https://login.consultant.ru/link/?req=doc&amp;base=LAW&amp;n=483445&amp;dst=100012" TargetMode = "External"/>
	<Relationship Id="rId20" Type="http://schemas.openxmlformats.org/officeDocument/2006/relationships/hyperlink" Target="https://login.consultant.ru/link/?req=doc&amp;base=LAW&amp;n=483445&amp;dst=100013" TargetMode = "External"/>
	<Relationship Id="rId21" Type="http://schemas.openxmlformats.org/officeDocument/2006/relationships/image" Target="media/image2.wmf"/>
	<Relationship Id="rId22" Type="http://schemas.openxmlformats.org/officeDocument/2006/relationships/hyperlink" Target="https://login.consultant.ru/link/?req=doc&amp;base=LAW&amp;n=447564&amp;dst=100074" TargetMode = "External"/>
	<Relationship Id="rId23" Type="http://schemas.openxmlformats.org/officeDocument/2006/relationships/hyperlink" Target="https://login.consultant.ru/link/?req=doc&amp;base=LAW&amp;n=483445&amp;dst=100015" TargetMode = "External"/>
	<Relationship Id="rId24" Type="http://schemas.openxmlformats.org/officeDocument/2006/relationships/hyperlink" Target="https://login.consultant.ru/link/?req=doc&amp;base=OTN&amp;n=34562&amp;dst=100016" TargetMode = "External"/>
	<Relationship Id="rId25" Type="http://schemas.openxmlformats.org/officeDocument/2006/relationships/hyperlink" Target="https://login.consultant.ru/link/?req=doc&amp;base=OTN&amp;n=34562&amp;dst=100299" TargetMode = "External"/>
	<Relationship Id="rId26" Type="http://schemas.openxmlformats.org/officeDocument/2006/relationships/hyperlink" Target="https://login.consultant.ru/link/?req=doc&amp;base=LAW&amp;n=431366" TargetMode = "External"/>
	<Relationship Id="rId27" Type="http://schemas.openxmlformats.org/officeDocument/2006/relationships/hyperlink" Target="https://login.consultant.ru/link/?req=doc&amp;base=LAW&amp;n=483445&amp;dst=100016" TargetMode = "External"/>
	<Relationship Id="rId28" Type="http://schemas.openxmlformats.org/officeDocument/2006/relationships/hyperlink" Target="https://login.consultant.ru/link/?req=doc&amp;base=LAW&amp;n=447564&amp;dst=100074" TargetMode = "External"/>
	<Relationship Id="rId29" Type="http://schemas.openxmlformats.org/officeDocument/2006/relationships/hyperlink" Target="https://login.consultant.ru/link/?req=doc&amp;base=LAW&amp;n=447564&amp;dst=100074" TargetMode = "External"/>
	<Relationship Id="rId30" Type="http://schemas.openxmlformats.org/officeDocument/2006/relationships/hyperlink" Target="https://login.consultant.ru/link/?req=doc&amp;base=LAW&amp;n=483445&amp;dst=100018" TargetMode = "External"/>
	<Relationship Id="rId31" Type="http://schemas.openxmlformats.org/officeDocument/2006/relationships/hyperlink" Target="https://login.consultant.ru/link/?req=doc&amp;base=LAW&amp;n=483445&amp;dst=100021" TargetMode = "External"/>
	<Relationship Id="rId32" Type="http://schemas.openxmlformats.org/officeDocument/2006/relationships/hyperlink" Target="https://login.consultant.ru/link/?req=doc&amp;base=LAW&amp;n=483445&amp;dst=100022" TargetMode = "External"/>
	<Relationship Id="rId33" Type="http://schemas.openxmlformats.org/officeDocument/2006/relationships/hyperlink" Target="https://login.consultant.ru/link/?req=doc&amp;base=OTN&amp;n=30395&amp;dst=100019" TargetMode = "External"/>
	<Relationship Id="rId34" Type="http://schemas.openxmlformats.org/officeDocument/2006/relationships/hyperlink" Target="https://login.consultant.ru/link/?req=doc&amp;base=OTN&amp;n=30395&amp;dst=102694" TargetMode = "External"/>
	<Relationship Id="rId35" Type="http://schemas.openxmlformats.org/officeDocument/2006/relationships/hyperlink" Target="https://login.consultant.ru/link/?req=doc&amp;base=LAW&amp;n=375398" TargetMode = "External"/>
	<Relationship Id="rId36" Type="http://schemas.openxmlformats.org/officeDocument/2006/relationships/hyperlink" Target="https://login.consultant.ru/link/?req=doc&amp;base=LAW&amp;n=483445&amp;dst=100025" TargetMode = "External"/>
	<Relationship Id="rId37" Type="http://schemas.openxmlformats.org/officeDocument/2006/relationships/hyperlink" Target="https://login.consultant.ru/link/?req=doc&amp;base=OTN&amp;n=30396&amp;dst=100019" TargetMode = "External"/>
	<Relationship Id="rId38" Type="http://schemas.openxmlformats.org/officeDocument/2006/relationships/hyperlink" Target="https://login.consultant.ru/link/?req=doc&amp;base=OTN&amp;n=30396&amp;dst=102283" TargetMode = "External"/>
	<Relationship Id="rId39" Type="http://schemas.openxmlformats.org/officeDocument/2006/relationships/hyperlink" Target="https://login.consultant.ru/link/?req=doc&amp;base=LAW&amp;n=375539" TargetMode = "External"/>
	<Relationship Id="rId40" Type="http://schemas.openxmlformats.org/officeDocument/2006/relationships/hyperlink" Target="https://login.consultant.ru/link/?req=doc&amp;base=LAW&amp;n=483445&amp;dst=100026" TargetMode = "External"/>
	<Relationship Id="rId41" Type="http://schemas.openxmlformats.org/officeDocument/2006/relationships/hyperlink" Target="https://login.consultant.ru/link/?req=doc&amp;base=OTN&amp;n=30394&amp;dst=100019" TargetMode = "External"/>
	<Relationship Id="rId42" Type="http://schemas.openxmlformats.org/officeDocument/2006/relationships/hyperlink" Target="https://login.consultant.ru/link/?req=doc&amp;base=OTN&amp;n=30394&amp;dst=100112" TargetMode = "External"/>
	<Relationship Id="rId43" Type="http://schemas.openxmlformats.org/officeDocument/2006/relationships/hyperlink" Target="https://login.consultant.ru/link/?req=doc&amp;base=LAW&amp;n=375541" TargetMode = "External"/>
	<Relationship Id="rId44" Type="http://schemas.openxmlformats.org/officeDocument/2006/relationships/hyperlink" Target="https://login.consultant.ru/link/?req=doc&amp;base=LAW&amp;n=483445&amp;dst=100027" TargetMode = "External"/>
	<Relationship Id="rId45" Type="http://schemas.openxmlformats.org/officeDocument/2006/relationships/hyperlink" Target="https://login.consultant.ru/link/?req=doc&amp;base=LAW&amp;n=447564&amp;dst=100074" TargetMode = "External"/>
	<Relationship Id="rId46" Type="http://schemas.openxmlformats.org/officeDocument/2006/relationships/hyperlink" Target="https://login.consultant.ru/link/?req=doc&amp;base=LAW&amp;n=483445&amp;dst=100029" TargetMode = "External"/>
	<Relationship Id="rId47" Type="http://schemas.openxmlformats.org/officeDocument/2006/relationships/hyperlink" Target="https://login.consultant.ru/link/?req=doc&amp;base=LAW&amp;n=483445&amp;dst=100030" TargetMode = "External"/>
	<Relationship Id="rId48" Type="http://schemas.openxmlformats.org/officeDocument/2006/relationships/hyperlink" Target="https://login.consultant.ru/link/?req=doc&amp;base=LAW&amp;n=483445&amp;dst=100031" TargetMode = "External"/>
	<Relationship Id="rId49" Type="http://schemas.openxmlformats.org/officeDocument/2006/relationships/hyperlink" Target="https://login.consultant.ru/link/?req=doc&amp;base=LAW&amp;n=483445&amp;dst=100033" TargetMode = "External"/>
	<Relationship Id="rId50" Type="http://schemas.openxmlformats.org/officeDocument/2006/relationships/hyperlink" Target="https://login.consultant.ru/link/?req=doc&amp;base=LAW&amp;n=483445&amp;dst=100035" TargetMode = "External"/>
	<Relationship Id="rId51" Type="http://schemas.openxmlformats.org/officeDocument/2006/relationships/hyperlink" Target="https://login.consultant.ru/link/?req=doc&amp;base=OTN&amp;n=30396&amp;dst=100019" TargetMode = "External"/>
	<Relationship Id="rId52" Type="http://schemas.openxmlformats.org/officeDocument/2006/relationships/hyperlink" Target="https://login.consultant.ru/link/?req=doc&amp;base=OTN&amp;n=30396&amp;dst=102283" TargetMode = "External"/>
	<Relationship Id="rId53" Type="http://schemas.openxmlformats.org/officeDocument/2006/relationships/hyperlink" Target="https://login.consultant.ru/link/?req=doc&amp;base=OTN&amp;n=30396&amp;dst=100019" TargetMode = "External"/>
	<Relationship Id="rId54" Type="http://schemas.openxmlformats.org/officeDocument/2006/relationships/hyperlink" Target="https://login.consultant.ru/link/?req=doc&amp;base=OTN&amp;n=30396&amp;dst=102283" TargetMode = "External"/>
	<Relationship Id="rId55" Type="http://schemas.openxmlformats.org/officeDocument/2006/relationships/hyperlink" Target="https://login.consultant.ru/link/?req=doc&amp;base=LAW&amp;n=483445&amp;dst=100036" TargetMode = "External"/>
	<Relationship Id="rId56" Type="http://schemas.openxmlformats.org/officeDocument/2006/relationships/hyperlink" Target="https://login.consultant.ru/link/?req=doc&amp;base=STR&amp;n=21726" TargetMode = "External"/>
	<Relationship Id="rId57" Type="http://schemas.openxmlformats.org/officeDocument/2006/relationships/hyperlink" Target="https://login.consultant.ru/link/?req=doc&amp;base=LAW&amp;n=284540&amp;dst=100006" TargetMode = "External"/>
	<Relationship Id="rId58" Type="http://schemas.openxmlformats.org/officeDocument/2006/relationships/hyperlink" Target="https://login.consultant.ru/link/?req=doc&amp;base=OTN&amp;n=4389" TargetMode = "External"/>
	<Relationship Id="rId59" Type="http://schemas.openxmlformats.org/officeDocument/2006/relationships/hyperlink" Target="https://login.consultant.ru/link/?req=doc&amp;base=LAW&amp;n=262545&amp;dst=100006" TargetMode = "External"/>
	<Relationship Id="rId60" Type="http://schemas.openxmlformats.org/officeDocument/2006/relationships/hyperlink" Target="https://login.consultant.ru/link/?req=doc&amp;base=LAW&amp;n=447564&amp;dst=100074" TargetMode = "External"/>
	<Relationship Id="rId61" Type="http://schemas.openxmlformats.org/officeDocument/2006/relationships/hyperlink" Target="https://login.consultant.ru/link/?req=doc&amp;base=LAW&amp;n=483445&amp;dst=100039" TargetMode = "External"/>
	<Relationship Id="rId62" Type="http://schemas.openxmlformats.org/officeDocument/2006/relationships/image" Target="media/image3.png"/>
	<Relationship Id="rId63" Type="http://schemas.openxmlformats.org/officeDocument/2006/relationships/image" Target="media/image4.png"/>
	<Relationship Id="rId64" Type="http://schemas.openxmlformats.org/officeDocument/2006/relationships/image" Target="media/image5.wmf"/>
	<Relationship Id="rId65" Type="http://schemas.openxmlformats.org/officeDocument/2006/relationships/image" Target="media/image6.wmf"/>
	<Relationship Id="rId66" Type="http://schemas.openxmlformats.org/officeDocument/2006/relationships/image" Target="media/image7.wmf"/>
	<Relationship Id="rId67" Type="http://schemas.openxmlformats.org/officeDocument/2006/relationships/image" Target="media/image8.wmf"/>
	<Relationship Id="rId68" Type="http://schemas.openxmlformats.org/officeDocument/2006/relationships/image" Target="media/image9.png"/>
	<Relationship Id="rId69" Type="http://schemas.openxmlformats.org/officeDocument/2006/relationships/image" Target="media/image10.png"/>
	<Relationship Id="rId70" Type="http://schemas.openxmlformats.org/officeDocument/2006/relationships/image" Target="media/image11.png"/>
	<Relationship Id="rId71" Type="http://schemas.openxmlformats.org/officeDocument/2006/relationships/image" Target="media/image12.png"/>
	<Relationship Id="rId72" Type="http://schemas.openxmlformats.org/officeDocument/2006/relationships/hyperlink" Target="https://login.consultant.ru/link/?req=doc&amp;base=LAW&amp;n=483445&amp;dst=100040" TargetMode = "External"/>
	<Relationship Id="rId73" Type="http://schemas.openxmlformats.org/officeDocument/2006/relationships/image" Target="media/image13.wmf"/>
	<Relationship Id="rId74" Type="http://schemas.openxmlformats.org/officeDocument/2006/relationships/hyperlink" Target="https://login.consultant.ru/link/?req=doc&amp;base=LAW&amp;n=483445&amp;dst=100040" TargetMode = "External"/>
	<Relationship Id="rId75" Type="http://schemas.openxmlformats.org/officeDocument/2006/relationships/hyperlink" Target="https://login.consultant.ru/link/?req=doc&amp;base=LAW&amp;n=483445&amp;dst=100042" TargetMode = "External"/>
	<Relationship Id="rId76" Type="http://schemas.openxmlformats.org/officeDocument/2006/relationships/hyperlink" Target="https://login.consultant.ru/link/?req=doc&amp;base=LAW&amp;n=483445&amp;dst=100042" TargetMode = "External"/>
	<Relationship Id="rId77" Type="http://schemas.openxmlformats.org/officeDocument/2006/relationships/hyperlink" Target="https://login.consultant.ru/link/?req=doc&amp;base=LAW&amp;n=483445&amp;dst=100044" TargetMode = "External"/>
	<Relationship Id="rId78" Type="http://schemas.openxmlformats.org/officeDocument/2006/relationships/hyperlink" Target="https://login.consultant.ru/link/?req=doc&amp;base=OTN&amp;n=30396&amp;dst=102285" TargetMode = "External"/>
	<Relationship Id="rId79" Type="http://schemas.openxmlformats.org/officeDocument/2006/relationships/hyperlink" Target="https://login.consultant.ru/link/?req=doc&amp;base=LAW&amp;n=483445&amp;dst=100045" TargetMode = "External"/>
	<Relationship Id="rId80" Type="http://schemas.openxmlformats.org/officeDocument/2006/relationships/hyperlink" Target="https://login.consultant.ru/link/?req=doc&amp;base=OTN&amp;n=30396&amp;dst=102285" TargetMode = "External"/>
	<Relationship Id="rId81" Type="http://schemas.openxmlformats.org/officeDocument/2006/relationships/hyperlink" Target="https://login.consultant.ru/link/?req=doc&amp;base=LAW&amp;n=483445&amp;dst=100046" TargetMode = "External"/>
	<Relationship Id="rId82" Type="http://schemas.openxmlformats.org/officeDocument/2006/relationships/image" Target="media/image14.wmf"/>
	<Relationship Id="rId83" Type="http://schemas.openxmlformats.org/officeDocument/2006/relationships/image" Target="media/image15.wmf"/>
	<Relationship Id="rId84" Type="http://schemas.openxmlformats.org/officeDocument/2006/relationships/image" Target="media/image16.wmf"/>
	<Relationship Id="rId85" Type="http://schemas.openxmlformats.org/officeDocument/2006/relationships/image" Target="media/image17.wmf"/>
	<Relationship Id="rId86" Type="http://schemas.openxmlformats.org/officeDocument/2006/relationships/image" Target="media/image18.wmf"/>
	<Relationship Id="rId87" Type="http://schemas.openxmlformats.org/officeDocument/2006/relationships/image" Target="media/image19.wmf"/>
	<Relationship Id="rId88" Type="http://schemas.openxmlformats.org/officeDocument/2006/relationships/hyperlink" Target="https://login.consultant.ru/link/?req=doc&amp;base=STR&amp;n=18610" TargetMode = "External"/>
	<Relationship Id="rId89" Type="http://schemas.openxmlformats.org/officeDocument/2006/relationships/hyperlink" Target="https://login.consultant.ru/link/?req=doc&amp;base=LAW&amp;n=268380&amp;dst=100006" TargetMode = "External"/>
	<Relationship Id="rId90" Type="http://schemas.openxmlformats.org/officeDocument/2006/relationships/hyperlink" Target="https://login.consultant.ru/link/?req=doc&amp;base=LAW&amp;n=483445&amp;dst=100047" TargetMode = "External"/>
	<Relationship Id="rId91" Type="http://schemas.openxmlformats.org/officeDocument/2006/relationships/hyperlink" Target="https://login.consultant.ru/link/?req=doc&amp;base=LAW&amp;n=483445&amp;dst=100047" TargetMode = "External"/>
	<Relationship Id="rId92" Type="http://schemas.openxmlformats.org/officeDocument/2006/relationships/hyperlink" Target="https://login.consultant.ru/link/?req=doc&amp;base=LAW&amp;n=483445&amp;dst=100047" TargetMode = "External"/>
	<Relationship Id="rId93" Type="http://schemas.openxmlformats.org/officeDocument/2006/relationships/hyperlink" Target="https://login.consultant.ru/link/?req=doc&amp;base=LAW&amp;n=447564&amp;dst=100074" TargetMode = "External"/>
	<Relationship Id="rId94" Type="http://schemas.openxmlformats.org/officeDocument/2006/relationships/hyperlink" Target="https://login.consultant.ru/link/?req=doc&amp;base=LAW&amp;n=447564&amp;dst=100074" TargetMode = "External"/>
	<Relationship Id="rId95" Type="http://schemas.openxmlformats.org/officeDocument/2006/relationships/hyperlink" Target="https://login.consultant.ru/link/?req=doc&amp;base=LAW&amp;n=447564&amp;dst=100074" TargetMode = "External"/>
	<Relationship Id="rId96" Type="http://schemas.openxmlformats.org/officeDocument/2006/relationships/hyperlink" Target="https://login.consultant.ru/link/?req=doc&amp;base=LAW&amp;n=447564&amp;dst=100074" TargetMode = "External"/>
	<Relationship Id="rId97" Type="http://schemas.openxmlformats.org/officeDocument/2006/relationships/hyperlink" Target="https://login.consultant.ru/link/?req=doc&amp;base=LAW&amp;n=447564&amp;dst=100074" TargetMode = "External"/>
	<Relationship Id="rId98" Type="http://schemas.openxmlformats.org/officeDocument/2006/relationships/hyperlink" Target="https://login.consultant.ru/link/?req=doc&amp;base=LAW&amp;n=447564&amp;dst=100074" TargetMode = "External"/>
	<Relationship Id="rId99" Type="http://schemas.openxmlformats.org/officeDocument/2006/relationships/hyperlink" Target="https://login.consultant.ru/link/?req=doc&amp;base=STR&amp;n=21726" TargetMode = "External"/>
	<Relationship Id="rId100" Type="http://schemas.openxmlformats.org/officeDocument/2006/relationships/hyperlink" Target="https://login.consultant.ru/link/?req=doc&amp;base=LAW&amp;n=447564&amp;dst=100074" TargetMode = "External"/>
	<Relationship Id="rId101" Type="http://schemas.openxmlformats.org/officeDocument/2006/relationships/hyperlink" Target="https://login.consultant.ru/link/?req=doc&amp;base=LAW&amp;n=447564&amp;dst=100074" TargetMode = "External"/>
	<Relationship Id="rId102" Type="http://schemas.openxmlformats.org/officeDocument/2006/relationships/hyperlink" Target="https://login.consultant.ru/link/?req=doc&amp;base=LAW&amp;n=447564&amp;dst=100074" TargetMode = "External"/>
	<Relationship Id="rId103" Type="http://schemas.openxmlformats.org/officeDocument/2006/relationships/hyperlink" Target="https://login.consultant.ru/link/?req=doc&amp;base=LAW&amp;n=447564&amp;dst=100074" TargetMode = "External"/>
	<Relationship Id="rId104" Type="http://schemas.openxmlformats.org/officeDocument/2006/relationships/image" Target="media/image20.png"/>
	<Relationship Id="rId105" Type="http://schemas.openxmlformats.org/officeDocument/2006/relationships/hyperlink" Target="https://login.consultant.ru/link/?req=doc&amp;base=LAW&amp;n=447564&amp;dst=100074"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4024.00.31</Application>
  <Company>КонсультантПлюс Версия 4024.00.31</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14.11.2018 N 553
(ред. от 08.07.2024)
"Об утверждении федеральных норм и правил в области использования атомной энергии "Правила контроля металла оборудования и трубопроводов атомных энергетических установок при изготовлении и монтаже"
(вместе с "НП-105-18. Федеральные нормы и правила...")
(Зарегистрировано в Минюсте России 20.12.2018 N 53090)</dc:title>
  <dcterms:created xsi:type="dcterms:W3CDTF">2024-09-03T13:36:51Z</dcterms:created>
</cp:coreProperties>
</file>