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60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FF9900"/>
          <w:spacing w:val="0"/>
          <w:position w:val="0"/>
          <w:sz w:val="120"/>
          <w:shd w:fill="auto" w:val="clear"/>
        </w:rPr>
        <w:t xml:space="preserve">☁</w:t>
      </w:r>
    </w:p>
    <w:p>
      <w:pPr>
        <w:spacing w:before="0" w:after="100" w:line="240"/>
        <w:ind w:right="0" w:left="0" w:firstLine="0"/>
        <w:jc w:val="center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64"/>
          <w:shd w:fill="auto" w:val="clear"/>
        </w:rPr>
        <w:t xml:space="preserve">AWS Infrastructure Builder</w:t>
      </w:r>
    </w:p>
    <w:p>
      <w:pPr>
        <w:spacing w:before="0" w:after="80" w:line="240"/>
        <w:ind w:right="0" w:left="0" w:firstLine="0"/>
        <w:jc w:val="center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555555"/>
          <w:spacing w:val="0"/>
          <w:position w:val="0"/>
          <w:sz w:val="28"/>
          <w:shd w:fill="auto" w:val="clear"/>
        </w:rPr>
        <w:t xml:space="preserve">Ferramenta Educacional de Diagramas de Infraestrutura AWS</w:t>
      </w:r>
    </w:p>
    <w:p>
      <w:pPr>
        <w:spacing w:before="40" w:after="16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0" w:firstLine="0"/>
        <w:jc w:val="center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777777"/>
          <w:spacing w:val="0"/>
          <w:position w:val="0"/>
          <w:sz w:val="22"/>
          <w:shd w:fill="auto" w:val="clear"/>
        </w:rPr>
        <w:t xml:space="preserve">Documentação Técnica</w:t>
      </w:r>
    </w:p>
    <w:p>
      <w:pPr>
        <w:spacing w:before="0" w:after="80" w:line="240"/>
        <w:ind w:right="0" w:left="0" w:firstLine="0"/>
        <w:jc w:val="center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26"/>
          <w:shd w:fill="auto" w:val="clear"/>
        </w:rPr>
        <w:t xml:space="preserve">Athos de Araujo Gomes de França</w:t>
      </w:r>
    </w:p>
    <w:p>
      <w:pPr>
        <w:spacing w:before="0" w:after="400" w:line="240"/>
        <w:ind w:right="0" w:left="0" w:firstLine="0"/>
        <w:jc w:val="center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999999"/>
          <w:spacing w:val="0"/>
          <w:position w:val="0"/>
          <w:sz w:val="20"/>
          <w:shd w:fill="auto" w:val="clear"/>
        </w:rPr>
        <w:t xml:space="preserve">7 </w:t>
      </w:r>
      <w:r>
        <w:rPr>
          <w:rFonts w:ascii="Arial" w:hAnsi="Arial" w:cs="Arial" w:eastAsia="Arial"/>
          <w:color w:val="999999"/>
          <w:spacing w:val="0"/>
          <w:position w:val="0"/>
          <w:sz w:val="20"/>
          <w:shd w:fill="auto" w:val="clear"/>
        </w:rPr>
        <w:t xml:space="preserve">de junho de </w:t>
      </w:r>
      <w:r>
        <w:rPr>
          <w:rFonts w:ascii="Arial" w:hAnsi="Arial" w:cs="Arial" w:eastAsia="Arial"/>
          <w:color w:val="999999"/>
          <w:spacing w:val="0"/>
          <w:position w:val="0"/>
          <w:sz w:val="20"/>
          <w:shd w:fill="auto" w:val="clear"/>
        </w:rPr>
        <w:t xml:space="preserve">2026</w:t>
      </w:r>
    </w:p>
    <w:tbl>
      <w:tblPr/>
      <w:tblGrid>
        <w:gridCol w:w="2256"/>
        <w:gridCol w:w="6770"/>
      </w:tblGrid>
      <w:tr>
        <w:trPr>
          <w:trHeight w:val="1" w:hRule="atLeast"/>
          <w:jc w:val="left"/>
        </w:trPr>
        <w:tc>
          <w:tcPr>
            <w:tcW w:w="22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232f3e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Versão</w:t>
            </w:r>
          </w:p>
        </w:tc>
        <w:tc>
          <w:tcPr>
            <w:tcW w:w="6770" w:type="dxa"/>
            <w:tcBorders>
              <w:top w:val="single" w:color="dddddd" w:sz="1"/>
              <w:left w:val="single" w:color="000000" w:sz="4"/>
              <w:bottom w:val="single" w:color="dddddd" w:sz="1"/>
              <w:right w:val="single" w:color="000000" w:sz="4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20"/>
                <w:shd w:fill="auto" w:val="clear"/>
              </w:rPr>
              <w:t xml:space="preserve">1.0.0</w:t>
            </w:r>
          </w:p>
        </w:tc>
      </w:tr>
      <w:tr>
        <w:trPr>
          <w:trHeight w:val="1" w:hRule="atLeast"/>
          <w:jc w:val="left"/>
        </w:trPr>
        <w:tc>
          <w:tcPr>
            <w:tcW w:w="22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6600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Linguagem</w:t>
            </w:r>
          </w:p>
        </w:tc>
        <w:tc>
          <w:tcPr>
            <w:tcW w:w="6770" w:type="dxa"/>
            <w:tcBorders>
              <w:top w:val="single" w:color="dddddd" w:sz="1"/>
              <w:left w:val="single" w:color="000000" w:sz="4"/>
              <w:bottom w:val="single" w:color="dddddd" w:sz="1"/>
              <w:right w:val="single" w:color="000000" w:sz="4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20"/>
                <w:shd w:fill="auto" w:val="clear"/>
              </w:rPr>
              <w:t xml:space="preserve">HTML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20"/>
                <w:shd w:fill="auto" w:val="clear"/>
              </w:rPr>
              <w:t xml:space="preserve">5 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20"/>
                <w:shd w:fill="auto" w:val="clear"/>
              </w:rPr>
              <w:t xml:space="preserve">+ CSS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20"/>
                <w:shd w:fill="auto" w:val="clear"/>
              </w:rPr>
              <w:t xml:space="preserve">3 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20"/>
                <w:shd w:fill="auto" w:val="clear"/>
              </w:rPr>
              <w:t xml:space="preserve">+ JavaScript (Vanilla ES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20"/>
                <w:shd w:fill="auto" w:val="clear"/>
              </w:rPr>
              <w:t xml:space="preserve">6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20"/>
                <w:shd w:fill="auto" w:val="clear"/>
              </w:rPr>
              <w:t xml:space="preserve">+)</w:t>
            </w:r>
          </w:p>
        </w:tc>
      </w:tr>
      <w:tr>
        <w:trPr>
          <w:trHeight w:val="1" w:hRule="atLeast"/>
          <w:jc w:val="left"/>
        </w:trPr>
        <w:tc>
          <w:tcPr>
            <w:tcW w:w="22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3f8624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Dependências</w:t>
            </w:r>
          </w:p>
        </w:tc>
        <w:tc>
          <w:tcPr>
            <w:tcW w:w="6770" w:type="dxa"/>
            <w:tcBorders>
              <w:top w:val="single" w:color="dddddd" w:sz="1"/>
              <w:left w:val="single" w:color="000000" w:sz="4"/>
              <w:bottom w:val="single" w:color="dddddd" w:sz="1"/>
              <w:right w:val="single" w:color="000000" w:sz="4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20"/>
                <w:shd w:fill="auto" w:val="clear"/>
              </w:rPr>
              <w:t xml:space="preserve">Zero dependências 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20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20"/>
                <w:shd w:fill="auto" w:val="clear"/>
              </w:rPr>
              <w:t xml:space="preserve">arquivo 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20"/>
                <w:shd w:fill="auto" w:val="clear"/>
              </w:rPr>
              <w:t xml:space="preserve">único HTML autocontido</w:t>
            </w:r>
          </w:p>
        </w:tc>
      </w:tr>
      <w:tr>
        <w:trPr>
          <w:trHeight w:val="1" w:hRule="atLeast"/>
          <w:jc w:val="left"/>
        </w:trPr>
        <w:tc>
          <w:tcPr>
            <w:tcW w:w="22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6b21a8" w:val="clear"/>
            <w:tcMar>
              <w:left w:w="150" w:type="dxa"/>
              <w:right w:w="15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Compatibilidade</w:t>
            </w:r>
          </w:p>
        </w:tc>
        <w:tc>
          <w:tcPr>
            <w:tcW w:w="6770" w:type="dxa"/>
            <w:tcBorders>
              <w:top w:val="single" w:color="dddddd" w:sz="1"/>
              <w:left w:val="single" w:color="000000" w:sz="4"/>
              <w:bottom w:val="single" w:color="dddddd" w:sz="1"/>
              <w:right w:val="single" w:color="000000" w:sz="4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20"/>
                <w:shd w:fill="auto" w:val="clear"/>
              </w:rPr>
              <w:t xml:space="preserve">Chrome 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20"/>
                <w:shd w:fill="auto" w:val="clear"/>
              </w:rPr>
              <w:t xml:space="preserve">90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20"/>
                <w:shd w:fill="auto" w:val="clear"/>
              </w:rPr>
              <w:t xml:space="preserve">+, Firefox 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20"/>
                <w:shd w:fill="auto" w:val="clear"/>
              </w:rPr>
              <w:t xml:space="preserve">88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20"/>
                <w:shd w:fill="auto" w:val="clear"/>
              </w:rPr>
              <w:t xml:space="preserve">+, Edge 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20"/>
                <w:shd w:fill="auto" w:val="clear"/>
              </w:rPr>
              <w:t xml:space="preserve">90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20"/>
                <w:shd w:fill="auto" w:val="clear"/>
              </w:rPr>
              <w:t xml:space="preserve">+, Safari 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20"/>
                <w:shd w:fill="auto" w:val="clear"/>
              </w:rPr>
              <w:t xml:space="preserve">14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20"/>
                <w:shd w:fill="auto" w:val="clear"/>
              </w:rPr>
              <w:t xml:space="preserve">+</w:t>
            </w:r>
          </w:p>
        </w:tc>
      </w:tr>
    </w:tbl>
    <w:p>
      <w:pPr>
        <w:spacing w:before="0" w:after="40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232F3E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36"/>
          <w:shd w:fill="auto" w:val="clear"/>
        </w:rPr>
        <w:t xml:space="preserve">1</w:t>
      </w:r>
      <w:r>
        <w:rPr>
          <w:rFonts w:ascii="Arial" w:hAnsi="Arial" w:cs="Arial" w:eastAsia="Arial"/>
          <w:b/>
          <w:color w:val="232F3E"/>
          <w:spacing w:val="0"/>
          <w:position w:val="0"/>
          <w:sz w:val="36"/>
          <w:shd w:fill="auto" w:val="clear"/>
        </w:rPr>
        <w:t xml:space="preserve">. Visão Geral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O AWS Infrastructure Builder é uma ferramenta web educacional interativa desenvolvida para facilitar o aprendizado e o design de arquiteturas de infraestrutura na Amazon Web Services (AWS). O sistema permite que estudantes criem diagramas de infraestrutura de forma visual e intuitiva, com documentação integrada diretamente na interface.</w:t>
      </w: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1.1 </w:t>
      </w: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Objetivo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A ferramenta foi projetada com dois objetivos principais:</w:t>
      </w:r>
    </w:p>
    <w:p>
      <w:pPr>
        <w:numPr>
          <w:ilvl w:val="0"/>
          <w:numId w:val="31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Educacional: Cada serviço AWS exibe descrição detalhada, boas práticas reais e serviços relacionados, com link direto para a documentação oficial da AWS.</w:t>
      </w:r>
    </w:p>
    <w:p>
      <w:pPr>
        <w:numPr>
          <w:ilvl w:val="0"/>
          <w:numId w:val="31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Produtivo: Permite criar e exportar diagramas de arquitetura em formato SVG, que podem ser usados em apresentações, wikis e documentações técnicas.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1.2 </w:t>
      </w: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Público-alvo</w:t>
      </w:r>
    </w:p>
    <w:p>
      <w:pPr>
        <w:numPr>
          <w:ilvl w:val="0"/>
          <w:numId w:val="34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Estudantes em preparação para certificações AWS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1.3 </w:t>
      </w: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Funcionalidades Principais</w:t>
      </w:r>
    </w:p>
    <w:tbl>
      <w:tblPr/>
      <w:tblGrid>
        <w:gridCol w:w="2400"/>
        <w:gridCol w:w="6626"/>
      </w:tblGrid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232f3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Funcionalidade</w:t>
            </w:r>
          </w:p>
        </w:tc>
        <w:tc>
          <w:tcPr>
            <w:tcW w:w="66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232f3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8"/>
                <w:shd w:fill="auto" w:val="clear"/>
              </w:rPr>
              <w:t xml:space="preserve">Catálogo de Serviços</w:t>
            </w:r>
          </w:p>
        </w:tc>
        <w:tc>
          <w:tcPr>
            <w:tcW w:w="66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8"/>
                <w:shd w:fill="auto" w:val="clear"/>
              </w:rPr>
              <w:t xml:space="preserve">35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8"/>
                <w:shd w:fill="auto" w:val="clear"/>
              </w:rPr>
              <w:t xml:space="preserve">+ serviços AWS organizados em 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8"/>
                <w:shd w:fill="auto" w:val="clear"/>
              </w:rPr>
              <w:t xml:space="preserve">9 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8"/>
                <w:shd w:fill="auto" w:val="clear"/>
              </w:rPr>
              <w:t xml:space="preserve">categorias com busca por texto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0f4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8"/>
                <w:shd w:fill="auto" w:val="clear"/>
              </w:rPr>
              <w:t xml:space="preserve">Drag &amp; Drop</w:t>
            </w:r>
          </w:p>
        </w:tc>
        <w:tc>
          <w:tcPr>
            <w:tcW w:w="66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0f4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8"/>
                <w:shd w:fill="auto" w:val="clear"/>
              </w:rPr>
              <w:t xml:space="preserve">Arraste serviços do painel lateral ou dê duplo clique para adicionar ao canvas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8"/>
                <w:shd w:fill="auto" w:val="clear"/>
              </w:rPr>
              <w:t xml:space="preserve">Conectar Serviços</w:t>
            </w:r>
          </w:p>
        </w:tc>
        <w:tc>
          <w:tcPr>
            <w:tcW w:w="66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8"/>
                <w:shd w:fill="auto" w:val="clear"/>
              </w:rPr>
              <w:t xml:space="preserve">Clique no ponto laranja do nó e depois em outro serviço para criar conexão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0f4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8"/>
                <w:shd w:fill="auto" w:val="clear"/>
              </w:rPr>
              <w:t xml:space="preserve">Validação de Conexões</w:t>
            </w:r>
          </w:p>
        </w:tc>
        <w:tc>
          <w:tcPr>
            <w:tcW w:w="66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0f4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8"/>
                <w:shd w:fill="auto" w:val="clear"/>
              </w:rPr>
              <w:t xml:space="preserve">O sistema avalia se a combinação de serviços faz sentido arquiteturalmente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8"/>
                <w:shd w:fill="auto" w:val="clear"/>
              </w:rPr>
              <w:t xml:space="preserve">Painel de Documentação</w:t>
            </w:r>
          </w:p>
        </w:tc>
        <w:tc>
          <w:tcPr>
            <w:tcW w:w="66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8"/>
                <w:shd w:fill="auto" w:val="clear"/>
              </w:rPr>
              <w:t xml:space="preserve">Exibe descrição, boas práticas e serviços relacionados ao clicar em um nó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0f4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8"/>
                <w:shd w:fill="auto" w:val="clear"/>
              </w:rPr>
              <w:t xml:space="preserve">Regiões AWS</w:t>
            </w:r>
          </w:p>
        </w:tc>
        <w:tc>
          <w:tcPr>
            <w:tcW w:w="66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0f4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8"/>
                <w:shd w:fill="auto" w:val="clear"/>
              </w:rPr>
              <w:t xml:space="preserve">Adicione containers visuais representando Regiões e AZs da AWS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8"/>
                <w:shd w:fill="auto" w:val="clear"/>
              </w:rPr>
              <w:t xml:space="preserve">Exportar SVG</w:t>
            </w:r>
          </w:p>
        </w:tc>
        <w:tc>
          <w:tcPr>
            <w:tcW w:w="66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8"/>
                <w:shd w:fill="auto" w:val="clear"/>
              </w:rPr>
              <w:t xml:space="preserve">Gera um arquivo SVG do diagrama para uso em documentações</w:t>
            </w:r>
          </w:p>
        </w:tc>
      </w:tr>
      <w:tr>
        <w:trPr>
          <w:trHeight w:val="1" w:hRule="atLeast"/>
          <w:jc w:val="left"/>
        </w:trPr>
        <w:tc>
          <w:tcPr>
            <w:tcW w:w="24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0f4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8"/>
                <w:shd w:fill="auto" w:val="clear"/>
              </w:rPr>
              <w:t xml:space="preserve">Teclas de Atalho</w:t>
            </w:r>
          </w:p>
        </w:tc>
        <w:tc>
          <w:tcPr>
            <w:tcW w:w="66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0f4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8"/>
                <w:shd w:fill="auto" w:val="clear"/>
              </w:rPr>
              <w:t xml:space="preserve">ESC cancela conexão, Delete remove o nó selecionado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232F3E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36"/>
          <w:shd w:fill="auto" w:val="clear"/>
        </w:rPr>
        <w:t xml:space="preserve">2</w:t>
      </w:r>
      <w:r>
        <w:rPr>
          <w:rFonts w:ascii="Arial" w:hAnsi="Arial" w:cs="Arial" w:eastAsia="Arial"/>
          <w:b/>
          <w:color w:val="232F3E"/>
          <w:spacing w:val="0"/>
          <w:position w:val="0"/>
          <w:sz w:val="36"/>
          <w:shd w:fill="auto" w:val="clear"/>
        </w:rPr>
        <w:t xml:space="preserve">. Arquitetura Técnica</w:t>
      </w: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2.1 </w:t>
      </w: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Stack Tecnológica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A ferramenta foi desenvolvida intencionalmente como um arquivo HTML único e autocontido, sem dependências externas de runtime. Esta decisão arquitetural garante:</w:t>
      </w:r>
    </w:p>
    <w:p>
      <w:pPr>
        <w:numPr>
          <w:ilvl w:val="0"/>
          <w:numId w:val="69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Portabilidade total: basta abrir o arquivo .html em qualquer browser moderno</w:t>
      </w:r>
    </w:p>
    <w:p>
      <w:pPr>
        <w:numPr>
          <w:ilvl w:val="0"/>
          <w:numId w:val="69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Segurança: nenhuma chamada de rede é feita durante o uso (exceto links de documentação)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FF66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FF6600"/>
          <w:spacing w:val="0"/>
          <w:position w:val="0"/>
          <w:sz w:val="24"/>
          <w:shd w:fill="auto" w:val="clear"/>
        </w:rPr>
        <w:t xml:space="preserve">HTML</w:t>
      </w:r>
      <w:r>
        <w:rPr>
          <w:rFonts w:ascii="Arial" w:hAnsi="Arial" w:cs="Arial" w:eastAsia="Arial"/>
          <w:b/>
          <w:color w:val="FF6600"/>
          <w:spacing w:val="0"/>
          <w:position w:val="0"/>
          <w:sz w:val="24"/>
          <w:shd w:fill="auto" w:val="clear"/>
        </w:rPr>
        <w:t xml:space="preserve">5 </w:t>
      </w:r>
      <w:r>
        <w:rPr>
          <w:rFonts w:ascii="Arial" w:hAnsi="Arial" w:cs="Arial" w:eastAsia="Arial"/>
          <w:b/>
          <w:color w:val="FF6600"/>
          <w:spacing w:val="0"/>
          <w:position w:val="0"/>
          <w:sz w:val="24"/>
          <w:shd w:fill="auto" w:val="clear"/>
        </w:rPr>
        <w:t xml:space="preserve">+ CSS</w:t>
      </w:r>
      <w:r>
        <w:rPr>
          <w:rFonts w:ascii="Arial" w:hAnsi="Arial" w:cs="Arial" w:eastAsia="Arial"/>
          <w:b/>
          <w:color w:val="FF6600"/>
          <w:spacing w:val="0"/>
          <w:position w:val="0"/>
          <w:sz w:val="24"/>
          <w:shd w:fill="auto" w:val="clear"/>
        </w:rPr>
        <w:t xml:space="preserve">3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A estrutura da interface é construída com HTML</w:t>
      </w: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5 </w:t>
      </w: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semântico e CSS</w:t>
      </w: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3 </w:t>
      </w: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moderno. O layout principal usa CSS Flexbox com três painéis: sidebar de serviços, canvas central e painel de informações.</w:t>
      </w:r>
    </w:p>
    <w:p>
      <w:pPr>
        <w:numPr>
          <w:ilvl w:val="0"/>
          <w:numId w:val="73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CSS Custom Properties (variáveis) para tema claro/escuro adaptativo</w:t>
      </w:r>
    </w:p>
    <w:p>
      <w:pPr>
        <w:numPr>
          <w:ilvl w:val="0"/>
          <w:numId w:val="73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Media query prefers-color-scheme para Dark Mode automático</w:t>
      </w:r>
    </w:p>
    <w:p>
      <w:pPr>
        <w:numPr>
          <w:ilvl w:val="0"/>
          <w:numId w:val="73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Transições CSS para micro-interações (hover, seleção, conexões)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FF66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FF6600"/>
          <w:spacing w:val="0"/>
          <w:position w:val="0"/>
          <w:sz w:val="24"/>
          <w:shd w:fill="auto" w:val="clear"/>
        </w:rPr>
        <w:t xml:space="preserve">JavaScript (ES</w:t>
      </w:r>
      <w:r>
        <w:rPr>
          <w:rFonts w:ascii="Arial" w:hAnsi="Arial" w:cs="Arial" w:eastAsia="Arial"/>
          <w:b/>
          <w:color w:val="FF6600"/>
          <w:spacing w:val="0"/>
          <w:position w:val="0"/>
          <w:sz w:val="24"/>
          <w:shd w:fill="auto" w:val="clear"/>
        </w:rPr>
        <w:t xml:space="preserve">6</w:t>
      </w:r>
      <w:r>
        <w:rPr>
          <w:rFonts w:ascii="Arial" w:hAnsi="Arial" w:cs="Arial" w:eastAsia="Arial"/>
          <w:b/>
          <w:color w:val="FF6600"/>
          <w:spacing w:val="0"/>
          <w:position w:val="0"/>
          <w:sz w:val="24"/>
          <w:shd w:fill="auto" w:val="clear"/>
        </w:rPr>
        <w:t xml:space="preserve">+ Vanilla)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Toda a lógica da aplicação é implementada em JavaScript puro, sem frameworks ou bibliotecas. As conexões entre serviços são renderizadas com SVG dinâmico (paths quadráticos Bézier).</w:t>
      </w:r>
    </w:p>
    <w:p>
      <w:pPr>
        <w:numPr>
          <w:ilvl w:val="0"/>
          <w:numId w:val="77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Gerenciamento de estado com arrays mutáveis (nodes[], connections[], regions[])</w:t>
      </w:r>
    </w:p>
    <w:p>
      <w:pPr>
        <w:numPr>
          <w:ilvl w:val="0"/>
          <w:numId w:val="77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Event-driven: drag &amp; drop, mouse events para arrastar nós e criar conexões</w:t>
      </w:r>
    </w:p>
    <w:p>
      <w:pPr>
        <w:numPr>
          <w:ilvl w:val="0"/>
          <w:numId w:val="77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SVG dinâmico: paths Bézier cúbicos com marker de seta via context-stroke</w:t>
      </w:r>
    </w:p>
    <w:p>
      <w:pPr>
        <w:numPr>
          <w:ilvl w:val="0"/>
          <w:numId w:val="77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Algoritmo de validação de conexões baseado em grafos de relação por serviço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2.2 </w:t>
      </w: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Modelo de Dados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O estado da aplicação é mantido em três estruturas de dados JavaScript: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tbl>
      <w:tblPr/>
      <w:tblGrid>
        <w:gridCol w:w="1800"/>
        <w:gridCol w:w="1800"/>
        <w:gridCol w:w="5426"/>
      </w:tblGrid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232f3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Estrutura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232f3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Tipo</w:t>
            </w:r>
          </w:p>
        </w:tc>
        <w:tc>
          <w:tcPr>
            <w:tcW w:w="54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232f3e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Campos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B21A8"/>
                <w:spacing w:val="0"/>
                <w:position w:val="0"/>
                <w:sz w:val="18"/>
                <w:shd w:fill="auto" w:val="clear"/>
              </w:rPr>
              <w:t xml:space="preserve">nodes[]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8"/>
                <w:shd w:fill="auto" w:val="clear"/>
              </w:rPr>
              <w:t xml:space="preserve">Array de objetos</w:t>
            </w:r>
          </w:p>
        </w:tc>
        <w:tc>
          <w:tcPr>
            <w:tcW w:w="54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8"/>
                <w:shd w:fill="auto" w:val="clear"/>
              </w:rPr>
              <w:t xml:space="preserve">{id, serviceId, x, y}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5f0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B21A8"/>
                <w:spacing w:val="0"/>
                <w:position w:val="0"/>
                <w:sz w:val="18"/>
                <w:shd w:fill="auto" w:val="clear"/>
              </w:rPr>
              <w:t xml:space="preserve">connections[]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5f0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8"/>
                <w:shd w:fill="auto" w:val="clear"/>
              </w:rPr>
              <w:t xml:space="preserve">Array de objetos</w:t>
            </w:r>
          </w:p>
        </w:tc>
        <w:tc>
          <w:tcPr>
            <w:tcW w:w="54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5f0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8"/>
                <w:shd w:fill="auto" w:val="clear"/>
              </w:rPr>
              <w:t xml:space="preserve">{from (nodeId), to (nodeId)}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B21A8"/>
                <w:spacing w:val="0"/>
                <w:position w:val="0"/>
                <w:sz w:val="18"/>
                <w:shd w:fill="auto" w:val="clear"/>
              </w:rPr>
              <w:t xml:space="preserve">regions[]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8"/>
                <w:shd w:fill="auto" w:val="clear"/>
              </w:rPr>
              <w:t xml:space="preserve">Array de objetos</w:t>
            </w:r>
          </w:p>
        </w:tc>
        <w:tc>
          <w:tcPr>
            <w:tcW w:w="54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8"/>
                <w:shd w:fill="auto" w:val="clear"/>
              </w:rPr>
              <w:t xml:space="preserve">{id, label, color, x, y, w, h}</w:t>
            </w:r>
          </w:p>
        </w:tc>
      </w:tr>
      <w:tr>
        <w:trPr>
          <w:trHeight w:val="1" w:hRule="atLeast"/>
          <w:jc w:val="left"/>
        </w:trPr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5f0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B21A8"/>
                <w:spacing w:val="0"/>
                <w:position w:val="0"/>
                <w:sz w:val="18"/>
                <w:shd w:fill="auto" w:val="clear"/>
              </w:rPr>
              <w:t xml:space="preserve">SERVICES[]</w:t>
            </w:r>
          </w:p>
        </w:tc>
        <w:tc>
          <w:tcPr>
            <w:tcW w:w="18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5f0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8"/>
                <w:shd w:fill="auto" w:val="clear"/>
              </w:rPr>
              <w:t xml:space="preserve">Constante (catálogo)</w:t>
            </w:r>
          </w:p>
        </w:tc>
        <w:tc>
          <w:tcPr>
            <w:tcW w:w="54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5f0ff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8"/>
                <w:shd w:fill="auto" w:val="clear"/>
              </w:rPr>
              <w:t xml:space="preserve">{cat, id, name, short, icon, color, bg, desc, tips[], relations[], docUrl}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232F3E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36"/>
          <w:shd w:fill="auto" w:val="clear"/>
        </w:rPr>
        <w:t xml:space="preserve">3</w:t>
      </w:r>
      <w:r>
        <w:rPr>
          <w:rFonts w:ascii="Arial" w:hAnsi="Arial" w:cs="Arial" w:eastAsia="Arial"/>
          <w:b/>
          <w:color w:val="232F3E"/>
          <w:spacing w:val="0"/>
          <w:position w:val="0"/>
          <w:sz w:val="36"/>
          <w:shd w:fill="auto" w:val="clear"/>
        </w:rPr>
        <w:t xml:space="preserve">. Catálogo de Serviços AWS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O catálogo inclui </w:t>
      </w: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35 </w:t>
      </w: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serviços AWS organizados em </w:t>
      </w: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9 </w:t>
      </w: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categorias. Cada serviço possui documentação integrada baseada na documentação oficial da AWS (docs.aws.amazon.com).</w:t>
      </w:r>
    </w:p>
    <w:tbl>
      <w:tblPr/>
      <w:tblGrid>
        <w:gridCol w:w="1500"/>
        <w:gridCol w:w="1200"/>
        <w:gridCol w:w="6326"/>
      </w:tblGrid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232f3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Serviço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232f3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Categoria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232f3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0e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🖥️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EC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2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Compute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Instâncias de máquinas virtuais escaláveis com controle total de CPU, memória, SO e rede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0e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λ Lambda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Compute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Execução de código serverless por evento, cobrança por milissegundo de execução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0e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📦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ECS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Compute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Orquestração de contêineres Docker com suporte a Fargate (serverless) e EC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2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0e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⎈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EKS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Compute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Kubernetes totalmente gerenciado pela AWS, sem operar o plano de controle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4ee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🔷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VPC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Rede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Rede privada virtual isolada com controle de sub-redes, roteamento e gateways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4ee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⚖️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ALB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Rede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Load Balancer de camada 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7 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com roteamento por path, host e headers HTTP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4ee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🌐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CloudFront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Rede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CDN global com 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450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+ PoPs para entrega de conteúdo com latência mínima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4ee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🌎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Route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53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Rede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DNS gerenciado com roteamento por latência, geolocalização, failover e pesos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4ee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🔌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API Gateway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Rede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Criação e gerenciamento de APIs REST, HTTP e WebSocket em qualquer escala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4ee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🚪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NAT Gateway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Rede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Saída para internet de sub-redes privadas sem expor IPs das instâncias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df7e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🪣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S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3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Armazenamento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Object storage infinito com 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99.999999999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% de durabilidade (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11 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noves)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df7e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💾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EBS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Armazenamento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Volumes de armazenamento em bloco (HD/SSD virtual) de alta performance para EC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2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df7e6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📁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EFS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Armazenamento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Sistema de arquivos NFS compartilhado entre múltiplas instâncias e contêineres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8f0f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🗄️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RDS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Banco de Dados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Bancos relacionais gerenciados: MySQL, PostgreSQL, Oracle, SQL Server, MariaDB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8f0f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⚡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DynamoDB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Banco de Dados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Banco NoSQL serverless com latência de milissegundos em escala ilimitada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8f0f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⚙️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ElastiCache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Banco de Dados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Cache em memória gerenciado com Redis e Memcached para reduzir latência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8f0f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✨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Aurora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Banco de Dados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Banco compatível MySQL/PostgreSQL, 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5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x mais rápido, storage distribuído em 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3 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AZs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ebe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🔐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IAM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Segurança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Controle de identidade e acesso: Users, Groups, Roles e Policies na AWS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ebe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👤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Cognito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Segurança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Autenticação de usuários finais com User Pools, MFA e federação de identidade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ebe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🔑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Secrets Mgr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Segurança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Armazenamento e rotação automática de credenciais, API keys e segredos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ebeb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🛡️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WAF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Segurança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Firewall de aplicação web contra SQL Injection, XSS, bots e DDoS camada 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7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3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📨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SQS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Mensageria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Fila de mensagens gerenciada para desacoplamento com Standard e FIFO queues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3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📢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SNS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Mensageria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Pub/Sub gerenciado para fan-out de mensagens para SQS, Lambda, email, SMS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3e8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🔄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EventBridge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Mensageria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Event bus serverless para integração baseada em eventos entre serviços e SaaS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6f5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🔍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Athena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Analytics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Query SQL interativa sobre dados no S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3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, serverless, pago por TB escaneado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6f5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🔗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Glue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Analytics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ETL serverless com Data Catalog para descoberta e transformação de dados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6f5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📊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Redshift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Analytics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Data warehouse colunar para analytics sobre petabytes com alta performance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3e8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🚀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CodePipeline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DevOps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Automação de CI/CD: source, build, test e deploy em pipeline totalmente gerenciado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3e8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🔨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CodeBuild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DevOps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Compilação, testes e geração de artefatos em ambiente gerenciado e escalável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3e8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Emoji" w:hAnsi="Segoe UI Emoji" w:cs="Segoe UI Emoji" w:eastAsia="Segoe UI Emoji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🗃️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ECR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DevOps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Registry privado de imagens Docker com scan de vulnerabilidades integrado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8f4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📈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CloudWatch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Monitoramento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Métricas, logs, alarmes e dashboards para monitoramento de recursos AWS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e8f4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🔬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232F3E"/>
                <w:spacing w:val="0"/>
                <w:position w:val="0"/>
                <w:sz w:val="17"/>
                <w:shd w:fill="auto" w:val="clear"/>
              </w:rPr>
              <w:t xml:space="preserve">X-Ray</w:t>
            </w:r>
          </w:p>
        </w:tc>
        <w:tc>
          <w:tcPr>
            <w:tcW w:w="1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7"/>
                <w:shd w:fill="auto" w:val="clear"/>
              </w:rPr>
              <w:t xml:space="preserve">Monitoramento</w:t>
            </w:r>
          </w:p>
        </w:tc>
        <w:tc>
          <w:tcPr>
            <w:tcW w:w="63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Tracing distribuído com Service Map visual para microsserviços e APIs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232F3E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36"/>
          <w:shd w:fill="auto" w:val="clear"/>
        </w:rPr>
        <w:t xml:space="preserve">4</w:t>
      </w:r>
      <w:r>
        <w:rPr>
          <w:rFonts w:ascii="Arial" w:hAnsi="Arial" w:cs="Arial" w:eastAsia="Arial"/>
          <w:b/>
          <w:color w:val="232F3E"/>
          <w:spacing w:val="0"/>
          <w:position w:val="0"/>
          <w:sz w:val="36"/>
          <w:shd w:fill="auto" w:val="clear"/>
        </w:rPr>
        <w:t xml:space="preserve">. Guia de Uso</w:t>
      </w: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4.1 </w:t>
      </w: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Iniciando</w:t>
      </w:r>
    </w:p>
    <w:p>
      <w:pPr>
        <w:numPr>
          <w:ilvl w:val="0"/>
          <w:numId w:val="204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Abra o arquivo aws-infrastructure-builder.html em qualquer browser moderno (Chrome, Firefox, Edge, Safari)</w:t>
      </w:r>
    </w:p>
    <w:p>
      <w:pPr>
        <w:numPr>
          <w:ilvl w:val="0"/>
          <w:numId w:val="204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Nenhuma instalação ou configuração é necessária 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a ferramenta funciona 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100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% offline</w:t>
      </w:r>
    </w:p>
    <w:p>
      <w:pPr>
        <w:numPr>
          <w:ilvl w:val="0"/>
          <w:numId w:val="204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O painel esquerdo exibe todos os serviços AWS disponíveis, organizados por categoria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4.2 </w:t>
      </w: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Adicionando Serviços ao Canvas</w:t>
      </w:r>
    </w:p>
    <w:p>
      <w:pPr>
        <w:numPr>
          <w:ilvl w:val="0"/>
          <w:numId w:val="207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Arraste e solte: clique e segure um serviço no painel esquerdo e arraste para o canvas</w:t>
      </w:r>
    </w:p>
    <w:p>
      <w:pPr>
        <w:numPr>
          <w:ilvl w:val="0"/>
          <w:numId w:val="207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Duplo clique: dê duplo clique em qualquer serviço para adicioná-lo ao centro do canvas</w:t>
      </w:r>
    </w:p>
    <w:p>
      <w:pPr>
        <w:numPr>
          <w:ilvl w:val="0"/>
          <w:numId w:val="207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Busca: use o campo de busca no topo do painel para filtrar serviços por nome ou categoria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4.3 </w:t>
      </w: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Conectando Serviços</w:t>
      </w:r>
    </w:p>
    <w:p>
      <w:pPr>
        <w:numPr>
          <w:ilvl w:val="0"/>
          <w:numId w:val="210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Clique em um serviço no canvas para selecioná-lo (borda laranja aparece)</w:t>
      </w:r>
    </w:p>
    <w:p>
      <w:pPr>
        <w:numPr>
          <w:ilvl w:val="0"/>
          <w:numId w:val="210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Ponto laranja (porta de conexão) aparece na direita e na base do nó selecionado</w:t>
      </w:r>
    </w:p>
    <w:p>
      <w:pPr>
        <w:numPr>
          <w:ilvl w:val="0"/>
          <w:numId w:val="210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Clique no ponto laranja para entrar no modo de conexão (cursor muda para mira)</w:t>
      </w:r>
    </w:p>
    <w:p>
      <w:pPr>
        <w:numPr>
          <w:ilvl w:val="0"/>
          <w:numId w:val="210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Clique no serviço de destino para criar a conexão (linha laranja tracejada aparece)</w:t>
      </w:r>
    </w:p>
    <w:p>
      <w:pPr>
        <w:numPr>
          <w:ilvl w:val="0"/>
          <w:numId w:val="210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O sistema exibe na barra inferior se a combinação é arquiteturalmente adequada (</w:t>
      </w:r>
      <w:r>
        <w:rPr>
          <w:rFonts w:ascii="Segoe UI Symbol" w:hAnsi="Segoe UI Symbol" w:cs="Segoe UI Symbol" w:eastAsia="Segoe UI Symbol"/>
          <w:color w:val="1A1A18"/>
          <w:spacing w:val="0"/>
          <w:position w:val="0"/>
          <w:sz w:val="20"/>
          <w:shd w:fill="auto" w:val="clear"/>
        </w:rPr>
        <w:t xml:space="preserve">✅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ou </w:t>
      </w:r>
      <w:r>
        <w:rPr>
          <w:rFonts w:ascii="Segoe UI Emoji" w:hAnsi="Segoe UI Emoji" w:cs="Segoe UI Emoji" w:eastAsia="Segoe UI Emoji"/>
          <w:color w:val="1A1A18"/>
          <w:spacing w:val="0"/>
          <w:position w:val="0"/>
          <w:sz w:val="20"/>
          <w:shd w:fill="auto" w:val="clear"/>
        </w:rPr>
        <w:t xml:space="preserve">⚠️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)</w:t>
      </w:r>
    </w:p>
    <w:p>
      <w:pPr>
        <w:numPr>
          <w:ilvl w:val="0"/>
          <w:numId w:val="210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Para remover uma conexão, clique sobre ela 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uma confirma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ção é solicitada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4.4 </w:t>
      </w: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Atalhos de Teclado</w:t>
      </w:r>
    </w:p>
    <w:tbl>
      <w:tblPr/>
      <w:tblGrid>
        <w:gridCol w:w="1500"/>
        <w:gridCol w:w="7526"/>
      </w:tblGrid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232f3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FF9900"/>
                <w:spacing w:val="0"/>
                <w:position w:val="0"/>
                <w:sz w:val="20"/>
                <w:shd w:fill="auto" w:val="clear"/>
              </w:rPr>
              <w:t xml:space="preserve">ESC</w:t>
            </w:r>
          </w:p>
        </w:tc>
        <w:tc>
          <w:tcPr>
            <w:tcW w:w="75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20"/>
                <w:shd w:fill="auto" w:val="clear"/>
              </w:rPr>
              <w:t xml:space="preserve">Cancela o modo de conexão em andamento</w:t>
            </w:r>
          </w:p>
        </w:tc>
      </w:tr>
      <w:tr>
        <w:trPr>
          <w:trHeight w:val="1" w:hRule="atLeast"/>
          <w:jc w:val="left"/>
        </w:trPr>
        <w:tc>
          <w:tcPr>
            <w:tcW w:w="15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232f3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FF9900"/>
                <w:spacing w:val="0"/>
                <w:position w:val="0"/>
                <w:sz w:val="20"/>
                <w:shd w:fill="auto" w:val="clear"/>
              </w:rPr>
              <w:t xml:space="preserve">Delete</w:t>
            </w:r>
          </w:p>
        </w:tc>
        <w:tc>
          <w:tcPr>
            <w:tcW w:w="75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20"/>
                <w:shd w:fill="auto" w:val="clear"/>
              </w:rPr>
              <w:t xml:space="preserve">Remove o nó atualmente selecionado do canvas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232F3E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36"/>
          <w:shd w:fill="auto" w:val="clear"/>
        </w:rPr>
        <w:t xml:space="preserve">5</w:t>
      </w:r>
      <w:r>
        <w:rPr>
          <w:rFonts w:ascii="Arial" w:hAnsi="Arial" w:cs="Arial" w:eastAsia="Arial"/>
          <w:b/>
          <w:color w:val="232F3E"/>
          <w:spacing w:val="0"/>
          <w:position w:val="0"/>
          <w:sz w:val="36"/>
          <w:shd w:fill="auto" w:val="clear"/>
        </w:rPr>
        <w:t xml:space="preserve">. Padrões de Arquitetura Recomendados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Esta seção apresenta padrões de arquitetura comuns que podem ser montados com a ferramenta. Use-os como ponto de partida para suas próprias arquiteturas.</w:t>
      </w: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5.1 </w:t>
      </w: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Arquitetura Web de </w:t>
      </w: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3 </w:t>
      </w: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Camadas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Padrão clássico para aplicações web com alta disponibilidade:</w:t>
      </w:r>
    </w:p>
    <w:p>
      <w:pPr>
        <w:numPr>
          <w:ilvl w:val="0"/>
          <w:numId w:val="227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Camada de apresentação: Route 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53 </w:t>
      </w:r>
      <w:r>
        <w:rPr>
          <w:rFonts w:ascii="Cambria Math" w:hAnsi="Cambria Math" w:cs="Cambria Math" w:eastAsia="Cambria Math"/>
          <w:color w:val="1A1A18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CloudFront </w:t>
      </w:r>
      <w:r>
        <w:rPr>
          <w:rFonts w:ascii="Cambria Math" w:hAnsi="Cambria Math" w:cs="Cambria Math" w:eastAsia="Cambria Math"/>
          <w:color w:val="1A1A18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ALB</w:t>
      </w:r>
    </w:p>
    <w:p>
      <w:pPr>
        <w:numPr>
          <w:ilvl w:val="0"/>
          <w:numId w:val="227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Camada de aplicação: EC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2 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(Auto Scaling Group) ou ECS Fargate</w:t>
      </w:r>
    </w:p>
    <w:p>
      <w:pPr>
        <w:numPr>
          <w:ilvl w:val="0"/>
          <w:numId w:val="227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Camada de dados: RDS Multi-AZ + ElastiCache para cache</w:t>
      </w:r>
    </w:p>
    <w:p>
      <w:pPr>
        <w:numPr>
          <w:ilvl w:val="0"/>
          <w:numId w:val="227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Transversal: VPC com sub-redes públicas/privadas, NAT Gateway, IAM, CloudWatch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5.2 </w:t>
      </w: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Arquitetura Serverless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Padrão para aplicações sem gerenciamento de servidores:</w:t>
      </w:r>
    </w:p>
    <w:p>
      <w:pPr>
        <w:numPr>
          <w:ilvl w:val="0"/>
          <w:numId w:val="231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Frontend: S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3 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(static hosting) + CloudFront + Route 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53</w:t>
      </w:r>
    </w:p>
    <w:p>
      <w:pPr>
        <w:numPr>
          <w:ilvl w:val="0"/>
          <w:numId w:val="231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Backend: API Gateway + Lambda (funções por domínio)</w:t>
      </w:r>
    </w:p>
    <w:p>
      <w:pPr>
        <w:numPr>
          <w:ilvl w:val="0"/>
          <w:numId w:val="231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Dados: DynamoDB para NoSQL, Aurora Serverless para SQL, S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3 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para objetos</w:t>
      </w:r>
    </w:p>
    <w:p>
      <w:pPr>
        <w:numPr>
          <w:ilvl w:val="0"/>
          <w:numId w:val="231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Auth: Cognito User Pools integrado ao API Gateway</w:t>
      </w:r>
    </w:p>
    <w:p>
      <w:pPr>
        <w:numPr>
          <w:ilvl w:val="0"/>
          <w:numId w:val="231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Eventos: EventBridge + SQS + SNS para comunicação assíncrona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5.3 </w:t>
      </w: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Arquitetura de Microsserviços com Containers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Padrão para sistemas distribuídos com containers:</w:t>
      </w:r>
    </w:p>
    <w:p>
      <w:pPr>
        <w:numPr>
          <w:ilvl w:val="0"/>
          <w:numId w:val="235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Orquestração: EKS ou ECS Fargate por microsserviço</w:t>
      </w:r>
    </w:p>
    <w:p>
      <w:pPr>
        <w:numPr>
          <w:ilvl w:val="0"/>
          <w:numId w:val="235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Rede: ALB com roteamento por path para cada serviço</w:t>
      </w:r>
    </w:p>
    <w:p>
      <w:pPr>
        <w:numPr>
          <w:ilvl w:val="0"/>
          <w:numId w:val="235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Registry: ECR para armazenar imagens Docker</w:t>
      </w:r>
    </w:p>
    <w:p>
      <w:pPr>
        <w:numPr>
          <w:ilvl w:val="0"/>
          <w:numId w:val="235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CI/CD: CodePipeline </w:t>
      </w:r>
      <w:r>
        <w:rPr>
          <w:rFonts w:ascii="Cambria Math" w:hAnsi="Cambria Math" w:cs="Cambria Math" w:eastAsia="Cambria Math"/>
          <w:color w:val="1A1A18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CodeBuild </w:t>
      </w:r>
      <w:r>
        <w:rPr>
          <w:rFonts w:ascii="Cambria Math" w:hAnsi="Cambria Math" w:cs="Cambria Math" w:eastAsia="Cambria Math"/>
          <w:color w:val="1A1A18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ECR </w:t>
      </w:r>
      <w:r>
        <w:rPr>
          <w:rFonts w:ascii="Cambria Math" w:hAnsi="Cambria Math" w:cs="Cambria Math" w:eastAsia="Cambria Math"/>
          <w:color w:val="1A1A18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ECS/EKS</w:t>
      </w:r>
    </w:p>
    <w:p>
      <w:pPr>
        <w:numPr>
          <w:ilvl w:val="0"/>
          <w:numId w:val="235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Observabilidade: CloudWatch + X-Ray para métricas, logs e tracing</w:t>
      </w:r>
    </w:p>
    <w:p>
      <w:pPr>
        <w:numPr>
          <w:ilvl w:val="0"/>
          <w:numId w:val="235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Comunicação: SQS/SNS/EventBridge para eventos entre serviços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5.4 </w:t>
      </w: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Data Lake e Analytics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Padrão para plataformas de analytics e big data:</w:t>
      </w:r>
    </w:p>
    <w:p>
      <w:pPr>
        <w:numPr>
          <w:ilvl w:val="0"/>
          <w:numId w:val="239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Ingestão: Kinesis Data Streams ou S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3 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direto de fontes variadas</w:t>
      </w:r>
    </w:p>
    <w:p>
      <w:pPr>
        <w:numPr>
          <w:ilvl w:val="0"/>
          <w:numId w:val="239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Catálogo: Glue Crawler + Data Catalog para descoberta automática de schema</w:t>
      </w:r>
    </w:p>
    <w:p>
      <w:pPr>
        <w:numPr>
          <w:ilvl w:val="0"/>
          <w:numId w:val="239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Transformação: Glue ETL Jobs (Spark) para limpeza e enriquecimento</w:t>
      </w:r>
    </w:p>
    <w:p>
      <w:pPr>
        <w:numPr>
          <w:ilvl w:val="0"/>
          <w:numId w:val="239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Storage: S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3 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em camadas (Raw </w:t>
      </w:r>
      <w:r>
        <w:rPr>
          <w:rFonts w:ascii="Cambria Math" w:hAnsi="Cambria Math" w:cs="Cambria Math" w:eastAsia="Cambria Math"/>
          <w:color w:val="1A1A18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Processed </w:t>
      </w:r>
      <w:r>
        <w:rPr>
          <w:rFonts w:ascii="Cambria Math" w:hAnsi="Cambria Math" w:cs="Cambria Math" w:eastAsia="Cambria Math"/>
          <w:color w:val="1A1A18"/>
          <w:spacing w:val="0"/>
          <w:position w:val="0"/>
          <w:sz w:val="20"/>
          <w:shd w:fill="auto" w:val="clear"/>
        </w:rPr>
        <w:t xml:space="preserve">→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Curated) com Lifecycle Policies</w:t>
      </w:r>
    </w:p>
    <w:p>
      <w:pPr>
        <w:numPr>
          <w:ilvl w:val="0"/>
          <w:numId w:val="239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Query: Athena para SQL ad-hoc, Redshift para BI e relatórios complexos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232F3E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36"/>
          <w:shd w:fill="auto" w:val="clear"/>
        </w:rPr>
        <w:t xml:space="preserve">6</w:t>
      </w:r>
      <w:r>
        <w:rPr>
          <w:rFonts w:ascii="Arial" w:hAnsi="Arial" w:cs="Arial" w:eastAsia="Arial"/>
          <w:b/>
          <w:color w:val="232F3E"/>
          <w:spacing w:val="0"/>
          <w:position w:val="0"/>
          <w:sz w:val="36"/>
          <w:shd w:fill="auto" w:val="clear"/>
        </w:rPr>
        <w:t xml:space="preserve">. Estrutura do Código-Fonte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O arquivo aws-infrastructure-builder.html é autocontido e organizado nas seguintes seções:</w:t>
      </w: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6.1 </w:t>
      </w: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Seção &lt;head&gt; </w:t>
      </w: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Estilos CSS</w:t>
      </w:r>
    </w:p>
    <w:p>
      <w:pPr>
        <w:numPr>
          <w:ilvl w:val="0"/>
          <w:numId w:val="245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Reset e variáveis CSS (tema claro/escuro, cores AWS, dimensões)</w:t>
      </w:r>
    </w:p>
    <w:p>
      <w:pPr>
        <w:numPr>
          <w:ilvl w:val="0"/>
          <w:numId w:val="245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Estilos do layout principal: topbar, sidebar, canvas, info panel, status bar</w:t>
      </w:r>
    </w:p>
    <w:p>
      <w:pPr>
        <w:numPr>
          <w:ilvl w:val="0"/>
          <w:numId w:val="245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Estilos dos nós: classes .canvas-node, .node-header, .connect-port, .node-delete</w:t>
      </w:r>
    </w:p>
    <w:p>
      <w:pPr>
        <w:numPr>
          <w:ilvl w:val="0"/>
          <w:numId w:val="245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Estilos das regiões: .region-box, .region-label</w:t>
      </w:r>
    </w:p>
    <w:p>
      <w:pPr>
        <w:numPr>
          <w:ilvl w:val="0"/>
          <w:numId w:val="245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Animações e transições: hover effects, selected state, connecting mode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6.2 </w:t>
      </w: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Seção &lt;body&gt; </w:t>
      </w: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Estrutura HTML</w:t>
      </w:r>
    </w:p>
    <w:p>
      <w:pPr>
        <w:numPr>
          <w:ilvl w:val="0"/>
          <w:numId w:val="248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#topbar: barra superior com logo, subtítulo e botões de ação</w:t>
      </w:r>
    </w:p>
    <w:p>
      <w:pPr>
        <w:numPr>
          <w:ilvl w:val="0"/>
          <w:numId w:val="248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#sidebar: painel esquerdo com busca e lista de serviços por categoria</w:t>
      </w:r>
    </w:p>
    <w:p>
      <w:pPr>
        <w:numPr>
          <w:ilvl w:val="0"/>
          <w:numId w:val="248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#canvas-wrap + #canvas: área de trabalho central com SVG overlay</w:t>
      </w:r>
    </w:p>
    <w:p>
      <w:pPr>
        <w:numPr>
          <w:ilvl w:val="0"/>
          <w:numId w:val="248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#info-panel: painel direito com documentação do serviço selecionado</w:t>
      </w:r>
    </w:p>
    <w:p>
      <w:pPr>
        <w:numPr>
          <w:ilvl w:val="0"/>
          <w:numId w:val="248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#statusbar: barra inferior com contadores e mensagens de status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6.3 </w:t>
      </w: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Seção &lt;script&gt; </w:t>
      </w: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L</w:t>
      </w: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ógica JavaScript</w:t>
      </w:r>
    </w:p>
    <w:tbl>
      <w:tblPr/>
      <w:tblGrid>
        <w:gridCol w:w="2200"/>
        <w:gridCol w:w="6826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232f3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Função / Constante</w:t>
            </w:r>
          </w:p>
        </w:tc>
        <w:tc>
          <w:tcPr>
            <w:tcW w:w="68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232f3e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8"/>
                <w:shd w:fill="auto" w:val="clear"/>
              </w:rPr>
              <w:t xml:space="preserve">Responsabilidade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9f0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6B21A8"/>
                <w:spacing w:val="0"/>
                <w:position w:val="0"/>
                <w:sz w:val="17"/>
                <w:shd w:fill="auto" w:val="clear"/>
              </w:rPr>
              <w:t xml:space="preserve">SERVICES[]</w:t>
            </w:r>
          </w:p>
        </w:tc>
        <w:tc>
          <w:tcPr>
            <w:tcW w:w="68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Catálogo completo dos 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35 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serviços AWS com todos os metadados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6B21A8"/>
                <w:spacing w:val="0"/>
                <w:position w:val="0"/>
                <w:sz w:val="17"/>
                <w:shd w:fill="auto" w:val="clear"/>
              </w:rPr>
              <w:t xml:space="preserve">renderSidebar()</w:t>
            </w:r>
          </w:p>
        </w:tc>
        <w:tc>
          <w:tcPr>
            <w:tcW w:w="68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Gera dinamicamente a lista de serviços com suporte a filtro de busca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9f0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6B21A8"/>
                <w:spacing w:val="0"/>
                <w:position w:val="0"/>
                <w:sz w:val="17"/>
                <w:shd w:fill="auto" w:val="clear"/>
              </w:rPr>
              <w:t xml:space="preserve">addNode()</w:t>
            </w:r>
          </w:p>
        </w:tc>
        <w:tc>
          <w:tcPr>
            <w:tcW w:w="68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Adiciona um novo nó ao estado e renderiza no canvas com posição x,y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6B21A8"/>
                <w:spacing w:val="0"/>
                <w:position w:val="0"/>
                <w:sz w:val="17"/>
                <w:shd w:fill="auto" w:val="clear"/>
              </w:rPr>
              <w:t xml:space="preserve">renderNode()</w:t>
            </w:r>
          </w:p>
        </w:tc>
        <w:tc>
          <w:tcPr>
            <w:tcW w:w="68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Cria o elemento DOM do nó com header, body, portas de conexão e botão de delete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9f0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6B21A8"/>
                <w:spacing w:val="0"/>
                <w:position w:val="0"/>
                <w:sz w:val="17"/>
                <w:shd w:fill="auto" w:val="clear"/>
              </w:rPr>
              <w:t xml:space="preserve">onDrop()</w:t>
            </w:r>
          </w:p>
        </w:tc>
        <w:tc>
          <w:tcPr>
            <w:tcW w:w="68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Handler do evento drop do HTML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5 </w:t>
            </w: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Drag &amp; Drop API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6B21A8"/>
                <w:spacing w:val="0"/>
                <w:position w:val="0"/>
                <w:sz w:val="17"/>
                <w:shd w:fill="auto" w:val="clear"/>
              </w:rPr>
              <w:t xml:space="preserve">startDrag() / onDragMove()</w:t>
            </w:r>
          </w:p>
        </w:tc>
        <w:tc>
          <w:tcPr>
            <w:tcW w:w="68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Sistema de arrastar nós com mousemove e cálculo de offset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9f0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6B21A8"/>
                <w:spacing w:val="0"/>
                <w:position w:val="0"/>
                <w:sz w:val="17"/>
                <w:shd w:fill="auto" w:val="clear"/>
              </w:rPr>
              <w:t xml:space="preserve">selectNode()</w:t>
            </w:r>
          </w:p>
        </w:tc>
        <w:tc>
          <w:tcPr>
            <w:tcW w:w="68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Seleciona ou inicia conexão dependendo do estado connectingFrom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6B21A8"/>
                <w:spacing w:val="0"/>
                <w:position w:val="0"/>
                <w:sz w:val="17"/>
                <w:shd w:fill="auto" w:val="clear"/>
              </w:rPr>
              <w:t xml:space="preserve">startConnect() / finishConnect()</w:t>
            </w:r>
          </w:p>
        </w:tc>
        <w:tc>
          <w:tcPr>
            <w:tcW w:w="68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Gerencia o ciclo de vida de criação de conexões entre serviços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9f0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6B21A8"/>
                <w:spacing w:val="0"/>
                <w:position w:val="0"/>
                <w:sz w:val="17"/>
                <w:shd w:fill="auto" w:val="clear"/>
              </w:rPr>
              <w:t xml:space="preserve">evaluateConnection()</w:t>
            </w:r>
          </w:p>
        </w:tc>
        <w:tc>
          <w:tcPr>
            <w:tcW w:w="68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Valida se a conexão faz sentido usando o grafo de relações do SERVICES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6B21A8"/>
                <w:spacing w:val="0"/>
                <w:position w:val="0"/>
                <w:sz w:val="17"/>
                <w:shd w:fill="auto" w:val="clear"/>
              </w:rPr>
              <w:t xml:space="preserve">renderConnections()</w:t>
            </w:r>
          </w:p>
        </w:tc>
        <w:tc>
          <w:tcPr>
            <w:tcW w:w="68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Redesenha todos os SVG paths (curvas Bézier) que representam conexões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9f0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6B21A8"/>
                <w:spacing w:val="0"/>
                <w:position w:val="0"/>
                <w:sz w:val="17"/>
                <w:shd w:fill="auto" w:val="clear"/>
              </w:rPr>
              <w:t xml:space="preserve">showInfo() / showEmptyInfo()</w:t>
            </w:r>
          </w:p>
        </w:tc>
        <w:tc>
          <w:tcPr>
            <w:tcW w:w="68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Popula o painel de informações com documentação do serviço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6B21A8"/>
                <w:spacing w:val="0"/>
                <w:position w:val="0"/>
                <w:sz w:val="17"/>
                <w:shd w:fill="auto" w:val="clear"/>
              </w:rPr>
              <w:t xml:space="preserve">addRegion()</w:t>
            </w:r>
          </w:p>
        </w:tc>
        <w:tc>
          <w:tcPr>
            <w:tcW w:w="68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Adiciona container visual de Região AWS no canvas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9f0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6B21A8"/>
                <w:spacing w:val="0"/>
                <w:position w:val="0"/>
                <w:sz w:val="17"/>
                <w:shd w:fill="auto" w:val="clear"/>
              </w:rPr>
              <w:t xml:space="preserve">clearAll()</w:t>
            </w:r>
          </w:p>
        </w:tc>
        <w:tc>
          <w:tcPr>
            <w:tcW w:w="68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auto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Limpa o canvas após confirmação do usuário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6B21A8"/>
                <w:spacing w:val="0"/>
                <w:position w:val="0"/>
                <w:sz w:val="17"/>
                <w:shd w:fill="auto" w:val="clear"/>
              </w:rPr>
              <w:t xml:space="preserve">exportSVG()</w:t>
            </w:r>
          </w:p>
        </w:tc>
        <w:tc>
          <w:tcPr>
            <w:tcW w:w="6826" w:type="dxa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1A1A18"/>
                <w:spacing w:val="0"/>
                <w:position w:val="0"/>
                <w:sz w:val="17"/>
                <w:shd w:fill="auto" w:val="clear"/>
              </w:rPr>
              <w:t xml:space="preserve">Gera arquivo SVG do diagrama atual e aciona download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232F3E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36"/>
          <w:shd w:fill="auto" w:val="clear"/>
        </w:rPr>
        <w:t xml:space="preserve">7</w:t>
      </w:r>
      <w:r>
        <w:rPr>
          <w:rFonts w:ascii="Arial" w:hAnsi="Arial" w:cs="Arial" w:eastAsia="Arial"/>
          <w:b/>
          <w:color w:val="232F3E"/>
          <w:spacing w:val="0"/>
          <w:position w:val="0"/>
          <w:sz w:val="36"/>
          <w:shd w:fill="auto" w:val="clear"/>
        </w:rPr>
        <w:t xml:space="preserve">. Extensibilidade e Personalização</w:t>
      </w: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7.1 </w:t>
      </w: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Adicionando Novos Serviços</w:t>
      </w:r>
    </w:p>
    <w:p>
      <w:pPr>
        <w:spacing w:before="0" w:after="10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Para adicionar um novo serviço AWS ao catálogo, basta inserir um novo objeto no array SERVICES no JavaScript:</w:t>
      </w:r>
    </w:p>
    <w:p>
      <w:pPr>
        <w:numPr>
          <w:ilvl w:val="0"/>
          <w:numId w:val="301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cat: categoria do serviço (string 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use uma das categorias existentes ou crie uma nova)</w:t>
      </w:r>
    </w:p>
    <w:p>
      <w:pPr>
        <w:numPr>
          <w:ilvl w:val="0"/>
          <w:numId w:val="301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id: identificador único em minúsculas, sem espaços (ex: "kinesis", "stepfunctions")</w:t>
      </w:r>
    </w:p>
    <w:p>
      <w:pPr>
        <w:numPr>
          <w:ilvl w:val="0"/>
          <w:numId w:val="301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name: nome exibido na UI (ex: "Kinesis", "Step Functions")</w:t>
      </w:r>
    </w:p>
    <w:p>
      <w:pPr>
        <w:numPr>
          <w:ilvl w:val="0"/>
          <w:numId w:val="301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short: descrição de uma linha (ex: "Streaming de dados em tempo real")</w:t>
      </w:r>
    </w:p>
    <w:p>
      <w:pPr>
        <w:numPr>
          <w:ilvl w:val="0"/>
          <w:numId w:val="301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icon: emoji ou texto curto para o ícone visual</w:t>
      </w:r>
    </w:p>
    <w:p>
      <w:pPr>
        <w:numPr>
          <w:ilvl w:val="0"/>
          <w:numId w:val="301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color: cor hexadecimal do texto/borda do nó (ex: "#FF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6600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")</w:t>
      </w:r>
    </w:p>
    <w:p>
      <w:pPr>
        <w:numPr>
          <w:ilvl w:val="0"/>
          <w:numId w:val="301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bg: cor de fundo do nó, deve ser a versão clara de color (ex: "#FFF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3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E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8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")</w:t>
      </w:r>
    </w:p>
    <w:p>
      <w:pPr>
        <w:numPr>
          <w:ilvl w:val="0"/>
          <w:numId w:val="301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desc: descrição detalhada exibida no painel de informações (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2-4 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frases)</w:t>
      </w:r>
    </w:p>
    <w:p>
      <w:pPr>
        <w:numPr>
          <w:ilvl w:val="0"/>
          <w:numId w:val="301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tips: array de strings com 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3-5 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boas práticas reais do serviço</w:t>
      </w:r>
    </w:p>
    <w:p>
      <w:pPr>
        <w:numPr>
          <w:ilvl w:val="0"/>
          <w:numId w:val="301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relations: array de IDs de serviços que se conectam bem com este</w:t>
      </w:r>
    </w:p>
    <w:p>
      <w:pPr>
        <w:numPr>
          <w:ilvl w:val="0"/>
          <w:numId w:val="301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docUrl: URL da documentação oficial da AWS para este serviço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7.2 </w:t>
      </w: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Personalizando o Visual</w:t>
      </w:r>
    </w:p>
    <w:p>
      <w:pPr>
        <w:numPr>
          <w:ilvl w:val="0"/>
          <w:numId w:val="304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Tema: altere as variáveis CSS --aws-orange, --aws-blue e --aws-teal para sua paleta</w:t>
      </w:r>
    </w:p>
    <w:p>
      <w:pPr>
        <w:numPr>
          <w:ilvl w:val="0"/>
          <w:numId w:val="304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Dark Mode: o tema escuro é automático via prefers-color-scheme 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customize --bg-primary etc.</w:t>
      </w:r>
    </w:p>
    <w:p>
      <w:pPr>
        <w:numPr>
          <w:ilvl w:val="0"/>
          <w:numId w:val="304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Tamanho dos nós: ajuste min-width e max-width na classe .canvas-node</w:t>
      </w:r>
    </w:p>
    <w:p>
      <w:pPr>
        <w:numPr>
          <w:ilvl w:val="0"/>
          <w:numId w:val="304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Ícones de serviço: substitua emojis por SVG inline ou imagens base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64 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no renderNode()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7.3 </w:t>
      </w: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Integrações Futuras Sugeridas</w:t>
      </w:r>
    </w:p>
    <w:p>
      <w:pPr>
        <w:numPr>
          <w:ilvl w:val="0"/>
          <w:numId w:val="307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Persistência: usar localStorage para salvar diagramas entre sessões</w:t>
      </w:r>
    </w:p>
    <w:p>
      <w:pPr>
        <w:numPr>
          <w:ilvl w:val="0"/>
          <w:numId w:val="307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Importar/Exportar JSON: serializar o estado nodes[] + connections[] para compartilhamento</w:t>
      </w:r>
    </w:p>
    <w:p>
      <w:pPr>
        <w:numPr>
          <w:ilvl w:val="0"/>
          <w:numId w:val="307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Export PNG: usar html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2</w:t>
      </w: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canvas ou uma biblioteca de captura de tela</w:t>
      </w:r>
    </w:p>
    <w:p>
      <w:pPr>
        <w:numPr>
          <w:ilvl w:val="0"/>
          <w:numId w:val="307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Export CloudFormation/Terraform: gerar IaC a partir do diagrama</w:t>
      </w:r>
    </w:p>
    <w:p>
      <w:pPr>
        <w:numPr>
          <w:ilvl w:val="0"/>
          <w:numId w:val="307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Colaboração em tempo real: integrar com WebSocket ou CRDTs para edição simultânea</w:t>
      </w:r>
    </w:p>
    <w:p>
      <w:pPr>
        <w:numPr>
          <w:ilvl w:val="0"/>
          <w:numId w:val="307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Templates: biblioteca de padrões de arquitetura pré-montados para carregamento rápido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400" w:after="200" w:line="240"/>
        <w:ind w:right="0" w:left="0" w:firstLine="0"/>
        <w:jc w:val="left"/>
        <w:rPr>
          <w:rFonts w:ascii="Arial" w:hAnsi="Arial" w:cs="Arial" w:eastAsia="Arial"/>
          <w:b/>
          <w:color w:val="232F3E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36"/>
          <w:shd w:fill="auto" w:val="clear"/>
        </w:rPr>
        <w:t xml:space="preserve">8</w:t>
      </w:r>
      <w:r>
        <w:rPr>
          <w:rFonts w:ascii="Arial" w:hAnsi="Arial" w:cs="Arial" w:eastAsia="Arial"/>
          <w:b/>
          <w:color w:val="232F3E"/>
          <w:spacing w:val="0"/>
          <w:position w:val="0"/>
          <w:sz w:val="36"/>
          <w:shd w:fill="auto" w:val="clear"/>
        </w:rPr>
        <w:t xml:space="preserve">. Referências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  <w:t xml:space="preserve">Esta ferramenta foi desenvolvida com base na documentação oficial da AWS e nas melhores práticas do AWS Well-Architected Framework.</w:t>
      </w: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8.1 </w:t>
      </w: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Documentação AWS</w:t>
      </w:r>
    </w:p>
    <w:p>
      <w:pPr>
        <w:numPr>
          <w:ilvl w:val="0"/>
          <w:numId w:val="313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AWS Documentation: 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1A1A18"/>
            <w:spacing w:val="0"/>
            <w:position w:val="0"/>
            <w:sz w:val="20"/>
            <w:u w:val="single"/>
            <w:shd w:fill="auto" w:val="clear"/>
          </w:rPr>
          <w:t xml:space="preserve">https://docs.aws.amazon.com</w:t>
        </w:r>
      </w:hyperlink>
    </w:p>
    <w:p>
      <w:pPr>
        <w:numPr>
          <w:ilvl w:val="0"/>
          <w:numId w:val="313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AWS Well-Architected Framework: </w:t>
      </w:r>
      <w:hyperlink xmlns:r="http://schemas.openxmlformats.org/officeDocument/2006/relationships" r:id="docRId1">
        <w:r>
          <w:rPr>
            <w:rFonts w:ascii="Arial" w:hAnsi="Arial" w:cs="Arial" w:eastAsia="Arial"/>
            <w:color w:val="1A1A18"/>
            <w:spacing w:val="0"/>
            <w:position w:val="0"/>
            <w:sz w:val="20"/>
            <w:u w:val="single"/>
            <w:shd w:fill="auto" w:val="clear"/>
          </w:rPr>
          <w:t xml:space="preserve">https://docs.aws.amazon.com/wellarchitected/</w:t>
        </w:r>
      </w:hyperlink>
    </w:p>
    <w:p>
      <w:pPr>
        <w:numPr>
          <w:ilvl w:val="0"/>
          <w:numId w:val="313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AWS Architecture Center: </w:t>
      </w:r>
      <w:hyperlink xmlns:r="http://schemas.openxmlformats.org/officeDocument/2006/relationships" r:id="docRId2">
        <w:r>
          <w:rPr>
            <w:rFonts w:ascii="Arial" w:hAnsi="Arial" w:cs="Arial" w:eastAsia="Arial"/>
            <w:color w:val="1A1A18"/>
            <w:spacing w:val="0"/>
            <w:position w:val="0"/>
            <w:sz w:val="20"/>
            <w:u w:val="single"/>
            <w:shd w:fill="auto" w:val="clear"/>
          </w:rPr>
          <w:t xml:space="preserve">https://aws.amazon.com/architecture/</w:t>
        </w:r>
      </w:hyperlink>
    </w:p>
    <w:p>
      <w:pPr>
        <w:numPr>
          <w:ilvl w:val="0"/>
          <w:numId w:val="313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AWS Solutions Library: </w:t>
      </w:r>
      <w:hyperlink xmlns:r="http://schemas.openxmlformats.org/officeDocument/2006/relationships" r:id="docRId3">
        <w:r>
          <w:rPr>
            <w:rFonts w:ascii="Arial" w:hAnsi="Arial" w:cs="Arial" w:eastAsia="Arial"/>
            <w:color w:val="1A1A18"/>
            <w:spacing w:val="0"/>
            <w:position w:val="0"/>
            <w:sz w:val="20"/>
            <w:u w:val="single"/>
            <w:shd w:fill="auto" w:val="clear"/>
          </w:rPr>
          <w:t xml:space="preserve">https://aws.amazon.com/solutions/</w:t>
        </w:r>
      </w:hyperlink>
    </w:p>
    <w:p>
      <w:pPr>
        <w:numPr>
          <w:ilvl w:val="0"/>
          <w:numId w:val="313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AWS Pricing Calculator: </w:t>
      </w:r>
      <w:hyperlink xmlns:r="http://schemas.openxmlformats.org/officeDocument/2006/relationships" r:id="docRId4">
        <w:r>
          <w:rPr>
            <w:rFonts w:ascii="Arial" w:hAnsi="Arial" w:cs="Arial" w:eastAsia="Arial"/>
            <w:color w:val="1A1A18"/>
            <w:spacing w:val="0"/>
            <w:position w:val="0"/>
            <w:sz w:val="20"/>
            <w:u w:val="single"/>
            <w:shd w:fill="auto" w:val="clear"/>
          </w:rPr>
          <w:t xml:space="preserve">https://calculator.aws/</w:t>
        </w:r>
      </w:hyperlink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320" w:after="160" w:line="240"/>
        <w:ind w:right="0" w:left="0" w:firstLine="0"/>
        <w:jc w:val="left"/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8.2 </w:t>
      </w:r>
      <w:r>
        <w:rPr>
          <w:rFonts w:ascii="Arial" w:hAnsi="Arial" w:cs="Arial" w:eastAsia="Arial"/>
          <w:b/>
          <w:color w:val="232F3E"/>
          <w:spacing w:val="0"/>
          <w:position w:val="0"/>
          <w:sz w:val="28"/>
          <w:shd w:fill="auto" w:val="clear"/>
        </w:rPr>
        <w:t xml:space="preserve">Padrões e Whitepapers</w:t>
      </w:r>
    </w:p>
    <w:p>
      <w:pPr>
        <w:numPr>
          <w:ilvl w:val="0"/>
          <w:numId w:val="316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AWS Cloud Adoption Framework (CAF)</w:t>
      </w:r>
    </w:p>
    <w:p>
      <w:pPr>
        <w:numPr>
          <w:ilvl w:val="0"/>
          <w:numId w:val="316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AWS Microservices on AWS whitepaper</w:t>
      </w:r>
    </w:p>
    <w:p>
      <w:pPr>
        <w:numPr>
          <w:ilvl w:val="0"/>
          <w:numId w:val="316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AWS Security Best Practices whitepaper</w:t>
      </w:r>
    </w:p>
    <w:p>
      <w:pPr>
        <w:numPr>
          <w:ilvl w:val="0"/>
          <w:numId w:val="316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AWS Storage Services Overview whitepaper</w:t>
      </w:r>
    </w:p>
    <w:p>
      <w:pPr>
        <w:numPr>
          <w:ilvl w:val="0"/>
          <w:numId w:val="316"/>
        </w:numPr>
        <w:spacing w:before="0" w:after="60" w:line="240"/>
        <w:ind w:right="0" w:left="720" w:hanging="36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1A1A18"/>
          <w:spacing w:val="0"/>
          <w:position w:val="0"/>
          <w:sz w:val="20"/>
          <w:shd w:fill="auto" w:val="clear"/>
        </w:rPr>
        <w:t xml:space="preserve">Running Containerized Microservices on AWS whitepaper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40" w:after="160" w:line="240"/>
        <w:ind w:right="0" w:left="0" w:firstLine="0"/>
        <w:jc w:val="left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</w:p>
    <w:p>
      <w:pPr>
        <w:spacing w:before="0" w:after="60" w:line="240"/>
        <w:ind w:right="0" w:left="0" w:firstLine="0"/>
        <w:jc w:val="center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232F3E"/>
          <w:spacing w:val="0"/>
          <w:position w:val="0"/>
          <w:sz w:val="20"/>
          <w:shd w:fill="auto" w:val="clear"/>
        </w:rPr>
        <w:t xml:space="preserve">AWS Infrastructure Builder </w:t>
      </w:r>
      <w:r>
        <w:rPr>
          <w:rFonts w:ascii="Arial" w:hAnsi="Arial" w:cs="Arial" w:eastAsia="Arial"/>
          <w:b/>
          <w:color w:val="232F3E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232F3E"/>
          <w:spacing w:val="0"/>
          <w:position w:val="0"/>
          <w:sz w:val="20"/>
          <w:shd w:fill="auto" w:val="clear"/>
        </w:rPr>
        <w:t xml:space="preserve">Documenta</w:t>
      </w:r>
      <w:r>
        <w:rPr>
          <w:rFonts w:ascii="Arial" w:hAnsi="Arial" w:cs="Arial" w:eastAsia="Arial"/>
          <w:b/>
          <w:color w:val="232F3E"/>
          <w:spacing w:val="0"/>
          <w:position w:val="0"/>
          <w:sz w:val="20"/>
          <w:shd w:fill="auto" w:val="clear"/>
        </w:rPr>
        <w:t xml:space="preserve">ção Técnica</w:t>
      </w:r>
    </w:p>
    <w:p>
      <w:pPr>
        <w:spacing w:before="0" w:after="60" w:line="240"/>
        <w:ind w:right="0" w:left="0" w:firstLine="0"/>
        <w:jc w:val="center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888888"/>
          <w:spacing w:val="0"/>
          <w:position w:val="0"/>
          <w:sz w:val="18"/>
          <w:shd w:fill="auto" w:val="clear"/>
        </w:rPr>
        <w:t xml:space="preserve">Athos de Araujo Gomes de França  </w:t>
      </w:r>
      <w:r>
        <w:rPr>
          <w:rFonts w:ascii="Arial" w:hAnsi="Arial" w:cs="Arial" w:eastAsia="Arial"/>
          <w:color w:val="888888"/>
          <w:spacing w:val="0"/>
          <w:position w:val="0"/>
          <w:sz w:val="18"/>
          <w:shd w:fill="auto" w:val="clear"/>
        </w:rPr>
        <w:t xml:space="preserve">•  </w:t>
      </w:r>
      <w:r>
        <w:rPr>
          <w:rFonts w:ascii="Arial" w:hAnsi="Arial" w:cs="Arial" w:eastAsia="Arial"/>
          <w:color w:val="888888"/>
          <w:spacing w:val="0"/>
          <w:position w:val="0"/>
          <w:sz w:val="18"/>
          <w:shd w:fill="auto" w:val="clear"/>
        </w:rPr>
        <w:t xml:space="preserve">2026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1A1A18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AAAAA"/>
          <w:spacing w:val="0"/>
          <w:position w:val="0"/>
          <w:sz w:val="16"/>
          <w:shd w:fill="auto" w:val="clear"/>
        </w:rPr>
        <w:t xml:space="preserve">Este documento foi gerado automaticamente pela ferramenta de criação de documentação.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abstractNum w:abstractNumId="30">
    <w:lvl w:ilvl="0">
      <w:start w:val="1"/>
      <w:numFmt w:val="bullet"/>
      <w:lvlText w:val="•"/>
    </w:lvl>
  </w:abstractNum>
  <w:abstractNum w:abstractNumId="7">
    <w:lvl w:ilvl="0">
      <w:start w:val="1"/>
      <w:numFmt w:val="decimal"/>
      <w:lvlText w:val="%1.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num w:numId="31">
    <w:abstractNumId w:val="96"/>
  </w:num>
  <w:num w:numId="34">
    <w:abstractNumId w:val="90"/>
  </w:num>
  <w:num w:numId="69">
    <w:abstractNumId w:val="84"/>
  </w:num>
  <w:num w:numId="73">
    <w:abstractNumId w:val="78"/>
  </w:num>
  <w:num w:numId="77">
    <w:abstractNumId w:val="72"/>
  </w:num>
  <w:num w:numId="204">
    <w:abstractNumId w:val="7"/>
  </w:num>
  <w:num w:numId="207">
    <w:abstractNumId w:val="66"/>
  </w:num>
  <w:num w:numId="210">
    <w:abstractNumId w:val="1"/>
  </w:num>
  <w:num w:numId="227">
    <w:abstractNumId w:val="60"/>
  </w:num>
  <w:num w:numId="231">
    <w:abstractNumId w:val="54"/>
  </w:num>
  <w:num w:numId="235">
    <w:abstractNumId w:val="48"/>
  </w:num>
  <w:num w:numId="239">
    <w:abstractNumId w:val="42"/>
  </w:num>
  <w:num w:numId="245">
    <w:abstractNumId w:val="36"/>
  </w:num>
  <w:num w:numId="248">
    <w:abstractNumId w:val="30"/>
  </w:num>
  <w:num w:numId="301">
    <w:abstractNumId w:val="24"/>
  </w:num>
  <w:num w:numId="304">
    <w:abstractNumId w:val="18"/>
  </w:num>
  <w:num w:numId="307">
    <w:abstractNumId w:val="12"/>
  </w:num>
  <w:num w:numId="313">
    <w:abstractNumId w:val="6"/>
  </w:num>
  <w:num w:numId="31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docs.aws.amazon.com/wellarchitected/" Id="docRId1" Type="http://schemas.openxmlformats.org/officeDocument/2006/relationships/hyperlink" /><Relationship TargetMode="External" Target="https://aws.amazon.com/solutions/" Id="docRId3" Type="http://schemas.openxmlformats.org/officeDocument/2006/relationships/hyperlink" /><Relationship Target="numbering.xml" Id="docRId5" Type="http://schemas.openxmlformats.org/officeDocument/2006/relationships/numbering" /><Relationship TargetMode="External" Target="https://docs.aws.amazon.com/" Id="docRId0" Type="http://schemas.openxmlformats.org/officeDocument/2006/relationships/hyperlink" /><Relationship TargetMode="External" Target="https://aws.amazon.com/architecture/" Id="docRId2" Type="http://schemas.openxmlformats.org/officeDocument/2006/relationships/hyperlink" /><Relationship TargetMode="External" Target="https://calculator.aws/" Id="docRId4" Type="http://schemas.openxmlformats.org/officeDocument/2006/relationships/hyperlink" /><Relationship Target="styles.xml" Id="docRId6" Type="http://schemas.openxmlformats.org/officeDocument/2006/relationships/styles" /></Relationships>
</file>