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  QuickClaw Clone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46E5"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Full Architecture &amp; Phase-by-Phase Build Plan</w:t>
            </w:r>
          </w:p>
          <w:p>
            <w:pPr>
              <w:spacing w:before="80"/>
              <w:jc w:val="center"/>
            </w:pPr>
            <w:r>
              <w:rPr>
                <w:rFonts w:ascii="Arial" w:cs="Arial" w:eastAsia="Arial" w:hAnsi="Arial"/>
                <w:color w:val="C7D2FE"/>
                <w:sz w:val="20"/>
                <w:szCs w:val="20"/>
              </w:rPr>
              <w:t xml:space="preserve">Kotlin Multiplatform · Android · iOS · Web Dashboard · BYOK + Bundled Keys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9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Product Name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TBD (working title: YourClaw / SwiftAgent)</w:t>
            </w:r>
          </w:p>
        </w:tc>
      </w:tr>
      <w:tr>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Platforms</w:t>
            </w:r>
          </w:p>
        </w:tc>
        <w:tc>
          <w:tcPr>
            <w:tcW w:type="dxa" w:w="69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Android, iOS (Kotlin Multiplatform), Web Dashboard (React / Next.js)</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Core Engine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OpenClaw (open-source, MIT license, 277k+ GitHub stars)</w:t>
            </w:r>
          </w:p>
        </w:tc>
      </w:tr>
      <w:tr>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Primary AI Model</w:t>
            </w:r>
          </w:p>
        </w:tc>
        <w:tc>
          <w:tcPr>
            <w:tcW w:type="dxa" w:w="69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Claude (Anthropic) — bundled keys OR BYOK</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Build Duration</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 weeks to MVP, 14 weeks to production-ready</w:t>
            </w:r>
          </w:p>
        </w:tc>
      </w:tr>
      <w:tr>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Key Services</w:t>
            </w:r>
          </w:p>
        </w:tc>
        <w:tc>
          <w:tcPr>
            <w:tcW w:type="dxa" w:w="69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Supabase · E2B · Anthropic API · RevenueCat · Railway / Fly.io</w:t>
            </w:r>
          </w:p>
        </w:tc>
      </w:tr>
    </w:tbl>
    <w:p>
      <w:pPr>
        <w:spacing w:after="0" w:before="0"/>
      </w:pPr>
      <w:r>
        <w:rPr>
          <w:sz w:val="20"/>
          <w:szCs w:val="20"/>
        </w:rPr>
        <w:t xml:space="preserve"/>
      </w:r>
    </w:p>
    <w:p>
      <w:pPr>
        <w:spacing w:after="0" w:before="0"/>
      </w:pPr>
      <w:r>
        <w:rPr>
          <w:sz w:val="20"/>
          <w:szCs w:val="20"/>
        </w:rPr>
        <w:t xml:space="preserve"/>
      </w:r>
    </w:p>
    <w:p>
      <w:r>
        <w:br w:type="page"/>
      </w:r>
    </w:p>
    <w:p>
      <w:pPr>
        <w:pStyle w:val="Heading1"/>
        <w:spacing w:after="160" w:before="360"/>
      </w:pPr>
      <w:r>
        <w:rPr>
          <w:rFonts w:ascii="Arial" w:cs="Arial" w:eastAsia="Arial" w:hAnsi="Arial"/>
          <w:b/>
          <w:bCs/>
          <w:color w:val="1E1B4B"/>
          <w:sz w:val="36"/>
          <w:szCs w:val="36"/>
        </w:rPr>
        <w:t xml:space="preserve">1.  System Architecture Overview</w:t>
      </w:r>
    </w:p>
    <w:p>
      <w:pPr>
        <w:spacing w:after="80" w:before="60" w:line="320"/>
      </w:pPr>
      <w:r>
        <w:rPr>
          <w:rFonts w:ascii="Arial" w:cs="Arial" w:eastAsia="Arial" w:hAnsi="Arial"/>
          <w:color w:val="1A1A2E"/>
          <w:sz w:val="20"/>
          <w:szCs w:val="20"/>
        </w:rPr>
        <w:t xml:space="preserve">The entire system follows a thin-client architecture. All the heavy lifting—LLM calls, agent execution, file management, web browsing—happens on the server. Every platform (Android, iOS, Web) is simply a UI that communicates with the same backend over HTTPS and Server-Sent Events (SSE).</w:t>
      </w:r>
    </w:p>
    <w:p>
      <w:pPr>
        <w:spacing w:after="0" w:before="0"/>
      </w:pPr>
      <w:r>
        <w:rPr>
          <w:sz w:val="20"/>
          <w:szCs w:val="20"/>
        </w:rPr>
        <w:t xml:space="preserve"/>
      </w:r>
    </w:p>
    <w:p>
      <w:pPr>
        <w:pStyle w:val="Heading2"/>
        <w:pBdr>
          <w:bottom w:val="single" w:color="4F46E5" w:sz="4" w:space="4"/>
        </w:pBdr>
        <w:spacing w:after="120" w:before="280"/>
      </w:pPr>
      <w:r>
        <w:rPr>
          <w:rFonts w:ascii="Arial" w:cs="Arial" w:eastAsia="Arial" w:hAnsi="Arial"/>
          <w:b/>
          <w:bCs/>
          <w:color w:val="4F46E5"/>
          <w:sz w:val="28"/>
          <w:szCs w:val="28"/>
        </w:rPr>
        <w:t xml:space="preserve">1.1  High-Level Architecture Diagram</w:t>
      </w:r>
    </w:p>
    <w:p>
      <w:pPr>
        <w:spacing w:after="80" w:before="60" w:line="320"/>
      </w:pPr>
      <w:r>
        <w:rPr>
          <w:rFonts w:ascii="Arial" w:cs="Arial" w:eastAsia="Arial" w:hAnsi="Arial"/>
          <w:color w:val="1A1A2E"/>
          <w:sz w:val="20"/>
          <w:szCs w:val="20"/>
        </w:rPr>
        <w:t xml:space="preserve">Below is the layered view of all components and how they relate to each other.</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single" w:color="4F46E5" w:sz="1"/>
              <w:bottom w:val="single" w:color="4F46E5" w:sz="1"/>
              <w:right w:val="single" w:color="4F46E5" w:sz="1"/>
            </w:tcBorders>
            <w:shd w:fill="4F46E5"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CLIENTS  (Thin UI Layer)</w:t>
            </w:r>
          </w:p>
        </w:tc>
      </w:tr>
      <w:tr>
        <w:tc>
          <w:tcPr>
            <w:tcBorders>
              <w:top w:val="single" w:color="C7D2FE" w:sz="1"/>
              <w:left w:val="single" w:color="C7D2FE" w:sz="1"/>
              <w:bottom w:val="single" w:color="C7D2FE" w:sz="1"/>
              <w:right w:val="single" w:color="C7D2FE" w:sz="1"/>
            </w:tcBorders>
            <w:shd w:fill="EEF2FF" w:val="clear"/>
            <w:tcMar>
              <w:top w:type="dxa" w:w="80"/>
              <w:left w:type="dxa" w:w="200"/>
              <w:bottom w:type="dxa" w:w="80"/>
              <w:right w:type="dxa" w:w="200"/>
            </w:tcMar>
          </w:tcPr>
          <w:p>
            <w:pPr>
              <w:jc w:val="center"/>
            </w:pPr>
            <w:r>
              <w:rPr>
                <w:rFonts w:ascii="Arial" w:cs="Arial" w:eastAsia="Arial" w:hAnsi="Arial"/>
                <w:color w:val="4F46E5"/>
                <w:sz w:val="20"/>
                <w:szCs w:val="20"/>
              </w:rPr>
              <w:t xml:space="preserve">Android App (KMP)     |     iOS App (KMP)     |     Web Dashboard (Next.js)</w:t>
            </w:r>
          </w:p>
        </w:tc>
      </w:tr>
      <w:tr>
        <w:tc>
          <w:tcPr>
            <w:tcBorders>
              <w:top w:val="single" w:color="64748B" w:sz="1"/>
              <w:left w:val="single" w:color="64748B" w:sz="1"/>
              <w:bottom w:val="single" w:color="64748B" w:sz="1"/>
              <w:right w:val="single" w:color="64748B" w:sz="1"/>
            </w:tcBorders>
            <w:shd w:fill="F8FAFC" w:val="clear"/>
            <w:tcMar>
              <w:top w:type="dxa" w:w="60"/>
              <w:left w:type="dxa" w:w="200"/>
              <w:bottom w:type="dxa" w:w="60"/>
              <w:right w:type="dxa" w:w="200"/>
            </w:tcMar>
          </w:tcPr>
          <w:p>
            <w:pPr>
              <w:jc w:val="center"/>
            </w:pPr>
            <w:r>
              <w:rPr>
                <w:rFonts w:ascii="Arial" w:cs="Arial" w:eastAsia="Arial" w:hAnsi="Arial"/>
                <w:i/>
                <w:iCs/>
                <w:color w:val="64748B"/>
                <w:sz w:val="19"/>
                <w:szCs w:val="19"/>
              </w:rPr>
              <w:t xml:space="preserve">↕  HTTPS REST  +  SSE Streaming  ↕</w:t>
            </w:r>
          </w:p>
        </w:tc>
      </w:tr>
      <w:tr>
        <w:tc>
          <w:tcPr>
            <w:tcBorders>
              <w:top w:val="single" w:color="06B6D4" w:sz="1"/>
              <w:left w:val="single" w:color="06B6D4" w:sz="1"/>
              <w:bottom w:val="single" w:color="06B6D4" w:sz="1"/>
              <w:right w:val="single" w:color="06B6D4" w:sz="1"/>
            </w:tcBorders>
            <w:shd w:fill="0E749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API GATEWAY  (FastAPI / Railway)</w:t>
            </w:r>
          </w:p>
        </w:tc>
      </w:tr>
      <w:tr>
        <w:tc>
          <w:tcPr>
            <w:tcBorders>
              <w:top w:val="single" w:color="C7D2FE" w:sz="1"/>
              <w:left w:val="single" w:color="C7D2FE" w:sz="1"/>
              <w:bottom w:val="single" w:color="C7D2FE" w:sz="1"/>
              <w:right w:val="single" w:color="C7D2FE" w:sz="1"/>
            </w:tcBorders>
            <w:shd w:fill="F0FDFA" w:val="clear"/>
            <w:tcMar>
              <w:top w:type="dxa" w:w="80"/>
              <w:left w:type="dxa" w:w="200"/>
              <w:bottom w:type="dxa" w:w="80"/>
              <w:right w:type="dxa" w:w="200"/>
            </w:tcMar>
          </w:tcPr>
          <w:p>
            <w:pPr>
              <w:jc w:val="center"/>
            </w:pPr>
            <w:r>
              <w:rPr>
                <w:rFonts w:ascii="Arial" w:cs="Arial" w:eastAsia="Arial" w:hAnsi="Arial"/>
                <w:color w:val="0E7490"/>
                <w:sz w:val="19"/>
                <w:szCs w:val="19"/>
              </w:rPr>
              <w:t xml:space="preserve">Auth (Supabase)  |  Credits/Billing (RevenueCat+Stripe)  |  Usage Metering  |  Key Vault</w:t>
            </w:r>
          </w:p>
        </w:tc>
      </w:tr>
      <w:tr>
        <w:tc>
          <w:tcPr>
            <w:tcBorders>
              <w:top w:val="single" w:color="64748B" w:sz="1"/>
              <w:left w:val="single" w:color="64748B" w:sz="1"/>
              <w:bottom w:val="single" w:color="64748B" w:sz="1"/>
              <w:right w:val="single" w:color="64748B" w:sz="1"/>
            </w:tcBorders>
            <w:shd w:fill="F8FAFC" w:val="clear"/>
            <w:tcMar>
              <w:top w:type="dxa" w:w="60"/>
              <w:left w:type="dxa" w:w="200"/>
              <w:bottom w:type="dxa" w:w="60"/>
              <w:right w:type="dxa" w:w="200"/>
            </w:tcMar>
          </w:tcPr>
          <w:p>
            <w:pPr>
              <w:jc w:val="center"/>
            </w:pPr>
            <w:r>
              <w:rPr>
                <w:rFonts w:ascii="Arial" w:cs="Arial" w:eastAsia="Arial" w:hAnsi="Arial"/>
                <w:i/>
                <w:iCs/>
                <w:color w:val="64748B"/>
                <w:sz w:val="19"/>
                <w:szCs w:val="19"/>
              </w:rPr>
              <w:t xml:space="preserve">↕  WebSocket / REST  ↕</w:t>
            </w:r>
          </w:p>
        </w:tc>
      </w:tr>
      <w:tr>
        <w:tc>
          <w:tcPr>
            <w:tcBorders>
              <w:top w:val="single" w:color="065F46" w:sz="1"/>
              <w:left w:val="single" w:color="065F46" w:sz="1"/>
              <w:bottom w:val="single" w:color="065F46" w:sz="1"/>
              <w:right w:val="single" w:color="065F46" w:sz="1"/>
            </w:tcBorders>
            <w:shd w:fill="064E3B"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AGENT LAYER  (OpenClaw per user)</w:t>
            </w:r>
          </w:p>
        </w:tc>
      </w:tr>
      <w:tr>
        <w:tc>
          <w:tcPr>
            <w:tcBorders>
              <w:top w:val="single" w:color="A7F3D0" w:sz="1"/>
              <w:left w:val="single" w:color="A7F3D0" w:sz="1"/>
              <w:bottom w:val="single" w:color="A7F3D0" w:sz="1"/>
              <w:right w:val="single" w:color="A7F3D0" w:sz="1"/>
            </w:tcBorders>
            <w:shd w:fill="ECFDF5" w:val="clear"/>
            <w:tcMar>
              <w:top w:type="dxa" w:w="80"/>
              <w:left w:type="dxa" w:w="200"/>
              <w:bottom w:type="dxa" w:w="80"/>
              <w:right w:type="dxa" w:w="200"/>
            </w:tcMar>
          </w:tcPr>
          <w:p>
            <w:pPr>
              <w:jc w:val="center"/>
            </w:pPr>
            <w:r>
              <w:rPr>
                <w:rFonts w:ascii="Arial" w:cs="Arial" w:eastAsia="Arial" w:hAnsi="Arial"/>
                <w:color w:val="065F46"/>
                <w:sz w:val="19"/>
                <w:szCs w:val="19"/>
              </w:rPr>
              <w:t xml:space="preserve">OpenClaw Gateway  |  ReAct Brain  |  Tool Dispatcher  |  Memory (Markdown)</w:t>
            </w:r>
          </w:p>
        </w:tc>
      </w:tr>
      <w:tr>
        <w:tc>
          <w:tcPr>
            <w:tcBorders>
              <w:top w:val="single" w:color="64748B" w:sz="1"/>
              <w:left w:val="single" w:color="64748B" w:sz="1"/>
              <w:bottom w:val="single" w:color="64748B" w:sz="1"/>
              <w:right w:val="single" w:color="64748B" w:sz="1"/>
            </w:tcBorders>
            <w:shd w:fill="F8FAFC" w:val="clear"/>
            <w:tcMar>
              <w:top w:type="dxa" w:w="60"/>
              <w:left w:type="dxa" w:w="200"/>
              <w:bottom w:type="dxa" w:w="60"/>
              <w:right w:type="dxa" w:w="200"/>
            </w:tcMar>
          </w:tcPr>
          <w:p>
            <w:pPr>
              <w:jc w:val="center"/>
            </w:pPr>
            <w:r>
              <w:rPr>
                <w:rFonts w:ascii="Arial" w:cs="Arial" w:eastAsia="Arial" w:hAnsi="Arial"/>
                <w:i/>
                <w:iCs/>
                <w:color w:val="64748B"/>
                <w:sz w:val="19"/>
                <w:szCs w:val="19"/>
              </w:rPr>
              <w:t xml:space="preserve">↕  Firecracker microVM (E2B sandbox per user)  ↕</w:t>
            </w:r>
          </w:p>
        </w:tc>
      </w:tr>
      <w:tr>
        <w:tc>
          <w:tcPr>
            <w:tcBorders>
              <w:top w:val="single" w:color="92400E" w:sz="1"/>
              <w:left w:val="single" w:color="92400E" w:sz="1"/>
              <w:bottom w:val="single" w:color="92400E" w:sz="1"/>
              <w:right w:val="single" w:color="92400E" w:sz="1"/>
            </w:tcBorders>
            <w:shd w:fill="78350F"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TOOL EXECUTION LAYER</w:t>
            </w:r>
          </w:p>
        </w:tc>
      </w:tr>
      <w:tr>
        <w:tc>
          <w:tcPr>
            <w:tcBorders>
              <w:top w:val="single" w:color="FCD34D" w:sz="1"/>
              <w:left w:val="single" w:color="FCD34D" w:sz="1"/>
              <w:bottom w:val="single" w:color="FCD34D" w:sz="1"/>
              <w:right w:val="single" w:color="FCD34D" w:sz="1"/>
            </w:tcBorders>
            <w:shd w:fill="FFFBEB" w:val="clear"/>
            <w:tcMar>
              <w:top w:type="dxa" w:w="80"/>
              <w:left w:type="dxa" w:w="200"/>
              <w:bottom w:type="dxa" w:w="80"/>
              <w:right w:type="dxa" w:w="200"/>
            </w:tcMar>
          </w:tcPr>
          <w:p>
            <w:pPr>
              <w:jc w:val="center"/>
            </w:pPr>
            <w:r>
              <w:rPr>
                <w:rFonts w:ascii="Arial" w:cs="Arial" w:eastAsia="Arial" w:hAnsi="Arial"/>
                <w:color w:val="92400E"/>
                <w:sz w:val="19"/>
                <w:szCs w:val="19"/>
              </w:rPr>
              <w:t xml:space="preserve">Code Execution (Python/Node/Bash)  |  Browser Automation (CDP)  |  File System  |  HTTP/API calls</w:t>
            </w:r>
          </w:p>
        </w:tc>
      </w:tr>
      <w:tr>
        <w:tc>
          <w:tcPr>
            <w:tcBorders>
              <w:top w:val="single" w:color="64748B" w:sz="1"/>
              <w:left w:val="single" w:color="64748B" w:sz="1"/>
              <w:bottom w:val="single" w:color="64748B" w:sz="1"/>
              <w:right w:val="single" w:color="64748B" w:sz="1"/>
            </w:tcBorders>
            <w:shd w:fill="F8FAFC" w:val="clear"/>
            <w:tcMar>
              <w:top w:type="dxa" w:w="60"/>
              <w:left w:type="dxa" w:w="200"/>
              <w:bottom w:type="dxa" w:w="60"/>
              <w:right w:type="dxa" w:w="200"/>
            </w:tcMar>
          </w:tcPr>
          <w:p>
            <w:pPr>
              <w:jc w:val="center"/>
            </w:pPr>
            <w:r>
              <w:rPr>
                <w:rFonts w:ascii="Arial" w:cs="Arial" w:eastAsia="Arial" w:hAnsi="Arial"/>
                <w:i/>
                <w:iCs/>
                <w:color w:val="64748B"/>
                <w:sz w:val="19"/>
                <w:szCs w:val="19"/>
              </w:rPr>
              <w:t xml:space="preserve">↕  LLM API Calls  ↕</w:t>
            </w:r>
          </w:p>
        </w:tc>
      </w:tr>
      <w:tr>
        <w:tc>
          <w:tcPr>
            <w:tcBorders>
              <w:top w:val="single" w:color="7C3AED" w:sz="1"/>
              <w:left w:val="single" w:color="7C3AED" w:sz="1"/>
              <w:bottom w:val="single" w:color="7C3AED" w:sz="1"/>
              <w:right w:val="single" w:color="7C3AED" w:sz="1"/>
            </w:tcBorders>
            <w:shd w:fill="4C1D95"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AI MODELS  (Bundled Keys OR BYOK)</w:t>
            </w:r>
          </w:p>
        </w:tc>
      </w:tr>
      <w:tr>
        <w:tc>
          <w:tcPr>
            <w:tcBorders>
              <w:top w:val="single" w:color="C4B5FD" w:sz="1"/>
              <w:left w:val="single" w:color="C4B5FD" w:sz="1"/>
              <w:bottom w:val="single" w:color="C4B5FD" w:sz="1"/>
              <w:right w:val="single" w:color="C4B5FD" w:sz="1"/>
            </w:tcBorders>
            <w:shd w:fill="F5F3FF" w:val="clear"/>
            <w:tcMar>
              <w:top w:type="dxa" w:w="80"/>
              <w:left w:type="dxa" w:w="200"/>
              <w:bottom w:type="dxa" w:w="80"/>
              <w:right w:type="dxa" w:w="200"/>
            </w:tcMar>
          </w:tcPr>
          <w:p>
            <w:pPr>
              <w:jc w:val="center"/>
            </w:pPr>
            <w:r>
              <w:rPr>
                <w:rFonts w:ascii="Arial" w:cs="Arial" w:eastAsia="Arial" w:hAnsi="Arial"/>
                <w:color w:val="5B21B6"/>
                <w:sz w:val="19"/>
                <w:szCs w:val="19"/>
              </w:rPr>
              <w:t xml:space="preserve">Claude Haiku (fast/cheap)  |  Claude Sonnet (smart)  |  Claude Opus (heavy tasks)  |  User's own key (BYOK)</w:t>
            </w:r>
          </w:p>
        </w:tc>
      </w:tr>
      <w:tr>
        <w:tc>
          <w:tcPr>
            <w:tcBorders>
              <w:top w:val="single" w:color="64748B" w:sz="1"/>
              <w:left w:val="single" w:color="64748B" w:sz="1"/>
              <w:bottom w:val="single" w:color="64748B" w:sz="1"/>
              <w:right w:val="single" w:color="64748B" w:sz="1"/>
            </w:tcBorders>
            <w:shd w:fill="F8FAFC" w:val="clear"/>
            <w:tcMar>
              <w:top w:type="dxa" w:w="60"/>
              <w:left w:type="dxa" w:w="200"/>
              <w:bottom w:type="dxa" w:w="60"/>
              <w:right w:type="dxa" w:w="200"/>
            </w:tcMar>
          </w:tcPr>
          <w:p>
            <w:pPr>
              <w:jc w:val="center"/>
            </w:pPr>
            <w:r>
              <w:rPr>
                <w:rFonts w:ascii="Arial" w:cs="Arial" w:eastAsia="Arial" w:hAnsi="Arial"/>
                <w:i/>
                <w:iCs/>
                <w:color w:val="64748B"/>
                <w:sz w:val="19"/>
                <w:szCs w:val="19"/>
              </w:rPr>
              <w:t xml:space="preserve">↕  Read/Write  ↕</w:t>
            </w:r>
          </w:p>
        </w:tc>
      </w:tr>
      <w:tr>
        <w:tc>
          <w:tcPr>
            <w:tcBorders>
              <w:top w:val="single" w:color="1D4ED8" w:sz="1"/>
              <w:left w:val="single" w:color="1D4ED8" w:sz="1"/>
              <w:bottom w:val="single" w:color="1D4ED8" w:sz="1"/>
              <w:right w:val="single" w:color="1D4ED8" w:sz="1"/>
            </w:tcBorders>
            <w:shd w:fill="1E3A5F"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DATA LAYER  (Supabase PostgreSQL + Storage)</w:t>
            </w:r>
          </w:p>
        </w:tc>
      </w:tr>
      <w:tr>
        <w:tc>
          <w:tcPr>
            <w:tcBorders>
              <w:top w:val="single" w:color="BFDBFE" w:sz="1"/>
              <w:left w:val="single" w:color="BFDBFE" w:sz="1"/>
              <w:bottom w:val="single" w:color="BFDBFE" w:sz="1"/>
              <w:right w:val="single" w:color="BFDBFE" w:sz="1"/>
            </w:tcBorders>
            <w:shd w:fill="EFF6FF" w:val="clear"/>
            <w:tcMar>
              <w:top w:type="dxa" w:w="80"/>
              <w:left w:type="dxa" w:w="200"/>
              <w:bottom w:type="dxa" w:w="80"/>
              <w:right w:type="dxa" w:w="200"/>
            </w:tcMar>
          </w:tcPr>
          <w:p>
            <w:pPr>
              <w:jc w:val="center"/>
            </w:pPr>
            <w:r>
              <w:rPr>
                <w:rFonts w:ascii="Arial" w:cs="Arial" w:eastAsia="Arial" w:hAnsi="Arial"/>
                <w:color w:val="1D4ED8"/>
                <w:sz w:val="19"/>
                <w:szCs w:val="19"/>
              </w:rPr>
              <w:t xml:space="preserve">Users  |  Conversations  |  Messages  |  Credits  |  Agent Memory  |  Uploaded Files</w:t>
            </w:r>
          </w:p>
        </w:tc>
      </w:tr>
    </w:tbl>
    <w:p>
      <w:pPr>
        <w:spacing w:after="0" w:before="0"/>
      </w:pPr>
      <w:r>
        <w:rPr>
          <w:sz w:val="20"/>
          <w:szCs w:val="20"/>
        </w:rPr>
        <w:t xml:space="preserve"/>
      </w:r>
    </w:p>
    <w:p>
      <w:pPr>
        <w:pStyle w:val="Heading2"/>
        <w:pBdr>
          <w:bottom w:val="single" w:color="4F46E5" w:sz="4" w:space="4"/>
        </w:pBdr>
        <w:spacing w:after="120" w:before="280"/>
      </w:pPr>
      <w:r>
        <w:rPr>
          <w:rFonts w:ascii="Arial" w:cs="Arial" w:eastAsia="Arial" w:hAnsi="Arial"/>
          <w:b/>
          <w:bCs/>
          <w:color w:val="4F46E5"/>
          <w:sz w:val="28"/>
          <w:szCs w:val="28"/>
        </w:rPr>
        <w:t xml:space="preserve">1.2  Component Connection Map</w:t>
      </w:r>
    </w:p>
    <w:p>
      <w:pPr>
        <w:spacing w:after="80" w:before="60" w:line="320"/>
      </w:pPr>
      <w:r>
        <w:rPr>
          <w:rFonts w:ascii="Arial" w:cs="Arial" w:eastAsia="Arial" w:hAnsi="Arial"/>
          <w:color w:val="1A1A2E"/>
          <w:sz w:val="20"/>
          <w:szCs w:val="20"/>
        </w:rPr>
        <w:t xml:space="preserve">Every connection in the system, what protocol it uses, and what data flows through it: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Android / iOS App (KMP)</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API Gateway</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POST — user message + auth JWT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Android / iOS App (KMP)</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SSE stream — agent response tokens, tool events, file URLs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Web Dashboard (Next.js)</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API Gateway</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REST + WebSocket — same endpoints as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Auth</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JWT verify — validate every request, user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DB</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PostgreSQL — read credits, write messages, update usage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Key Vault (Supabase Vault)</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Read encrypted API key — bundled OR user's BYOK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E2B Sandbox Manager</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REST — create/resume/pause sandbox per user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E2B Sandbox</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OpenClaw Gateway</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WebSocket 18789 — message routing into agent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OpenClaw Brain (ReAct)</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Anthropic API</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 LLM call with tool schemas, streaming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OpenClaw Tool Dispatcher</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Code Runner (E2B)</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In-process — Python/Node/Bash execution in microVM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OpenClaw Tool Dispatcher</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Browser (Chromium CDP)</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WebSocket — headless browser automation in microVM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OpenClaw Tool Dispatcher</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File System (microVM)</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POSIX I/O — read/write files in isolated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OpenClaw Memory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Storage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 persist/load Markdown memory files per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RevenueCat SDK</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App Stores / Stripe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Native — subscription purchase, webhook → API Gateway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RevenueCat API</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 verify subscription, grant/deduct credits</w:t>
            </w:r>
          </w:p>
        </w:tc>
      </w:tr>
    </w:tbl>
    <w:p>
      <w:pPr>
        <w:spacing w:after="0" w:before="0"/>
      </w:pPr>
      <w:r>
        <w:rPr>
          <w:sz w:val="20"/>
          <w:szCs w:val="20"/>
        </w:rPr>
        <w:t xml:space="preserve"/>
      </w:r>
    </w:p>
    <w:p>
      <w:pPr>
        <w:pStyle w:val="Heading2"/>
        <w:pBdr>
          <w:bottom w:val="single" w:color="4F46E5" w:sz="4" w:space="4"/>
        </w:pBdr>
        <w:spacing w:after="120" w:before="280"/>
      </w:pPr>
      <w:r>
        <w:rPr>
          <w:rFonts w:ascii="Arial" w:cs="Arial" w:eastAsia="Arial" w:hAnsi="Arial"/>
          <w:b/>
          <w:bCs/>
          <w:color w:val="4F46E5"/>
          <w:sz w:val="28"/>
          <w:szCs w:val="28"/>
        </w:rPr>
        <w:t xml:space="preserve">1.3  Key Design Decisions</w:t>
      </w:r>
    </w:p>
    <w:p>
      <w:pPr>
        <w:pStyle w:val="Heading3"/>
        <w:spacing w:after="80" w:before="200"/>
      </w:pPr>
      <w:r>
        <w:rPr>
          <w:rFonts w:ascii="Arial" w:cs="Arial" w:eastAsia="Arial" w:hAnsi="Arial"/>
          <w:b/>
          <w:bCs/>
          <w:color w:val="1A1A2E"/>
          <w:sz w:val="24"/>
          <w:szCs w:val="24"/>
        </w:rPr>
        <w:t xml:space="preserve">Why Kotlin Multiplatform (KMP)?</w:t>
      </w:r>
    </w:p>
    <w:p>
      <w:pPr>
        <w:spacing w:after="80" w:before="60" w:line="320"/>
      </w:pPr>
      <w:r>
        <w:rPr>
          <w:rFonts w:ascii="Arial" w:cs="Arial" w:eastAsia="Arial" w:hAnsi="Arial"/>
          <w:color w:val="1A1A2E"/>
          <w:sz w:val="20"/>
          <w:szCs w:val="20"/>
        </w:rPr>
        <w:t xml:space="preserve">KMP lets you share all business logic—API calls, data models, auth, credit management, agent message parsing, streaming—between Android and iOS in a single Kotlin codebase. Only the UI layer is platform-specific (Jetpack Compose for Android, SwiftUI for iOS). This means 60-70% code reuse with native performance on both platforms, no React Native bridge overhead, and full access to platform APIs.</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Why SSE over WebSockets for streaming?</w:t>
      </w:r>
    </w:p>
    <w:p>
      <w:pPr>
        <w:spacing w:after="80" w:before="60" w:line="320"/>
      </w:pPr>
      <w:r>
        <w:rPr>
          <w:rFonts w:ascii="Arial" w:cs="Arial" w:eastAsia="Arial" w:hAnsi="Arial"/>
          <w:color w:val="1A1A2E"/>
          <w:sz w:val="20"/>
          <w:szCs w:val="20"/>
        </w:rPr>
        <w:t xml:space="preserve">Server-Sent Events (SSE) are unidirectional (server → client), which is exactly what AI token streaming needs. SSE works through all CDNs, proxies, and load balancers without configuration. It uses standard HTTP/2 multiplexing. WebSockets add bidirectional complexity that is unnecessary here—the user sends one message (a single HTTP POST), then listens for the stream. Both iOS URLSession and Android OkHttp have native SSE support.</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Why OpenClaw as the agent engine?</w:t>
      </w:r>
    </w:p>
    <w:p>
      <w:pPr>
        <w:spacing w:after="80" w:before="60" w:line="320"/>
      </w:pPr>
      <w:r>
        <w:rPr>
          <w:rFonts w:ascii="Arial" w:cs="Arial" w:eastAsia="Arial" w:hAnsi="Arial"/>
          <w:color w:val="1A1A2E"/>
          <w:sz w:val="20"/>
          <w:szCs w:val="20"/>
        </w:rPr>
        <w:t xml:space="preserve">OpenClaw (MIT license) already solves the hardest problems: the ReAct agent loop, 13,700+ community skills, multi-agent spawning, browser automation, code execution, memory management, and 20+ channel integrations. Building this from scratch would take 6+ months. Wrapping OpenClaw takes 2 weeks. The project is active (277k GitHub stars as of March 2026) with a large community.</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BYOK vs. Bundled Keys</w:t>
      </w:r>
    </w:p>
    <w:p>
      <w:pPr>
        <w:spacing w:after="80" w:before="60" w:line="320"/>
      </w:pPr>
      <w:r>
        <w:rPr>
          <w:rFonts w:ascii="Arial" w:cs="Arial" w:eastAsia="Arial" w:hAnsi="Arial"/>
          <w:color w:val="1A1A2E"/>
          <w:sz w:val="20"/>
          <w:szCs w:val="20"/>
        </w:rPr>
        <w:t xml:space="preserve">Both modes are supported simultaneously. In "No API Key" mode, users pay credits and the backend uses server-side Anthropic keys with intelligent model routing (80% Haiku, 18% Sonnet, 2% Opus) to stay profitable. In BYOK mode, users paste their own API key (Anthropic, OpenAI, Gemini, etc.) into the app—it is encrypted with AES-256 and stored in Supabase Vault, never logged, and used directly for their sessions. BYOK users get unlimited usage and pay a flat subscription for the infrastructure.</w:t>
      </w:r>
    </w:p>
    <w:p>
      <w:pPr>
        <w:spacing w:after="0" w:before="0"/>
      </w:pPr>
      <w:r>
        <w:rPr>
          <w:sz w:val="20"/>
          <w:szCs w:val="20"/>
        </w:rPr>
        <w:t xml:space="preserve"/>
      </w:r>
    </w:p>
    <w:p>
      <w:pPr>
        <w:spacing w:after="0" w:before="0"/>
      </w:pPr>
      <w:r>
        <w:rPr>
          <w:sz w:val="20"/>
          <w:szCs w:val="20"/>
        </w:rPr>
        <w:t xml:space="preserve"/>
      </w:r>
    </w:p>
    <w:p>
      <w:r>
        <w:br w:type="page"/>
      </w:r>
    </w:p>
    <w:p>
      <w:pPr>
        <w:pStyle w:val="Heading1"/>
        <w:spacing w:after="160" w:before="360"/>
      </w:pPr>
      <w:r>
        <w:rPr>
          <w:rFonts w:ascii="Arial" w:cs="Arial" w:eastAsia="Arial" w:hAnsi="Arial"/>
          <w:b/>
          <w:bCs/>
          <w:color w:val="1E1B4B"/>
          <w:sz w:val="36"/>
          <w:szCs w:val="36"/>
        </w:rPr>
        <w:t xml:space="preserve">2.  Phase-by-Phase Build Plan</w:t>
      </w:r>
    </w:p>
    <w:p>
      <w:pPr>
        <w:spacing w:after="80" w:before="60" w:line="320"/>
      </w:pPr>
      <w:r>
        <w:rPr>
          <w:rFonts w:ascii="Arial" w:cs="Arial" w:eastAsia="Arial" w:hAnsi="Arial"/>
          <w:color w:val="1A1A2E"/>
          <w:sz w:val="20"/>
          <w:szCs w:val="20"/>
        </w:rPr>
        <w:t xml:space="preserve">10 phases across approximately 14 weeks. Each phase has clear deliverables, component connections established, and goes/no-go criteria before moving forward.</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560"/>
      </w:tblGrid>
      <w:tr>
        <w:trPr>
          <w:tblHeader/>
        </w:trPr>
        <w:tc>
          <w:tcPr>
            <w:tcW w:type="dxa" w:w="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45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Key Deliverable</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P1</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Backend Foundation</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 1–2</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Auth, DB schema, API skeleton running on Railway</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P2</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Core LLM + Streaming</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Week 2–3</w:t>
            </w:r>
          </w:p>
        </w:tc>
        <w:tc>
          <w:tcPr>
            <w:tcW w:type="dxa" w:w="4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Claude API calls streaming over SSE from backend</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P3</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KMP Mobile Clients</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 3–5</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Android + iOS apps chatting with backend</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P4</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OpenClaw Agent Integration</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Week 5–6</w:t>
            </w:r>
          </w:p>
        </w:tc>
        <w:tc>
          <w:tcPr>
            <w:tcW w:type="dxa" w:w="4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Full OpenClaw agent in E2B sandbox per user</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P5</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Tool Execution Layer</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 6–7</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Code run, web browse, file I/O inside agent</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P6</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Web Dashboard</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Week 7–8</w:t>
            </w:r>
          </w:p>
        </w:tc>
        <w:tc>
          <w:tcPr>
            <w:tcW w:type="dxa" w:w="4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Next.js web app with full feature parity</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P7</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BYOK + Key Vault</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 8–9</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Encrypted BYOK flow, model selection per user</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P8</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Billing &amp; Credits</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Week 9–10</w:t>
            </w:r>
          </w:p>
        </w:tc>
        <w:tc>
          <w:tcPr>
            <w:tcW w:type="dxa" w:w="4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RevenueCat + Stripe, credit gates, subscriptions</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P9</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Memory &amp; Persistence</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 10–11</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Cross-session agent memory, file storage, history</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P10</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Polish, Testing &amp; Launch</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Week 12–14</w:t>
            </w:r>
          </w:p>
        </w:tc>
        <w:tc>
          <w:tcPr>
            <w:tcW w:type="dxa" w:w="4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App Store + Play Store + web production launch</w:t>
            </w:r>
          </w:p>
        </w:tc>
      </w:tr>
    </w:tbl>
    <w:p>
      <w:pPr>
        <w:spacing w:after="0" w:before="0"/>
      </w:pPr>
      <w:r>
        <w:rPr>
          <w:sz w:val="20"/>
          <w:szCs w:val="20"/>
        </w:rPr>
        <w:t xml:space="preserve"/>
      </w:r>
    </w:p>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600"/>
        <w:gridCol w:w="1200"/>
      </w:tblGrid>
      <w:tr>
        <w:tc>
          <w:tcPr>
            <w:tcW w:type="dxa" w:w="80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P1</w:t>
            </w:r>
          </w:p>
        </w:tc>
        <w:tc>
          <w:tcPr>
            <w:tcW w:type="dxa" w:w="5760"/>
            <w:tcBorders>
              <w:top w:val="none" w:color="FFFFFF" w:sz="0"/>
              <w:left w:val="none" w:color="FFFFFF" w:sz="0"/>
              <w:bottom w:val="none" w:color="FFFFFF" w:sz="0"/>
              <w:right w:val="none" w:color="FFFFFF" w:sz="0"/>
            </w:tcBorders>
            <w:shd w:fill="1E1B4B" w:val="clear"/>
            <w:tcMar>
              <w:top w:type="dxa" w:w="120"/>
              <w:left w:type="dxa" w:w="160"/>
              <w:bottom w:type="dxa" w:w="120"/>
              <w:right w:type="dxa" w:w="120"/>
            </w:tcMar>
          </w:tcPr>
          <w:p>
            <w:r>
              <w:rPr>
                <w:rFonts w:ascii="Arial" w:cs="Arial" w:eastAsia="Arial" w:hAnsi="Arial"/>
                <w:b/>
                <w:bCs/>
                <w:color w:val="FFFFFF"/>
                <w:sz w:val="26"/>
                <w:szCs w:val="26"/>
              </w:rPr>
              <w:t xml:space="preserve">Backend Foundation</w:t>
            </w:r>
          </w:p>
        </w:tc>
        <w:tc>
          <w:tcPr>
            <w:tcW w:type="dxa" w:w="1600"/>
            <w:tcBorders>
              <w:top w:val="none" w:color="FFFFFF" w:sz="0"/>
              <w:left w:val="none" w:color="FFFFFF" w:sz="0"/>
              <w:bottom w:val="none" w:color="FFFFFF" w:sz="0"/>
              <w:right w:val="none" w:color="FFFFFF" w:sz="0"/>
            </w:tcBorders>
            <w:shd w:fill="1A1A2E" w:val="clear"/>
            <w:tcMar>
              <w:top w:type="dxa" w:w="120"/>
              <w:left w:type="dxa" w:w="100"/>
              <w:bottom w:type="dxa" w:w="120"/>
              <w:right w:type="dxa" w:w="100"/>
            </w:tcMar>
            <w:vAlign w:val="center"/>
          </w:tcPr>
          <w:p>
            <w:pPr>
              <w:jc w:val="center"/>
            </w:pPr>
            <w:r>
              <w:rPr>
                <w:rFonts w:ascii="Arial" w:cs="Arial" w:eastAsia="Arial" w:hAnsi="Arial"/>
                <w:color w:val="C7D2FE"/>
                <w:sz w:val="18"/>
                <w:szCs w:val="18"/>
              </w:rPr>
              <w:t xml:space="preserve">Weeks 1–2</w:t>
            </w:r>
          </w:p>
        </w:tc>
        <w:tc>
          <w:tcPr>
            <w:tcW w:type="dxa" w:w="1200"/>
            <w:tcBorders>
              <w:top w:val="none" w:color="FFFFFF" w:sz="0"/>
              <w:left w:val="none" w:color="FFFFFF" w:sz="0"/>
              <w:bottom w:val="none" w:color="FFFFFF" w:sz="0"/>
              <w:right w:val="none" w:color="FFFFFF" w:sz="0"/>
            </w:tcBorders>
            <w:shd w:fill="EEF2FF" w:val="clear"/>
            <w:tcMar>
              <w:top w:type="dxa" w:w="120"/>
              <w:left w:type="dxa" w:w="100"/>
              <w:bottom w:type="dxa" w:w="120"/>
              <w:right w:type="dxa" w:w="100"/>
            </w:tcMar>
            <w:vAlign w:val="center"/>
          </w:tcPr>
          <w:p>
            <w:pPr>
              <w:jc w:val="center"/>
            </w:pPr>
            <w:r>
              <w:rPr>
                <w:rFonts w:ascii="Arial" w:cs="Arial" w:eastAsia="Arial" w:hAnsi="Arial"/>
                <w:b/>
                <w:bCs/>
                <w:color w:val="4F46E5"/>
                <w:sz w:val="17"/>
                <w:szCs w:val="17"/>
              </w:rPr>
              <w:t xml:space="preserve">Foundation</w:t>
            </w:r>
          </w:p>
        </w:tc>
      </w:tr>
    </w:tbl>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Everything else depends on this phase. We build the skeleton that all clients talk to, the database schema that stores all state, and the authentication system that secures every request.</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What gets built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Supabase project: PostgreSQL database with all tables, RLS policies, and auth configured</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FastAPI application deployed on Railway with health checks and environment config</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JWT middleware that validates every request against Supabase Auth</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Core database tables: users, conversations, messages, usage_logs, api_keys (vault), subscriptions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Basic CRUD endpoints: POST /conversations, POST /messages, GET /conversations/{id}/messages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Supabase Vault setup for encrypted API key storage (used in Phase 7)</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Railway deployment pipeline with environment variables, secrets management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Logging with Sentry (error tracking) and basic observability</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Database Schema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39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users</w:t>
            </w:r>
          </w:p>
        </w:tc>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id, email, created_at, subscription_tier, credits_balance</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Core user record, linked to Supabase Auth</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conversations</w:t>
            </w:r>
          </w:p>
        </w:tc>
        <w:tc>
          <w:tcPr>
            <w:tcW w:type="dxa" w:w="3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id, user_id, title, created_at, agent_memory_path, sandbox_id</w:t>
            </w:r>
          </w:p>
        </w:tc>
        <w:tc>
          <w:tcPr>
            <w:tcW w:type="dxa" w:w="39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Each chat session, links to user and sandbox</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messages</w:t>
            </w:r>
          </w:p>
        </w:tc>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id, conversation_id, role (user/assistant/tool), content, tokens_used, created_at</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Every message in every conversation</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usage_logs</w:t>
            </w:r>
          </w:p>
        </w:tc>
        <w:tc>
          <w:tcPr>
            <w:tcW w:type="dxa" w:w="3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id, user_id, model, input_tokens, output_tokens, cost_usd, created_at</w:t>
            </w:r>
          </w:p>
        </w:tc>
        <w:tc>
          <w:tcPr>
            <w:tcW w:type="dxa" w:w="39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Per-request cost tracking for billing</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api_keys</w:t>
            </w:r>
          </w:p>
        </w:tc>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id, user_id, provider (anthropic/openai/gemini), encrypted_key, is_active</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BYOK keys encrypted via Supabase Vault</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subscriptions</w:t>
            </w:r>
          </w:p>
        </w:tc>
        <w:tc>
          <w:tcPr>
            <w:tcW w:type="dxa" w:w="3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id, user_id, plan, status, credits_total, credits_used, period_end</w:t>
            </w:r>
          </w:p>
        </w:tc>
        <w:tc>
          <w:tcPr>
            <w:tcW w:type="dxa" w:w="39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Subscription + credit balance management</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files</w:t>
            </w:r>
          </w:p>
        </w:tc>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id, user_id, conversation_id, filename, size, storage_path, created_at</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Files created or uploaded by the agent</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Connections established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 (Railway)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Auth</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JWT validation on every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 (Railway)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DB</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Read/write all tables via supabase-py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Supabase Auth</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Email / OAuth provider</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User registration and login</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Go / No-Go Criteria</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All endpoints return correct responses with valid auth tokens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Invalid tokens receive 401 responses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Database migrations run cleanly with all RLS policies active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Railway deploy pipeline runs in under 2 minutes</w:t>
      </w:r>
    </w:p>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600"/>
        <w:gridCol w:w="1200"/>
      </w:tblGrid>
      <w:tr>
        <w:tc>
          <w:tcPr>
            <w:tcW w:type="dxa" w:w="80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P2</w:t>
            </w:r>
          </w:p>
        </w:tc>
        <w:tc>
          <w:tcPr>
            <w:tcW w:type="dxa" w:w="5760"/>
            <w:tcBorders>
              <w:top w:val="none" w:color="FFFFFF" w:sz="0"/>
              <w:left w:val="none" w:color="FFFFFF" w:sz="0"/>
              <w:bottom w:val="none" w:color="FFFFFF" w:sz="0"/>
              <w:right w:val="none" w:color="FFFFFF" w:sz="0"/>
            </w:tcBorders>
            <w:shd w:fill="1E1B4B" w:val="clear"/>
            <w:tcMar>
              <w:top w:type="dxa" w:w="120"/>
              <w:left w:type="dxa" w:w="160"/>
              <w:bottom w:type="dxa" w:w="120"/>
              <w:right w:type="dxa" w:w="120"/>
            </w:tcMar>
          </w:tcPr>
          <w:p>
            <w:r>
              <w:rPr>
                <w:rFonts w:ascii="Arial" w:cs="Arial" w:eastAsia="Arial" w:hAnsi="Arial"/>
                <w:b/>
                <w:bCs/>
                <w:color w:val="FFFFFF"/>
                <w:sz w:val="26"/>
                <w:szCs w:val="26"/>
              </w:rPr>
              <w:t xml:space="preserve">Core LLM + SSE Streaming</w:t>
            </w:r>
          </w:p>
        </w:tc>
        <w:tc>
          <w:tcPr>
            <w:tcW w:type="dxa" w:w="1600"/>
            <w:tcBorders>
              <w:top w:val="none" w:color="FFFFFF" w:sz="0"/>
              <w:left w:val="none" w:color="FFFFFF" w:sz="0"/>
              <w:bottom w:val="none" w:color="FFFFFF" w:sz="0"/>
              <w:right w:val="none" w:color="FFFFFF" w:sz="0"/>
            </w:tcBorders>
            <w:shd w:fill="1A1A2E" w:val="clear"/>
            <w:tcMar>
              <w:top w:type="dxa" w:w="120"/>
              <w:left w:type="dxa" w:w="100"/>
              <w:bottom w:type="dxa" w:w="120"/>
              <w:right w:type="dxa" w:w="100"/>
            </w:tcMar>
            <w:vAlign w:val="center"/>
          </w:tcPr>
          <w:p>
            <w:pPr>
              <w:jc w:val="center"/>
            </w:pPr>
            <w:r>
              <w:rPr>
                <w:rFonts w:ascii="Arial" w:cs="Arial" w:eastAsia="Arial" w:hAnsi="Arial"/>
                <w:color w:val="C7D2FE"/>
                <w:sz w:val="18"/>
                <w:szCs w:val="18"/>
              </w:rPr>
              <w:t xml:space="preserve">Week 2–3</w:t>
            </w:r>
          </w:p>
        </w:tc>
        <w:tc>
          <w:tcPr>
            <w:tcW w:type="dxa" w:w="1200"/>
            <w:tcBorders>
              <w:top w:val="none" w:color="FFFFFF" w:sz="0"/>
              <w:left w:val="none" w:color="FFFFFF" w:sz="0"/>
              <w:bottom w:val="none" w:color="FFFFFF" w:sz="0"/>
              <w:right w:val="none" w:color="FFFFFF" w:sz="0"/>
            </w:tcBorders>
            <w:shd w:fill="D1FAE5" w:val="clear"/>
            <w:tcMar>
              <w:top w:type="dxa" w:w="120"/>
              <w:left w:type="dxa" w:w="100"/>
              <w:bottom w:type="dxa" w:w="120"/>
              <w:right w:type="dxa" w:w="100"/>
            </w:tcMar>
            <w:vAlign w:val="center"/>
          </w:tcPr>
          <w:p>
            <w:pPr>
              <w:jc w:val="center"/>
            </w:pPr>
            <w:r>
              <w:rPr>
                <w:rFonts w:ascii="Arial" w:cs="Arial" w:eastAsia="Arial" w:hAnsi="Arial"/>
                <w:b/>
                <w:bCs/>
                <w:color w:val="065F46"/>
                <w:sz w:val="17"/>
                <w:szCs w:val="17"/>
              </w:rPr>
              <w:t xml:space="preserve">Core Agent</w:t>
            </w:r>
          </w:p>
        </w:tc>
      </w:tr>
    </w:tbl>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Wire the Anthropic Claude API to the backend and stream tokens back to clients. This phase establishes the fundamental loop: user sends text → backend calls Claude → tokens stream back in real time. No agent yet—just a smart chatbot.</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What gets built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Anthropic Python SDK integrated in FastAPI with streaming enabled</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POST /chat/stream endpoint that accepts a message and streams back SSE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SSE response format: data: {"type":"token","content":"Hello"} events with final data: [DONE]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System prompt management — baseline prompt stored in DB, injected per request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Token counting middleware: every request logs input + output tokens to usage_logs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Model router: classify query complexity → route to Haiku (simple) or Sonnet (complex)</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Conversation context assembly: fetch last N messages from DB, inject as history</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Error handling: API rate limits, context window overflow, network timeouts</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SSE Event Format (contract used by all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Token Event</w:t>
            </w:r>
          </w:p>
        </w:tc>
        <w:tc>
          <w:tcPr>
            <w:tcW w:type="dxa" w:w="7960"/>
            <w:tcBorders>
              <w:top w:val="single" w:color="4F46E5" w:sz="1"/>
              <w:left w:val="single" w:color="4F46E5" w:sz="1"/>
              <w:bottom w:val="single" w:color="4F46E5" w:sz="1"/>
              <w:right w:val="single" w:color="4F46E5" w:sz="1"/>
            </w:tcBorders>
            <w:shd w:fill="EEF2FF" w:val="clear"/>
            <w:tcMar>
              <w:top w:type="dxa" w:w="100"/>
              <w:left w:type="dxa" w:w="160"/>
              <w:bottom w:type="dxa" w:w="100"/>
              <w:right w:type="dxa" w:w="120"/>
            </w:tcMar>
          </w:tcPr>
          <w:p>
            <w:r>
              <w:rPr>
                <w:rFonts w:ascii="Arial" w:cs="Arial" w:eastAsia="Arial" w:hAnsi="Arial"/>
                <w:color w:val="1A1A2E"/>
                <w:sz w:val="20"/>
                <w:szCs w:val="20"/>
              </w:rPr>
              <w:t xml:space="preserve">data: {"type":"token","content":"Hello ","model":"claude-haiku-4-5"}</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Tool Call</w:t>
            </w:r>
          </w:p>
        </w:tc>
        <w:tc>
          <w:tcPr>
            <w:tcW w:type="dxa" w:w="7960"/>
            <w:tcBorders>
              <w:top w:val="single" w:color="4F46E5" w:sz="1"/>
              <w:left w:val="single" w:color="4F46E5" w:sz="1"/>
              <w:bottom w:val="single" w:color="4F46E5" w:sz="1"/>
              <w:right w:val="single" w:color="4F46E5" w:sz="1"/>
            </w:tcBorders>
            <w:shd w:fill="EEF2FF" w:val="clear"/>
            <w:tcMar>
              <w:top w:type="dxa" w:w="100"/>
              <w:left w:type="dxa" w:w="160"/>
              <w:bottom w:type="dxa" w:w="100"/>
              <w:right w:type="dxa" w:w="120"/>
            </w:tcMar>
          </w:tcPr>
          <w:p>
            <w:r>
              <w:rPr>
                <w:rFonts w:ascii="Arial" w:cs="Arial" w:eastAsia="Arial" w:hAnsi="Arial"/>
                <w:color w:val="1A1A2E"/>
                <w:sz w:val="20"/>
                <w:szCs w:val="20"/>
              </w:rPr>
              <w:t xml:space="preserve">data: {"type":"tool_start","tool":"code_execute","input":{"code":"print(...)"}  }</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Tool Result</w:t>
            </w:r>
          </w:p>
        </w:tc>
        <w:tc>
          <w:tcPr>
            <w:tcW w:type="dxa" w:w="7960"/>
            <w:tcBorders>
              <w:top w:val="single" w:color="4F46E5" w:sz="1"/>
              <w:left w:val="single" w:color="4F46E5" w:sz="1"/>
              <w:bottom w:val="single" w:color="4F46E5" w:sz="1"/>
              <w:right w:val="single" w:color="4F46E5" w:sz="1"/>
            </w:tcBorders>
            <w:shd w:fill="EEF2FF" w:val="clear"/>
            <w:tcMar>
              <w:top w:type="dxa" w:w="100"/>
              <w:left w:type="dxa" w:w="160"/>
              <w:bottom w:type="dxa" w:w="100"/>
              <w:right w:type="dxa" w:w="120"/>
            </w:tcMar>
          </w:tcPr>
          <w:p>
            <w:r>
              <w:rPr>
                <w:rFonts w:ascii="Arial" w:cs="Arial" w:eastAsia="Arial" w:hAnsi="Arial"/>
                <w:color w:val="1A1A2E"/>
                <w:sz w:val="20"/>
                <w:szCs w:val="20"/>
              </w:rPr>
              <w:t xml:space="preserve">data: {"type":"tool_result","tool":"code_execute","output":"Hello World"}</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File Created</w:t>
            </w:r>
          </w:p>
        </w:tc>
        <w:tc>
          <w:tcPr>
            <w:tcW w:type="dxa" w:w="7960"/>
            <w:tcBorders>
              <w:top w:val="single" w:color="4F46E5" w:sz="1"/>
              <w:left w:val="single" w:color="4F46E5" w:sz="1"/>
              <w:bottom w:val="single" w:color="4F46E5" w:sz="1"/>
              <w:right w:val="single" w:color="4F46E5" w:sz="1"/>
            </w:tcBorders>
            <w:shd w:fill="EEF2FF" w:val="clear"/>
            <w:tcMar>
              <w:top w:type="dxa" w:w="100"/>
              <w:left w:type="dxa" w:w="160"/>
              <w:bottom w:type="dxa" w:w="100"/>
              <w:right w:type="dxa" w:w="120"/>
            </w:tcMar>
          </w:tcPr>
          <w:p>
            <w:r>
              <w:rPr>
                <w:rFonts w:ascii="Arial" w:cs="Arial" w:eastAsia="Arial" w:hAnsi="Arial"/>
                <w:color w:val="1A1A2E"/>
                <w:sz w:val="20"/>
                <w:szCs w:val="20"/>
              </w:rPr>
              <w:t xml:space="preserve">data: {"type":"file","filename":"report.pdf","url":"https://storage.supabase.co/..."}</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Stream End</w:t>
            </w:r>
          </w:p>
        </w:tc>
        <w:tc>
          <w:tcPr>
            <w:tcW w:type="dxa" w:w="7960"/>
            <w:tcBorders>
              <w:top w:val="single" w:color="4F46E5" w:sz="1"/>
              <w:left w:val="single" w:color="4F46E5" w:sz="1"/>
              <w:bottom w:val="single" w:color="4F46E5" w:sz="1"/>
              <w:right w:val="single" w:color="4F46E5" w:sz="1"/>
            </w:tcBorders>
            <w:shd w:fill="EEF2FF" w:val="clear"/>
            <w:tcMar>
              <w:top w:type="dxa" w:w="100"/>
              <w:left w:type="dxa" w:w="160"/>
              <w:bottom w:type="dxa" w:w="100"/>
              <w:right w:type="dxa" w:w="120"/>
            </w:tcMar>
          </w:tcPr>
          <w:p>
            <w:r>
              <w:rPr>
                <w:rFonts w:ascii="Arial" w:cs="Arial" w:eastAsia="Arial" w:hAnsi="Arial"/>
                <w:color w:val="1A1A2E"/>
                <w:sz w:val="20"/>
                <w:szCs w:val="20"/>
              </w:rPr>
              <w:t xml:space="preserve">data: {"type":"done","total_tokens":1204,"credits_used":3}</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Model Routing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rPr>
          <w:tblHeader/>
        </w:trPr>
        <w:tc>
          <w:tcPr>
            <w:tcW w:type="dxa" w:w="2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Cost/M tokens</w:t>
            </w:r>
          </w:p>
        </w:tc>
        <w:tc>
          <w:tcPr>
            <w:tcW w:type="dxa" w:w="27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Use Case</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Query &lt; 100 tokens, no code/files</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Claude Haiku 4.5</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$1.00 input / $5.00 output</w:t>
            </w:r>
          </w:p>
        </w:tc>
        <w:tc>
          <w:tcPr>
            <w:tcW w:type="dxa" w:w="2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~80% of queries</w:t>
            </w:r>
          </w:p>
        </w:tc>
      </w:tr>
      <w:tr>
        <w:tc>
          <w:tcPr>
            <w:tcW w:type="dxa" w:w="2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Query requires analysis, writing</w:t>
            </w:r>
          </w:p>
        </w:tc>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Claude Sonnet 4.6</w:t>
            </w:r>
          </w:p>
        </w:tc>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$3.00 input / $15.00 output</w:t>
            </w:r>
          </w:p>
        </w:tc>
        <w:tc>
          <w:tcPr>
            <w:tcW w:type="dxa" w:w="27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~18% of queries</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Complex multi-step, BYOK Opus</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Claude Opus 4.6</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$15.00 input / $75.00 output</w:t>
            </w:r>
          </w:p>
        </w:tc>
        <w:tc>
          <w:tcPr>
            <w:tcW w:type="dxa" w:w="2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 power users</w:t>
            </w:r>
          </w:p>
        </w:tc>
      </w:tr>
      <w:tr>
        <w:tc>
          <w:tcPr>
            <w:tcW w:type="dxa" w:w="2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BYOK user with own key</w:t>
            </w:r>
          </w:p>
        </w:tc>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User-specified model</w:t>
            </w:r>
          </w:p>
        </w:tc>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User pays directly</w:t>
            </w:r>
          </w:p>
        </w:tc>
        <w:tc>
          <w:tcPr>
            <w:tcW w:type="dxa" w:w="27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BYOK tier only</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Connections established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Anthropic API</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with streaming, Bearer auth with bundled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usage_logs table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Write token counts + model + cost per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messages table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Write assistant response after stream completes</w:t>
            </w:r>
          </w:p>
        </w:tc>
      </w:tr>
    </w:tbl>
    <w:p>
      <w:pPr>
        <w:spacing w:after="0" w:before="0"/>
      </w:pPr>
      <w:r>
        <w:rPr>
          <w:sz w:val="20"/>
          <w:szCs w:val="20"/>
        </w:rPr>
        <w:t xml:space="preserve"/>
      </w:r>
    </w:p>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600"/>
        <w:gridCol w:w="1200"/>
      </w:tblGrid>
      <w:tr>
        <w:tc>
          <w:tcPr>
            <w:tcW w:type="dxa" w:w="80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P3</w:t>
            </w:r>
          </w:p>
        </w:tc>
        <w:tc>
          <w:tcPr>
            <w:tcW w:type="dxa" w:w="5760"/>
            <w:tcBorders>
              <w:top w:val="none" w:color="FFFFFF" w:sz="0"/>
              <w:left w:val="none" w:color="FFFFFF" w:sz="0"/>
              <w:bottom w:val="none" w:color="FFFFFF" w:sz="0"/>
              <w:right w:val="none" w:color="FFFFFF" w:sz="0"/>
            </w:tcBorders>
            <w:shd w:fill="1E1B4B" w:val="clear"/>
            <w:tcMar>
              <w:top w:type="dxa" w:w="120"/>
              <w:left w:type="dxa" w:w="160"/>
              <w:bottom w:type="dxa" w:w="120"/>
              <w:right w:type="dxa" w:w="120"/>
            </w:tcMar>
          </w:tcPr>
          <w:p>
            <w:r>
              <w:rPr>
                <w:rFonts w:ascii="Arial" w:cs="Arial" w:eastAsia="Arial" w:hAnsi="Arial"/>
                <w:b/>
                <w:bCs/>
                <w:color w:val="FFFFFF"/>
                <w:sz w:val="26"/>
                <w:szCs w:val="26"/>
              </w:rPr>
              <w:t xml:space="preserve">Kotlin Multiplatform Mobile Clients</w:t>
            </w:r>
          </w:p>
        </w:tc>
        <w:tc>
          <w:tcPr>
            <w:tcW w:type="dxa" w:w="1600"/>
            <w:tcBorders>
              <w:top w:val="none" w:color="FFFFFF" w:sz="0"/>
              <w:left w:val="none" w:color="FFFFFF" w:sz="0"/>
              <w:bottom w:val="none" w:color="FFFFFF" w:sz="0"/>
              <w:right w:val="none" w:color="FFFFFF" w:sz="0"/>
            </w:tcBorders>
            <w:shd w:fill="1A1A2E" w:val="clear"/>
            <w:tcMar>
              <w:top w:type="dxa" w:w="120"/>
              <w:left w:type="dxa" w:w="100"/>
              <w:bottom w:type="dxa" w:w="120"/>
              <w:right w:type="dxa" w:w="100"/>
            </w:tcMar>
            <w:vAlign w:val="center"/>
          </w:tcPr>
          <w:p>
            <w:pPr>
              <w:jc w:val="center"/>
            </w:pPr>
            <w:r>
              <w:rPr>
                <w:rFonts w:ascii="Arial" w:cs="Arial" w:eastAsia="Arial" w:hAnsi="Arial"/>
                <w:color w:val="C7D2FE"/>
                <w:sz w:val="18"/>
                <w:szCs w:val="18"/>
              </w:rPr>
              <w:t xml:space="preserve">Weeks 3–5</w:t>
            </w:r>
          </w:p>
        </w:tc>
        <w:tc>
          <w:tcPr>
            <w:tcW w:type="dxa" w:w="1200"/>
            <w:tcBorders>
              <w:top w:val="none" w:color="FFFFFF" w:sz="0"/>
              <w:left w:val="none" w:color="FFFFFF" w:sz="0"/>
              <w:bottom w:val="none" w:color="FFFFFF" w:sz="0"/>
              <w:right w:val="none" w:color="FFFFFF" w:sz="0"/>
            </w:tcBorders>
            <w:shd w:fill="D1FAE5" w:val="clear"/>
            <w:tcMar>
              <w:top w:type="dxa" w:w="120"/>
              <w:left w:type="dxa" w:w="100"/>
              <w:bottom w:type="dxa" w:w="120"/>
              <w:right w:type="dxa" w:w="100"/>
            </w:tcMar>
            <w:vAlign w:val="center"/>
          </w:tcPr>
          <w:p>
            <w:pPr>
              <w:jc w:val="center"/>
            </w:pPr>
            <w:r>
              <w:rPr>
                <w:rFonts w:ascii="Arial" w:cs="Arial" w:eastAsia="Arial" w:hAnsi="Arial"/>
                <w:b/>
                <w:bCs/>
                <w:color w:val="065F46"/>
                <w:sz w:val="17"/>
                <w:szCs w:val="17"/>
              </w:rPr>
              <w:t xml:space="preserve">Core Agent</w:t>
            </w:r>
          </w:p>
        </w:tc>
      </w:tr>
    </w:tbl>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Build the Android and iOS native apps using Kotlin Multiplatform. The shared module handles all business logic. Platform-specific UI uses Jetpack Compose (Android) and SwiftUI (iOS).</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KMP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55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Contains</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shared/commonMain</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Both</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API client, data models, auth logic, SSE parser, credit tracking, conversation repository</w:t>
            </w:r>
          </w:p>
        </w:tc>
      </w:tr>
      <w:tr>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shared/androidMain</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Android</w:t>
            </w:r>
          </w:p>
        </w:tc>
        <w:tc>
          <w:tcPr>
            <w:tcW w:type="dxa" w:w="5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Android-specific implementations (Ktor engine, DataStore)</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shared/iosMain</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iOS</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iOS-specific implementations (Darwin HTTP engine, UserDefaults)</w:t>
            </w:r>
          </w:p>
        </w:tc>
      </w:tr>
      <w:tr>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androidApp/</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Android</w:t>
            </w:r>
          </w:p>
        </w:tc>
        <w:tc>
          <w:tcPr>
            <w:tcW w:type="dxa" w:w="5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Jetpack Compose UI: ChatScreen, HomeScreen, SettingsScreen, PaywallScreen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iosApp/</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iOS</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SwiftUI UI: identical screens, calls shared KMP viewmodels via Swift interop</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Shared Module — Key Components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AgentRepository: sendMessage(), streamResponse(), loadConversations(), createConversation()</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AuthRepository: signIn(), signUp(), signOut(), refreshToken(), observeAuthState()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SSEParser: parses the SSE event format defined in Phase 2, emits typed Kotlin sealed classes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CreditManager: fetchBalance(), deductCredits(), observeBalance() — synced from Supabase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FileManager: uploadFile(), downloadFile(), listFiles() — delegates to Supabase Storage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SettingsStore: stores auth tokens, BYOK key (encrypted at rest), theme, notification prefs</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UI Screens (both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3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9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Key Interactions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Home / Conversation List</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Shows all past conversations with titles and last message preview</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Tap to open, swipe to delete, FAB to new chat</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Chat Screen</w:t>
            </w:r>
          </w:p>
        </w:tc>
        <w:tc>
          <w:tcPr>
            <w:tcW w:type="dxa" w:w="3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Main agent interaction: message bubbles, streaming tokens, tool cards, file previews</w:t>
            </w:r>
          </w:p>
        </w:tc>
        <w:tc>
          <w:tcPr>
            <w:tcW w:type="dxa" w:w="39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Send message, view tool execution in progress, tap file to open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Tool Execution Card</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Expandable card showing tool name, input, progress spinner, output</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Inline in chat stream, expand/collapse</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File Viewer</w:t>
            </w:r>
          </w:p>
        </w:tc>
        <w:tc>
          <w:tcPr>
            <w:tcW w:type="dxa" w:w="3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Preview generated files (PDF, images, code, text) with download option</w:t>
            </w:r>
          </w:p>
        </w:tc>
        <w:tc>
          <w:tcPr>
            <w:tcW w:type="dxa" w:w="39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Tap file bubble in chat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Settings Screen</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Profile, subscription status, credits balance, BYOK key input, model selection</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Navigate from nav bar</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Paywall / Upgrade Screen</w:t>
            </w:r>
          </w:p>
        </w:tc>
        <w:tc>
          <w:tcPr>
            <w:tcW w:type="dxa" w:w="3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Subscription tiers, feature comparison, purchase button</w:t>
            </w:r>
          </w:p>
        </w:tc>
        <w:tc>
          <w:tcPr>
            <w:tcW w:type="dxa" w:w="39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RevenueCat purchase flow</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BYOK Screen</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Provider picker, API key input, validation button, key management</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Accessed from Settings</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Onboarding</w:t>
            </w:r>
          </w:p>
        </w:tc>
        <w:tc>
          <w:tcPr>
            <w:tcW w:type="dxa" w:w="3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3-screen intro: what the agent can do, quick setup, first prompt suggestion</w:t>
            </w:r>
          </w:p>
        </w:tc>
        <w:tc>
          <w:tcPr>
            <w:tcW w:type="dxa" w:w="39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First launch only</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Streaming UI Pattern</w:t>
      </w:r>
    </w:p>
    <w:p>
      <w:pPr>
        <w:spacing w:after="80" w:before="60" w:line="320"/>
      </w:pPr>
      <w:r>
        <w:rPr>
          <w:rFonts w:ascii="Arial" w:cs="Arial" w:eastAsia="Arial" w:hAnsi="Arial"/>
          <w:color w:val="1A1A2E"/>
          <w:sz w:val="20"/>
          <w:szCs w:val="20"/>
        </w:rPr>
        <w:t xml:space="preserve">As SSE tokens arrive, the chat screen appends characters to the last message bubble in real time using StateFlow / Combine. Tool execution events show an animated card. File events show a downloadable card. The "typing" cursor disappears on the "done" event.</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Connections established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Android App</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API Gateway /chat/stream</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OkHttp SSE — POST message, stream tokens 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iOS App</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API Gateway /chat/stream</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URLSession bytes stream — same endpoint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Android/iOS App</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Auth (via SDK)</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Sign in/up, JWT token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Android/iOS App</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API Gateway /conversations</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REST — load/create/delete conversations</w:t>
            </w:r>
          </w:p>
        </w:tc>
      </w:tr>
    </w:tbl>
    <w:p>
      <w:pPr>
        <w:spacing w:after="0" w:before="0"/>
      </w:pPr>
      <w:r>
        <w:rPr>
          <w:sz w:val="20"/>
          <w:szCs w:val="20"/>
        </w:rPr>
        <w:t xml:space="preserve"/>
      </w:r>
    </w:p>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600"/>
        <w:gridCol w:w="1200"/>
      </w:tblGrid>
      <w:tr>
        <w:tc>
          <w:tcPr>
            <w:tcW w:type="dxa" w:w="80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P4</w:t>
            </w:r>
          </w:p>
        </w:tc>
        <w:tc>
          <w:tcPr>
            <w:tcW w:type="dxa" w:w="5760"/>
            <w:tcBorders>
              <w:top w:val="none" w:color="FFFFFF" w:sz="0"/>
              <w:left w:val="none" w:color="FFFFFF" w:sz="0"/>
              <w:bottom w:val="none" w:color="FFFFFF" w:sz="0"/>
              <w:right w:val="none" w:color="FFFFFF" w:sz="0"/>
            </w:tcBorders>
            <w:shd w:fill="1E1B4B" w:val="clear"/>
            <w:tcMar>
              <w:top w:type="dxa" w:w="120"/>
              <w:left w:type="dxa" w:w="160"/>
              <w:bottom w:type="dxa" w:w="120"/>
              <w:right w:type="dxa" w:w="120"/>
            </w:tcMar>
          </w:tcPr>
          <w:p>
            <w:r>
              <w:rPr>
                <w:rFonts w:ascii="Arial" w:cs="Arial" w:eastAsia="Arial" w:hAnsi="Arial"/>
                <w:b/>
                <w:bCs/>
                <w:color w:val="FFFFFF"/>
                <w:sz w:val="26"/>
                <w:szCs w:val="26"/>
              </w:rPr>
              <w:t xml:space="preserve">OpenClaw Agent Integration + E2B Sandboxes</w:t>
            </w:r>
          </w:p>
        </w:tc>
        <w:tc>
          <w:tcPr>
            <w:tcW w:type="dxa" w:w="1600"/>
            <w:tcBorders>
              <w:top w:val="none" w:color="FFFFFF" w:sz="0"/>
              <w:left w:val="none" w:color="FFFFFF" w:sz="0"/>
              <w:bottom w:val="none" w:color="FFFFFF" w:sz="0"/>
              <w:right w:val="none" w:color="FFFFFF" w:sz="0"/>
            </w:tcBorders>
            <w:shd w:fill="1A1A2E" w:val="clear"/>
            <w:tcMar>
              <w:top w:type="dxa" w:w="120"/>
              <w:left w:type="dxa" w:w="100"/>
              <w:bottom w:type="dxa" w:w="120"/>
              <w:right w:type="dxa" w:w="100"/>
            </w:tcMar>
            <w:vAlign w:val="center"/>
          </w:tcPr>
          <w:p>
            <w:pPr>
              <w:jc w:val="center"/>
            </w:pPr>
            <w:r>
              <w:rPr>
                <w:rFonts w:ascii="Arial" w:cs="Arial" w:eastAsia="Arial" w:hAnsi="Arial"/>
                <w:color w:val="C7D2FE"/>
                <w:sz w:val="18"/>
                <w:szCs w:val="18"/>
              </w:rPr>
              <w:t xml:space="preserve">Weeks 5–6</w:t>
            </w:r>
          </w:p>
        </w:tc>
        <w:tc>
          <w:tcPr>
            <w:tcW w:type="dxa" w:w="1200"/>
            <w:tcBorders>
              <w:top w:val="none" w:color="FFFFFF" w:sz="0"/>
              <w:left w:val="none" w:color="FFFFFF" w:sz="0"/>
              <w:bottom w:val="none" w:color="FFFFFF" w:sz="0"/>
              <w:right w:val="none" w:color="FFFFFF" w:sz="0"/>
            </w:tcBorders>
            <w:shd w:fill="FEF3C7" w:val="clear"/>
            <w:tcMar>
              <w:top w:type="dxa" w:w="120"/>
              <w:left w:type="dxa" w:w="100"/>
              <w:bottom w:type="dxa" w:w="120"/>
              <w:right w:type="dxa" w:w="100"/>
            </w:tcMar>
            <w:vAlign w:val="center"/>
          </w:tcPr>
          <w:p>
            <w:pPr>
              <w:jc w:val="center"/>
            </w:pPr>
            <w:r>
              <w:rPr>
                <w:rFonts w:ascii="Arial" w:cs="Arial" w:eastAsia="Arial" w:hAnsi="Arial"/>
                <w:b/>
                <w:bCs/>
                <w:color w:val="92400E"/>
                <w:sz w:val="17"/>
                <w:szCs w:val="17"/>
              </w:rPr>
              <w:t xml:space="preserve">Sandboxing</w:t>
            </w:r>
          </w:p>
        </w:tc>
      </w:tr>
    </w:tbl>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Upgrade from a simple chatbot to a real autonomous agent. Each user session gets a dedicated OpenClaw process running inside a Firecracker microVM (via E2B). The agent can now plan multi-step tasks and execute tools.</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What gets built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E2B Python SDK integrated in FastAPI: create_sandbox(), resume_sandbox(), pause_sandbox()</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Sandbox lifecycle manager: maps user_id + conversation_id → active E2B sandbox ID</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OpenClaw installation template: custom E2B sandbox image with OpenClaw pre-installed and configured</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OpenClaw config injection: on sandbox creation, inject bundled API key (or BYOK key) via environment variables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Message bridge: API Gateway receives user message → forwards to OpenClaw WebSocket (port 18789) → OpenClaw calls Claude → streams back through Gateway → SSE to client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Sandbox state in DB: conversations table stores sandbox_id, last_active_at for resume logic</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Auto-pause: sandboxes idle for 10 minutes are snapshotted and paused (zero cost while idle)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Auto-resume: on new message, if sandbox is paused, resume from snapshot in &lt;200ms</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Sandbox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rPr>
          <w:tblHeader/>
        </w:trPr>
        <w:tc>
          <w:tcPr>
            <w:tcW w:type="dxa" w:w="1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2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5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New</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First message in conversation</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E2B create + OpenClaw start (~3-5 sec)</w:t>
            </w:r>
          </w:p>
        </w:tc>
        <w:tc>
          <w:tcPr>
            <w:tcW w:type="dxa" w:w="2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$0.000028/sec while running</w:t>
            </w:r>
          </w:p>
        </w:tc>
      </w:tr>
      <w:tr>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Active</w:t>
            </w:r>
          </w:p>
        </w:tc>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User sending messages</w:t>
            </w:r>
          </w:p>
        </w:tc>
        <w:tc>
          <w:tcPr>
            <w:tcW w:type="dxa" w:w="3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Messages forwarded to OpenClaw WebSocket</w:t>
            </w:r>
          </w:p>
        </w:tc>
        <w:tc>
          <w:tcPr>
            <w:tcW w:type="dxa" w:w="2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$0.000028/sec (~$0.10/hour)</w:t>
            </w:r>
          </w:p>
        </w:tc>
      </w:tr>
      <w:tr>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Idle</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 message for 10 minutes</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Snapshot microVM state, pause sandbox</w:t>
            </w:r>
          </w:p>
        </w:tc>
        <w:tc>
          <w:tcPr>
            <w:tcW w:type="dxa" w:w="2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 (snapshot stored)</w:t>
            </w:r>
          </w:p>
        </w:tc>
      </w:tr>
      <w:tr>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Resuming</w:t>
            </w:r>
          </w:p>
        </w:tc>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New message arrives, sandbox paused</w:t>
            </w:r>
          </w:p>
        </w:tc>
        <w:tc>
          <w:tcPr>
            <w:tcW w:type="dxa" w:w="3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Resume from snapshot (&lt;200ms cold start)</w:t>
            </w:r>
          </w:p>
        </w:tc>
        <w:tc>
          <w:tcPr>
            <w:tcW w:type="dxa" w:w="2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$0.000028/sec</w:t>
            </w:r>
          </w:p>
        </w:tc>
      </w:tr>
      <w:tr>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Destroyed</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User deletes conversation or 7-day TTL</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E2B destroy, delete snapshot</w:t>
            </w:r>
          </w:p>
        </w:tc>
        <w:tc>
          <w:tcPr>
            <w:tcW w:type="dxa" w:w="2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OpenClaw Configuration per Sandbox</w:t>
      </w:r>
    </w:p>
    <w:p>
      <w:pPr>
        <w:spacing w:after="80" w:before="60" w:line="320"/>
      </w:pPr>
      <w:r>
        <w:rPr>
          <w:rFonts w:ascii="Arial" w:cs="Arial" w:eastAsia="Arial" w:hAnsi="Arial"/>
          <w:color w:val="1A1A2E"/>
          <w:sz w:val="20"/>
          <w:szCs w:val="20"/>
        </w:rPr>
        <w:t xml:space="preserve">When a sandbox is created for a user, OpenClaw is configured via environment variables and a startup config file injected by the API Gateway:</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ANTHROPIC_API_KEY: either the bundled server key or the user's BYOK key (retrieved from Vault)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OPENCLAW_MODEL: the model tier the user has access to (haiku/sonnet/opus)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OPENCLAW_USER_ID: for memory file namespacing and multi-tenant isolation</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OPENCLAW_MEMORY_PATH: /workspace/memory/{user_id}/ — isolated per user</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OPENCLAW_SKILLS: list of enabled skills for this user's subscription tier</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Connections established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E2B Sandbox Manager API</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REST — create/pause/resume/destroy sandboxes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OpenClaw Gateway (WebSocket 18789)</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WebSocket inside sandbox — forward user messages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OpenClaw Brain</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Anthropic API</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from inside sandbox — agent LLM calls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OpenClaw Memory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Storage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 sync memory Markdown files on conversation end</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600"/>
        <w:gridCol w:w="1200"/>
      </w:tblGrid>
      <w:tr>
        <w:tc>
          <w:tcPr>
            <w:tcW w:type="dxa" w:w="80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P5</w:t>
            </w:r>
          </w:p>
        </w:tc>
        <w:tc>
          <w:tcPr>
            <w:tcW w:type="dxa" w:w="5760"/>
            <w:tcBorders>
              <w:top w:val="none" w:color="FFFFFF" w:sz="0"/>
              <w:left w:val="none" w:color="FFFFFF" w:sz="0"/>
              <w:bottom w:val="none" w:color="FFFFFF" w:sz="0"/>
              <w:right w:val="none" w:color="FFFFFF" w:sz="0"/>
            </w:tcBorders>
            <w:shd w:fill="1E1B4B" w:val="clear"/>
            <w:tcMar>
              <w:top w:type="dxa" w:w="120"/>
              <w:left w:type="dxa" w:w="160"/>
              <w:bottom w:type="dxa" w:w="120"/>
              <w:right w:type="dxa" w:w="120"/>
            </w:tcMar>
          </w:tcPr>
          <w:p>
            <w:r>
              <w:rPr>
                <w:rFonts w:ascii="Arial" w:cs="Arial" w:eastAsia="Arial" w:hAnsi="Arial"/>
                <w:b/>
                <w:bCs/>
                <w:color w:val="FFFFFF"/>
                <w:sz w:val="26"/>
                <w:szCs w:val="26"/>
              </w:rPr>
              <w:t xml:space="preserve">Tool Execution Layer</w:t>
            </w:r>
          </w:p>
        </w:tc>
        <w:tc>
          <w:tcPr>
            <w:tcW w:type="dxa" w:w="1600"/>
            <w:tcBorders>
              <w:top w:val="none" w:color="FFFFFF" w:sz="0"/>
              <w:left w:val="none" w:color="FFFFFF" w:sz="0"/>
              <w:bottom w:val="none" w:color="FFFFFF" w:sz="0"/>
              <w:right w:val="none" w:color="FFFFFF" w:sz="0"/>
            </w:tcBorders>
            <w:shd w:fill="1A1A2E" w:val="clear"/>
            <w:tcMar>
              <w:top w:type="dxa" w:w="120"/>
              <w:left w:type="dxa" w:w="100"/>
              <w:bottom w:type="dxa" w:w="120"/>
              <w:right w:type="dxa" w:w="100"/>
            </w:tcMar>
            <w:vAlign w:val="center"/>
          </w:tcPr>
          <w:p>
            <w:pPr>
              <w:jc w:val="center"/>
            </w:pPr>
            <w:r>
              <w:rPr>
                <w:rFonts w:ascii="Arial" w:cs="Arial" w:eastAsia="Arial" w:hAnsi="Arial"/>
                <w:color w:val="C7D2FE"/>
                <w:sz w:val="18"/>
                <w:szCs w:val="18"/>
              </w:rPr>
              <w:t xml:space="preserve">Weeks 6–7</w:t>
            </w:r>
          </w:p>
        </w:tc>
        <w:tc>
          <w:tcPr>
            <w:tcW w:type="dxa" w:w="1200"/>
            <w:tcBorders>
              <w:top w:val="none" w:color="FFFFFF" w:sz="0"/>
              <w:left w:val="none" w:color="FFFFFF" w:sz="0"/>
              <w:bottom w:val="none" w:color="FFFFFF" w:sz="0"/>
              <w:right w:val="none" w:color="FFFFFF" w:sz="0"/>
            </w:tcBorders>
            <w:shd w:fill="D1FAE5" w:val="clear"/>
            <w:tcMar>
              <w:top w:type="dxa" w:w="120"/>
              <w:left w:type="dxa" w:w="100"/>
              <w:bottom w:type="dxa" w:w="120"/>
              <w:right w:type="dxa" w:w="100"/>
            </w:tcMar>
            <w:vAlign w:val="center"/>
          </w:tcPr>
          <w:p>
            <w:pPr>
              <w:jc w:val="center"/>
            </w:pPr>
            <w:r>
              <w:rPr>
                <w:rFonts w:ascii="Arial" w:cs="Arial" w:eastAsia="Arial" w:hAnsi="Arial"/>
                <w:b/>
                <w:bCs/>
                <w:color w:val="065F46"/>
                <w:sz w:val="17"/>
                <w:szCs w:val="17"/>
              </w:rPr>
              <w:t xml:space="preserve">Core Agent</w:t>
            </w:r>
          </w:p>
        </w:tc>
      </w:tr>
    </w:tbl>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Activate the agent's real-world capabilities: code execution, web browsing, file creation, and external API calls. All run inside the E2B microVM, completely isolated from other users.</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Tools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Tool Name</w:t>
            </w:r>
          </w:p>
        </w:tc>
        <w:tc>
          <w:tcPr>
            <w:tcW w:type="dxa" w:w="20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31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UX Event Sent to Client</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code_execute</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Run Python, Node.js, or Bash code</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OpenClaw built-in, runs in microVM sandbox</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tool_start → code text → execution output → tool_done</w:t>
            </w:r>
          </w:p>
        </w:tc>
      </w:tr>
      <w:tr>
        <w:tc>
          <w:tcPr>
            <w:tcW w:type="dxa" w:w="1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web_browse</w:t>
            </w:r>
          </w:p>
        </w:tc>
        <w:tc>
          <w:tcPr>
            <w:tcW w:type="dxa" w:w="2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Visit URLs, extract content, click elements</w:t>
            </w:r>
          </w:p>
        </w:tc>
        <w:tc>
          <w:tcPr>
            <w:tcW w:type="dxa" w:w="2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Headless Chromium via CDP inside microVM</w:t>
            </w:r>
          </w:p>
        </w:tc>
        <w:tc>
          <w:tcPr>
            <w:tcW w:type="dxa" w:w="31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tool_start → URL → page title + summary → tool_done</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web_search</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Search the web and return results</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Brave Search API or SerpAPI called from microVM</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tool_start → query → result list → tool_done</w:t>
            </w:r>
          </w:p>
        </w:tc>
      </w:tr>
      <w:tr>
        <w:tc>
          <w:tcPr>
            <w:tcW w:type="dxa" w:w="1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file_create</w:t>
            </w:r>
          </w:p>
        </w:tc>
        <w:tc>
          <w:tcPr>
            <w:tcW w:type="dxa" w:w="2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Create files (PDF, DOCX, CSV, code, etc.)</w:t>
            </w:r>
          </w:p>
        </w:tc>
        <w:tc>
          <w:tcPr>
            <w:tcW w:type="dxa" w:w="2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Code execution in microVM writes to /workspace/output/</w:t>
            </w:r>
          </w:p>
        </w:tc>
        <w:tc>
          <w:tcPr>
            <w:tcW w:type="dxa" w:w="31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file event with download URL after sandbox uploads to Supabase Storage</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file_read</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Read user-uploaded files</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User uploads via app → stored in Supabase → mounted in microVM</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tool_start → filename → content summary → tool_done</w:t>
            </w:r>
          </w:p>
        </w:tc>
      </w:tr>
      <w:tr>
        <w:tc>
          <w:tcPr>
            <w:tcW w:type="dxa" w:w="1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http_request</w:t>
            </w:r>
          </w:p>
        </w:tc>
        <w:tc>
          <w:tcPr>
            <w:tcW w:type="dxa" w:w="2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Call external APIs</w:t>
            </w:r>
          </w:p>
        </w:tc>
        <w:tc>
          <w:tcPr>
            <w:tcW w:type="dxa" w:w="2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Direct HTTP from inside microVM</w:t>
            </w:r>
          </w:p>
        </w:tc>
        <w:tc>
          <w:tcPr>
            <w:tcW w:type="dxa" w:w="31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tool_start → URL + method → response status + body → tool_done</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memory_read</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Read agent's persistent memory</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Read /workspace/memory/{user_id}/*.md in microVM</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Transparent — no UX event, just context enrichment</w:t>
            </w:r>
          </w:p>
        </w:tc>
      </w:tr>
      <w:tr>
        <w:tc>
          <w:tcPr>
            <w:tcW w:type="dxa" w:w="1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memory_write</w:t>
            </w:r>
          </w:p>
        </w:tc>
        <w:tc>
          <w:tcPr>
            <w:tcW w:type="dxa" w:w="2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Save a fact to memory</w:t>
            </w:r>
          </w:p>
        </w:tc>
        <w:tc>
          <w:tcPr>
            <w:tcW w:type="dxa" w:w="2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Write to memory Markdown file in microVM</w:t>
            </w:r>
          </w:p>
        </w:tc>
        <w:tc>
          <w:tcPr>
            <w:tcW w:type="dxa" w:w="31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Brief "Saved to memory" indicator in chat</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File Flow: Agent creates a file → User downloads it</w:t>
      </w:r>
    </w:p>
    <w:p>
      <w:pPr>
        <w:pStyle w:val="ListParagraph"/>
        <w:numPr>
          <w:ilvl w:val="0"/>
          <w:numId w:val="3"/>
        </w:numPr>
        <w:spacing w:after="40" w:before="40"/>
      </w:pPr>
      <w:r>
        <w:rPr>
          <w:rFonts w:ascii="Arial" w:cs="Arial" w:eastAsia="Arial" w:hAnsi="Arial"/>
          <w:color w:val="1A1A2E"/>
          <w:sz w:val="20"/>
          <w:szCs w:val="20"/>
        </w:rPr>
        <w:t xml:space="preserve">Agent writes file to /workspace/output/report.pdf inside microVM</w:t>
      </w:r>
    </w:p>
    <w:p>
      <w:pPr>
        <w:pStyle w:val="ListParagraph"/>
        <w:numPr>
          <w:ilvl w:val="0"/>
          <w:numId w:val="3"/>
        </w:numPr>
        <w:spacing w:after="40" w:before="40"/>
      </w:pPr>
      <w:r>
        <w:rPr>
          <w:rFonts w:ascii="Arial" w:cs="Arial" w:eastAsia="Arial" w:hAnsi="Arial"/>
          <w:color w:val="1A1A2E"/>
          <w:sz w:val="20"/>
          <w:szCs w:val="20"/>
        </w:rPr>
        <w:t xml:space="preserve">OpenClaw emits file_created event to API Gateway via WebSocket</w:t>
      </w:r>
    </w:p>
    <w:p>
      <w:pPr>
        <w:pStyle w:val="ListParagraph"/>
        <w:numPr>
          <w:ilvl w:val="0"/>
          <w:numId w:val="3"/>
        </w:numPr>
        <w:spacing w:after="40" w:before="40"/>
      </w:pPr>
      <w:r>
        <w:rPr>
          <w:rFonts w:ascii="Arial" w:cs="Arial" w:eastAsia="Arial" w:hAnsi="Arial"/>
          <w:color w:val="1A1A2E"/>
          <w:sz w:val="20"/>
          <w:szCs w:val="20"/>
        </w:rPr>
        <w:t xml:space="preserve">API Gateway reads file from E2B sandbox filesystem via E2B SDK</w:t>
      </w:r>
    </w:p>
    <w:p>
      <w:pPr>
        <w:pStyle w:val="ListParagraph"/>
        <w:numPr>
          <w:ilvl w:val="0"/>
          <w:numId w:val="3"/>
        </w:numPr>
        <w:spacing w:after="40" w:before="40"/>
      </w:pPr>
      <w:r>
        <w:rPr>
          <w:rFonts w:ascii="Arial" w:cs="Arial" w:eastAsia="Arial" w:hAnsi="Arial"/>
          <w:color w:val="1A1A2E"/>
          <w:sz w:val="20"/>
          <w:szCs w:val="20"/>
        </w:rPr>
        <w:t xml:space="preserve">API Gateway uploads file to Supabase Storage (bucket: user-files/{user_id}/)</w:t>
      </w:r>
    </w:p>
    <w:p>
      <w:pPr>
        <w:pStyle w:val="ListParagraph"/>
        <w:numPr>
          <w:ilvl w:val="0"/>
          <w:numId w:val="3"/>
        </w:numPr>
        <w:spacing w:after="40" w:before="40"/>
      </w:pPr>
      <w:r>
        <w:rPr>
          <w:rFonts w:ascii="Arial" w:cs="Arial" w:eastAsia="Arial" w:hAnsi="Arial"/>
          <w:color w:val="1A1A2E"/>
          <w:sz w:val="20"/>
          <w:szCs w:val="20"/>
        </w:rPr>
        <w:t xml:space="preserve">API Gateway generates signed URL (valid 24 hours), inserts row into files table</w:t>
      </w:r>
    </w:p>
    <w:p>
      <w:pPr>
        <w:pStyle w:val="ListParagraph"/>
        <w:numPr>
          <w:ilvl w:val="0"/>
          <w:numId w:val="3"/>
        </w:numPr>
        <w:spacing w:after="40" w:before="40"/>
      </w:pPr>
      <w:r>
        <w:rPr>
          <w:rFonts w:ascii="Arial" w:cs="Arial" w:eastAsia="Arial" w:hAnsi="Arial"/>
          <w:color w:val="1A1A2E"/>
          <w:sz w:val="20"/>
          <w:szCs w:val="20"/>
        </w:rPr>
        <w:t xml:space="preserve">SSE event sent to client: {"type":"file","filename":"report.pdf","url":"https://...","size":45000}</w:t>
      </w:r>
    </w:p>
    <w:p>
      <w:pPr>
        <w:pStyle w:val="ListParagraph"/>
        <w:numPr>
          <w:ilvl w:val="0"/>
          <w:numId w:val="3"/>
        </w:numPr>
        <w:spacing w:after="40" w:before="40"/>
      </w:pPr>
      <w:r>
        <w:rPr>
          <w:rFonts w:ascii="Arial" w:cs="Arial" w:eastAsia="Arial" w:hAnsi="Arial"/>
          <w:color w:val="1A1A2E"/>
          <w:sz w:val="20"/>
          <w:szCs w:val="20"/>
        </w:rPr>
        <w:t xml:space="preserve">Client renders a downloadable file card in the chat UI</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Connections established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OpenClaw Tool Dispatcher</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Bash/Python/Node.js runtime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Subprocess in microVM — code execution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OpenClaw Tool Dispatcher</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Chromium (CDP WebSocket)</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In-microVM browser automation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Storage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Upload agent-created files, generate signed URLs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Brave Search / SerpAPI</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 web search results for agent</w:t>
            </w:r>
          </w:p>
        </w:tc>
      </w:tr>
    </w:tbl>
    <w:p>
      <w:pPr>
        <w:spacing w:after="0" w:before="0"/>
      </w:pPr>
      <w:r>
        <w:rPr>
          <w:sz w:val="20"/>
          <w:szCs w:val="20"/>
        </w:rPr>
        <w:t xml:space="preserve"/>
      </w:r>
    </w:p>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600"/>
        <w:gridCol w:w="1200"/>
      </w:tblGrid>
      <w:tr>
        <w:tc>
          <w:tcPr>
            <w:tcW w:type="dxa" w:w="80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P6</w:t>
            </w:r>
          </w:p>
        </w:tc>
        <w:tc>
          <w:tcPr>
            <w:tcW w:type="dxa" w:w="5760"/>
            <w:tcBorders>
              <w:top w:val="none" w:color="FFFFFF" w:sz="0"/>
              <w:left w:val="none" w:color="FFFFFF" w:sz="0"/>
              <w:bottom w:val="none" w:color="FFFFFF" w:sz="0"/>
              <w:right w:val="none" w:color="FFFFFF" w:sz="0"/>
            </w:tcBorders>
            <w:shd w:fill="1E1B4B" w:val="clear"/>
            <w:tcMar>
              <w:top w:type="dxa" w:w="120"/>
              <w:left w:type="dxa" w:w="160"/>
              <w:bottom w:type="dxa" w:w="120"/>
              <w:right w:type="dxa" w:w="120"/>
            </w:tcMar>
          </w:tcPr>
          <w:p>
            <w:r>
              <w:rPr>
                <w:rFonts w:ascii="Arial" w:cs="Arial" w:eastAsia="Arial" w:hAnsi="Arial"/>
                <w:b/>
                <w:bCs/>
                <w:color w:val="FFFFFF"/>
                <w:sz w:val="26"/>
                <w:szCs w:val="26"/>
              </w:rPr>
              <w:t xml:space="preserve">Web Dashboard (Next.js)</w:t>
            </w:r>
          </w:p>
        </w:tc>
        <w:tc>
          <w:tcPr>
            <w:tcW w:type="dxa" w:w="1600"/>
            <w:tcBorders>
              <w:top w:val="none" w:color="FFFFFF" w:sz="0"/>
              <w:left w:val="none" w:color="FFFFFF" w:sz="0"/>
              <w:bottom w:val="none" w:color="FFFFFF" w:sz="0"/>
              <w:right w:val="none" w:color="FFFFFF" w:sz="0"/>
            </w:tcBorders>
            <w:shd w:fill="1A1A2E" w:val="clear"/>
            <w:tcMar>
              <w:top w:type="dxa" w:w="120"/>
              <w:left w:type="dxa" w:w="100"/>
              <w:bottom w:type="dxa" w:w="120"/>
              <w:right w:type="dxa" w:w="100"/>
            </w:tcMar>
            <w:vAlign w:val="center"/>
          </w:tcPr>
          <w:p>
            <w:pPr>
              <w:jc w:val="center"/>
            </w:pPr>
            <w:r>
              <w:rPr>
                <w:rFonts w:ascii="Arial" w:cs="Arial" w:eastAsia="Arial" w:hAnsi="Arial"/>
                <w:color w:val="C7D2FE"/>
                <w:sz w:val="18"/>
                <w:szCs w:val="18"/>
              </w:rPr>
              <w:t xml:space="preserve">Weeks 7–8</w:t>
            </w:r>
          </w:p>
        </w:tc>
        <w:tc>
          <w:tcPr>
            <w:tcW w:type="dxa" w:w="1200"/>
            <w:tcBorders>
              <w:top w:val="none" w:color="FFFFFF" w:sz="0"/>
              <w:left w:val="none" w:color="FFFFFF" w:sz="0"/>
              <w:bottom w:val="none" w:color="FFFFFF" w:sz="0"/>
              <w:right w:val="none" w:color="FFFFFF" w:sz="0"/>
            </w:tcBorders>
            <w:shd w:fill="F0FDF4" w:val="clear"/>
            <w:tcMar>
              <w:top w:type="dxa" w:w="120"/>
              <w:left w:type="dxa" w:w="100"/>
              <w:bottom w:type="dxa" w:w="120"/>
              <w:right w:type="dxa" w:w="100"/>
            </w:tcMar>
            <w:vAlign w:val="center"/>
          </w:tcPr>
          <w:p>
            <w:pPr>
              <w:jc w:val="center"/>
            </w:pPr>
            <w:r>
              <w:rPr>
                <w:rFonts w:ascii="Arial" w:cs="Arial" w:eastAsia="Arial" w:hAnsi="Arial"/>
                <w:b/>
                <w:bCs/>
                <w:color w:val="166534"/>
                <w:sz w:val="17"/>
                <w:szCs w:val="17"/>
              </w:rPr>
              <w:t xml:space="preserve">Web Dashboard</w:t>
            </w:r>
          </w:p>
        </w:tc>
      </w:tr>
    </w:tbl>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Build the web application with full feature parity to the mobile apps. The web dashboard shares the same backend API and database — it is just another client. Some users (especially power users and enterprises) prefer the web for working with files and code.</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55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Framework</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Next.js 15 (App Router)</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SSR, file-based routing, API routes, excellent DX</w:t>
            </w:r>
          </w:p>
        </w:tc>
      </w:tr>
      <w:tr>
        <w:tc>
          <w:tcPr>
            <w:tcW w:type="dxa" w:w="1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Styling</w:t>
            </w:r>
          </w:p>
        </w:tc>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Tailwind CSS + shadcn/ui</w:t>
            </w:r>
          </w:p>
        </w:tc>
        <w:tc>
          <w:tcPr>
            <w:tcW w:type="dxa" w:w="5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Fast, consistent, accessible component library</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State Management</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Zustand + React Query</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Simple global state + server cache management</w:t>
            </w:r>
          </w:p>
        </w:tc>
      </w:tr>
      <w:tr>
        <w:tc>
          <w:tcPr>
            <w:tcW w:type="dxa" w:w="1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Auth</w:t>
            </w:r>
          </w:p>
        </w:tc>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Supabase Auth JS SDK</w:t>
            </w:r>
          </w:p>
        </w:tc>
        <w:tc>
          <w:tcPr>
            <w:tcW w:type="dxa" w:w="5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Same auth system as mobile — shared sessions possible</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Streaming</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EventSource API (SSE)</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Native browser SSE — identical events to mobile</w:t>
            </w:r>
          </w:p>
        </w:tc>
      </w:tr>
      <w:tr>
        <w:tc>
          <w:tcPr>
            <w:tcW w:type="dxa" w:w="1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File Preview</w:t>
            </w:r>
          </w:p>
        </w:tc>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react-pdf + Monaco Editor</w:t>
            </w:r>
          </w:p>
        </w:tc>
        <w:tc>
          <w:tcPr>
            <w:tcW w:type="dxa" w:w="5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PDF preview in-browser, code syntax highlighting</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Payments</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Stripe.js (web subscription)</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Web users pay via Stripe directly, bypassing app stores</w:t>
            </w:r>
          </w:p>
        </w:tc>
      </w:tr>
      <w:tr>
        <w:tc>
          <w:tcPr>
            <w:tcW w:type="dxa" w:w="1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Deployment</w:t>
            </w:r>
          </w:p>
        </w:tc>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Vercel</w:t>
            </w:r>
          </w:p>
        </w:tc>
        <w:tc>
          <w:tcPr>
            <w:tcW w:type="dxa" w:w="5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Next.js native, global CDN, preview deployments</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Web Dashboard Pages / Routes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  — Landing page with marketing, signup CTA</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/login, /signup  — Supabase Auth flows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/dashboard  — Home: conversation list, "New Chat" button, usage stats widget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/chat/[id]  — Full-width chat interface with split panel (chat left, file preview right)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/settings  — Profile, BYOK key management, model selection, subscription management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/billing  — Stripe subscription portal, credit top-ups, invoice history</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/files  — All agent-created files across all conversations, sortable, downloadable</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Web Chat UI Specifics</w:t>
      </w:r>
    </w:p>
    <w:p>
      <w:pPr>
        <w:spacing w:after="80" w:before="60" w:line="320"/>
      </w:pPr>
      <w:r>
        <w:rPr>
          <w:rFonts w:ascii="Arial" w:cs="Arial" w:eastAsia="Arial" w:hAnsi="Arial"/>
          <w:color w:val="1A1A2E"/>
          <w:sz w:val="20"/>
          <w:szCs w:val="20"/>
        </w:rPr>
        <w:t xml:space="preserve">The web chat has a 2-panel layout: left panel is the conversation (same SSE streaming as mobile), right panel shows a live file preview that updates when the agent creates a file. This is a significant UX advantage over mobile for power users working with documents and code. The web also supports keyboard shortcuts: Cmd+Enter to send, Cmd+K for command palette.</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Connections established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Web Dashboard (Next.js)</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API Gateway /chat/stream</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EventSource (SSE) — same endpoints as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Web Dashboard</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Auth JS</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Browser SDK — JWT stored in httpOnly cookie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Web Dashboard</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Stripe Billing Portal</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 subscription management for web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Web Dashboard</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Storage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Signed URL — direct file download from CDN</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600"/>
        <w:gridCol w:w="1200"/>
      </w:tblGrid>
      <w:tr>
        <w:tc>
          <w:tcPr>
            <w:tcW w:type="dxa" w:w="80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P7</w:t>
            </w:r>
          </w:p>
        </w:tc>
        <w:tc>
          <w:tcPr>
            <w:tcW w:type="dxa" w:w="5760"/>
            <w:tcBorders>
              <w:top w:val="none" w:color="FFFFFF" w:sz="0"/>
              <w:left w:val="none" w:color="FFFFFF" w:sz="0"/>
              <w:bottom w:val="none" w:color="FFFFFF" w:sz="0"/>
              <w:right w:val="none" w:color="FFFFFF" w:sz="0"/>
            </w:tcBorders>
            <w:shd w:fill="1E1B4B" w:val="clear"/>
            <w:tcMar>
              <w:top w:type="dxa" w:w="120"/>
              <w:left w:type="dxa" w:w="160"/>
              <w:bottom w:type="dxa" w:w="120"/>
              <w:right w:type="dxa" w:w="120"/>
            </w:tcMar>
          </w:tcPr>
          <w:p>
            <w:r>
              <w:rPr>
                <w:rFonts w:ascii="Arial" w:cs="Arial" w:eastAsia="Arial" w:hAnsi="Arial"/>
                <w:b/>
                <w:bCs/>
                <w:color w:val="FFFFFF"/>
                <w:sz w:val="26"/>
                <w:szCs w:val="26"/>
              </w:rPr>
              <w:t xml:space="preserve">BYOK + Key Vault</w:t>
            </w:r>
          </w:p>
        </w:tc>
        <w:tc>
          <w:tcPr>
            <w:tcW w:type="dxa" w:w="1600"/>
            <w:tcBorders>
              <w:top w:val="none" w:color="FFFFFF" w:sz="0"/>
              <w:left w:val="none" w:color="FFFFFF" w:sz="0"/>
              <w:bottom w:val="none" w:color="FFFFFF" w:sz="0"/>
              <w:right w:val="none" w:color="FFFFFF" w:sz="0"/>
            </w:tcBorders>
            <w:shd w:fill="1A1A2E" w:val="clear"/>
            <w:tcMar>
              <w:top w:type="dxa" w:w="120"/>
              <w:left w:type="dxa" w:w="100"/>
              <w:bottom w:type="dxa" w:w="120"/>
              <w:right w:type="dxa" w:w="100"/>
            </w:tcMar>
            <w:vAlign w:val="center"/>
          </w:tcPr>
          <w:p>
            <w:pPr>
              <w:jc w:val="center"/>
            </w:pPr>
            <w:r>
              <w:rPr>
                <w:rFonts w:ascii="Arial" w:cs="Arial" w:eastAsia="Arial" w:hAnsi="Arial"/>
                <w:color w:val="C7D2FE"/>
                <w:sz w:val="18"/>
                <w:szCs w:val="18"/>
              </w:rPr>
              <w:t xml:space="preserve">Weeks 8–9</w:t>
            </w:r>
          </w:p>
        </w:tc>
        <w:tc>
          <w:tcPr>
            <w:tcW w:type="dxa" w:w="1200"/>
            <w:tcBorders>
              <w:top w:val="none" w:color="FFFFFF" w:sz="0"/>
              <w:left w:val="none" w:color="FFFFFF" w:sz="0"/>
              <w:bottom w:val="none" w:color="FFFFFF" w:sz="0"/>
              <w:right w:val="none" w:color="FFFFFF" w:sz="0"/>
            </w:tcBorders>
            <w:shd w:fill="FEE2E2" w:val="clear"/>
            <w:tcMar>
              <w:top w:type="dxa" w:w="120"/>
              <w:left w:type="dxa" w:w="100"/>
              <w:bottom w:type="dxa" w:w="120"/>
              <w:right w:type="dxa" w:w="100"/>
            </w:tcMar>
            <w:vAlign w:val="center"/>
          </w:tcPr>
          <w:p>
            <w:pPr>
              <w:jc w:val="center"/>
            </w:pPr>
            <w:r>
              <w:rPr>
                <w:rFonts w:ascii="Arial" w:cs="Arial" w:eastAsia="Arial" w:hAnsi="Arial"/>
                <w:b/>
                <w:bCs/>
                <w:color w:val="991B1B"/>
                <w:sz w:val="17"/>
                <w:szCs w:val="17"/>
              </w:rPr>
              <w:t xml:space="preserve">BYOK &amp; Billing</w:t>
            </w:r>
          </w:p>
        </w:tc>
      </w:tr>
    </w:tbl>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Allow power users to supply their own AI provider API keys. This eliminates their per-token costs, enables access to any model (GPT-4o, Gemini, DeepSeek, local Ollama), and makes the $X/month subscription pure infrastructure margin. Keys must be encrypted at rest and never logged.</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BYOK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5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Security Measure</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 Input</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User pastes API key in Settings screen</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Key never stored in app state beyond the input field</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2. Transmission</w:t>
            </w:r>
          </w:p>
        </w:tc>
        <w:tc>
          <w:tcPr>
            <w:tcW w:type="dxa" w:w="3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POST /api-keys with key in body over HTTPS</w:t>
            </w:r>
          </w:p>
        </w:tc>
        <w:tc>
          <w:tcPr>
            <w:tcW w:type="dxa" w:w="5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TLS 1.3 in transit, key in body (not URL/headers)</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 Encryption</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Backend encrypts key with AES-256-GCM</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Per-user encryption key derived from Supabase Vault master key</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4. Storage</w:t>
            </w:r>
          </w:p>
        </w:tc>
        <w:tc>
          <w:tcPr>
            <w:tcW w:type="dxa" w:w="3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Encrypted ciphertext stored in api_keys table</w:t>
            </w:r>
          </w:p>
        </w:tc>
        <w:tc>
          <w:tcPr>
            <w:tcW w:type="dxa" w:w="5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Raw key is never stored anywhere — only ciphertext</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 Usage</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On each request, decrypt key in-memory, inject to sandbox</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Key exists in plaintext only for microseconds, never logged</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6. Validation</w:t>
            </w:r>
          </w:p>
        </w:tc>
        <w:tc>
          <w:tcPr>
            <w:tcW w:type="dxa" w:w="3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Test key with a minimal API call before saving</w:t>
            </w:r>
          </w:p>
        </w:tc>
        <w:tc>
          <w:tcPr>
            <w:tcW w:type="dxa" w:w="55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User sees "Key valid ✓" or specific error message</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7. Deletion</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DELETE /api-keys/{id} zeros ciphertext in DB</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Key unrecoverable after deletion</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Supported Providers (BYOK)</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Anthropic — Claude Haiku, Sonnet, Opus (all models)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OpenAI — GPT-4o, GPT-4o-mini, o1, o3</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Google — Gemini 2.5 Pro, Gemini 2.5 Flash</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DeepSeek — DeepSeek-V3, DeepSeek-R1</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Ollama — any locally running model (requires user to expose their Ollama URL)</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Model Selection UI</w:t>
      </w:r>
    </w:p>
    <w:p>
      <w:pPr>
        <w:spacing w:after="80" w:before="60" w:line="320"/>
      </w:pPr>
      <w:r>
        <w:rPr>
          <w:rFonts w:ascii="Arial" w:cs="Arial" w:eastAsia="Arial" w:hAnsi="Arial"/>
          <w:color w:val="1A1A2E"/>
          <w:sz w:val="20"/>
          <w:szCs w:val="20"/>
        </w:rPr>
        <w:t xml:space="preserve">BYOK users see a model picker in Settings. The selected model is stored in the user's profile in Supabase, read by the API Gateway on each request, and passed to the OpenClaw config when the sandbox is (re)created. Bundled-key users see Haiku/Sonnet/Opus selection gated by their subscription tier.</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Connections established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Settings Screen (all clients)</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POST /api-keys</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 submit BYOK key for encryption +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Supabase Vault</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Retrieve encrypted key → decrypt in-memory → inject to sandbox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OpenClaw Sandbox</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User's AI Provider API</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from inside microVM — direct with user's key</w:t>
            </w:r>
          </w:p>
        </w:tc>
      </w:tr>
    </w:tbl>
    <w:p>
      <w:pPr>
        <w:spacing w:after="0" w:before="0"/>
      </w:pPr>
      <w:r>
        <w:rPr>
          <w:sz w:val="20"/>
          <w:szCs w:val="20"/>
        </w:rPr>
        <w:t xml:space="preserve"/>
      </w:r>
    </w:p>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600"/>
        <w:gridCol w:w="1200"/>
      </w:tblGrid>
      <w:tr>
        <w:tc>
          <w:tcPr>
            <w:tcW w:type="dxa" w:w="80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P8</w:t>
            </w:r>
          </w:p>
        </w:tc>
        <w:tc>
          <w:tcPr>
            <w:tcW w:type="dxa" w:w="5760"/>
            <w:tcBorders>
              <w:top w:val="none" w:color="FFFFFF" w:sz="0"/>
              <w:left w:val="none" w:color="FFFFFF" w:sz="0"/>
              <w:bottom w:val="none" w:color="FFFFFF" w:sz="0"/>
              <w:right w:val="none" w:color="FFFFFF" w:sz="0"/>
            </w:tcBorders>
            <w:shd w:fill="1E1B4B" w:val="clear"/>
            <w:tcMar>
              <w:top w:type="dxa" w:w="120"/>
              <w:left w:type="dxa" w:w="160"/>
              <w:bottom w:type="dxa" w:w="120"/>
              <w:right w:type="dxa" w:w="120"/>
            </w:tcMar>
          </w:tcPr>
          <w:p>
            <w:r>
              <w:rPr>
                <w:rFonts w:ascii="Arial" w:cs="Arial" w:eastAsia="Arial" w:hAnsi="Arial"/>
                <w:b/>
                <w:bCs/>
                <w:color w:val="FFFFFF"/>
                <w:sz w:val="26"/>
                <w:szCs w:val="26"/>
              </w:rPr>
              <w:t xml:space="preserve">Billing, Credits &amp; Subscriptions</w:t>
            </w:r>
          </w:p>
        </w:tc>
        <w:tc>
          <w:tcPr>
            <w:tcW w:type="dxa" w:w="1600"/>
            <w:tcBorders>
              <w:top w:val="none" w:color="FFFFFF" w:sz="0"/>
              <w:left w:val="none" w:color="FFFFFF" w:sz="0"/>
              <w:bottom w:val="none" w:color="FFFFFF" w:sz="0"/>
              <w:right w:val="none" w:color="FFFFFF" w:sz="0"/>
            </w:tcBorders>
            <w:shd w:fill="1A1A2E" w:val="clear"/>
            <w:tcMar>
              <w:top w:type="dxa" w:w="120"/>
              <w:left w:type="dxa" w:w="100"/>
              <w:bottom w:type="dxa" w:w="120"/>
              <w:right w:type="dxa" w:w="100"/>
            </w:tcMar>
            <w:vAlign w:val="center"/>
          </w:tcPr>
          <w:p>
            <w:pPr>
              <w:jc w:val="center"/>
            </w:pPr>
            <w:r>
              <w:rPr>
                <w:rFonts w:ascii="Arial" w:cs="Arial" w:eastAsia="Arial" w:hAnsi="Arial"/>
                <w:color w:val="C7D2FE"/>
                <w:sz w:val="18"/>
                <w:szCs w:val="18"/>
              </w:rPr>
              <w:t xml:space="preserve">Weeks 9–10</w:t>
            </w:r>
          </w:p>
        </w:tc>
        <w:tc>
          <w:tcPr>
            <w:tcW w:type="dxa" w:w="1200"/>
            <w:tcBorders>
              <w:top w:val="none" w:color="FFFFFF" w:sz="0"/>
              <w:left w:val="none" w:color="FFFFFF" w:sz="0"/>
              <w:bottom w:val="none" w:color="FFFFFF" w:sz="0"/>
              <w:right w:val="none" w:color="FFFFFF" w:sz="0"/>
            </w:tcBorders>
            <w:shd w:fill="FEE2E2" w:val="clear"/>
            <w:tcMar>
              <w:top w:type="dxa" w:w="120"/>
              <w:left w:type="dxa" w:w="100"/>
              <w:bottom w:type="dxa" w:w="120"/>
              <w:right w:type="dxa" w:w="100"/>
            </w:tcMar>
            <w:vAlign w:val="center"/>
          </w:tcPr>
          <w:p>
            <w:pPr>
              <w:jc w:val="center"/>
            </w:pPr>
            <w:r>
              <w:rPr>
                <w:rFonts w:ascii="Arial" w:cs="Arial" w:eastAsia="Arial" w:hAnsi="Arial"/>
                <w:b/>
                <w:bCs/>
                <w:color w:val="991B1B"/>
                <w:sz w:val="17"/>
                <w:szCs w:val="17"/>
              </w:rPr>
              <w:t xml:space="preserve">BYOK &amp; Billing</w:t>
            </w:r>
          </w:p>
        </w:tc>
      </w:tr>
    </w:tbl>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Implement the full monetization system. Mobile apps use RevenueCat + App Store / Play Store. Web users use Stripe directly (no 15-30% platform cut). Credits are a universal currency that abstracts away per-token costs from users.</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3000"/>
        <w:gridCol w:w="2360"/>
      </w:tblGrid>
      <w:tr>
        <w:trPr>
          <w:tblHeader/>
        </w:trPr>
        <w:tc>
          <w:tcPr>
            <w:tcW w:type="dxa" w:w="1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Monthly Price</w:t>
            </w:r>
          </w:p>
        </w:tc>
        <w:tc>
          <w:tcPr>
            <w:tcW w:type="dxa" w:w="1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Credits / Month</w:t>
            </w:r>
          </w:p>
        </w:tc>
        <w:tc>
          <w:tcPr>
            <w:tcW w:type="dxa" w:w="30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Features</w:t>
            </w:r>
          </w:p>
        </w:tc>
        <w:tc>
          <w:tcPr>
            <w:tcW w:type="dxa" w:w="23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Model Access</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Free</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100 credits</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Chat only, no file creation, no code execution</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Haiku only</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Starter</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$9.99</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2,000 credits</w:t>
            </w:r>
          </w:p>
        </w:tc>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All tools, file creation, web browsing, 5 GB storage</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Haiku + Sonnet</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$24.99</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8,000 credits</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Starter + priority queuing, longer context, 20 GB storage</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Haiku + Sonnet</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Power</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$74.99</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30,000 credits</w:t>
            </w:r>
          </w:p>
        </w:tc>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All Pro + Opus access, 100 GB storage, API access (REST)</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All models</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BYOK</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$14.99</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Unlimited</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Bring your own key — pay AI provider directly, no credit limits</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User's choice</w:t>
            </w:r>
          </w:p>
        </w:tc>
      </w:tr>
      <w:tr>
        <w:tc>
          <w:tcPr>
            <w:tcW w:type="dxa" w:w="1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Top-Up</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$4.99 one-time</w:t>
            </w:r>
          </w:p>
        </w:tc>
        <w:tc>
          <w:tcPr>
            <w:tcW w:type="dxa" w:w="1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+1,000 credits</w:t>
            </w:r>
          </w:p>
        </w:tc>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Credit top-up for any tier, no expiry</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Tier-limited</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Credit Cost Per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20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Credits Deducted</w:t>
            </w:r>
          </w:p>
        </w:tc>
        <w:tc>
          <w:tcPr>
            <w:tcW w:type="dxa" w:w="43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Approx. Real Cost</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 Haiku response (avg 500 tokens)</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 credit</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$0.003</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1 Sonnet response (avg 500 tokens)</w:t>
            </w:r>
          </w:p>
        </w:tc>
        <w:tc>
          <w:tcPr>
            <w:tcW w:type="dxa" w:w="2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3 credits</w:t>
            </w:r>
          </w:p>
        </w:tc>
        <w:tc>
          <w:tcPr>
            <w:tcW w:type="dxa" w:w="4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$0.009</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 Opus response (avg 500 tokens)</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15 credits</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$0.045</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Code execution (per 30-second run)</w:t>
            </w:r>
          </w:p>
        </w:tc>
        <w:tc>
          <w:tcPr>
            <w:tcW w:type="dxa" w:w="2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5 credits</w:t>
            </w:r>
          </w:p>
        </w:tc>
        <w:tc>
          <w:tcPr>
            <w:tcW w:type="dxa" w:w="4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$0.050</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Web browse (per page visited)</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 credits</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$0.005</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Web search (per query)</w:t>
            </w:r>
          </w:p>
        </w:tc>
        <w:tc>
          <w:tcPr>
            <w:tcW w:type="dxa" w:w="2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1 credit</w:t>
            </w:r>
          </w:p>
        </w:tc>
        <w:tc>
          <w:tcPr>
            <w:tcW w:type="dxa" w:w="4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$0.003</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File creation (PDF, DOCX, etc.)</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 credits</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$0.010</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RevenueCat Integration (Mobile)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RevenueCat SDK initialized in KMP shared module at app startup</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Paywall screen uses RevenueCat Paywalls SDK for no-code A/B testable paywall UI</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Purchase → RevenueCat validates with App Store / Play Store → sends webhook to API Gateway</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API Gateway webhook handler: verifies RevenueCat signature → updates subscriptions table → grants credits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Subscription status synced on every app foreground event via RevenueCat SDK</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Stripe Integration (Web)</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Stripe Checkout for initial subscription purchase on web</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Stripe Customer Portal for subscription management (upgrade, downgrade, cancel)</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Stripe Webhook → API Gateway: handle subscription.created, subscription.deleted, invoice.paid</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Web subscriptions apply the same credits model as mobile — unified subscriptions table</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Connections established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Mobile App (KMP)</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RevenueCat SDK</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Native SDK — purchase subscription, get entitlements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RevenueCat</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API Gateway /webhooks/revenuecat</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webhook — subscription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Web Dashboard</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Stripe Checkout / Portal</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redirect — Stripe-hosted payment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Stripe</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API Gateway /webhooks/stripe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HTTPS webhook — subscription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
        <w:gridCol w:w="2400"/>
        <w:gridCol w:w="4160"/>
      </w:tblGrid>
      <w:tr>
        <w:tc>
          <w:tcPr>
            <w:tcW w:type="dxa" w:w="24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vAlign w:val="center"/>
          </w:tcPr>
          <w:p>
            <w:pPr>
              <w:jc w:val="center"/>
            </w:pPr>
            <w:r>
              <w:rPr>
                <w:rFonts w:ascii="Arial" w:cs="Arial" w:eastAsia="Arial" w:hAnsi="Arial"/>
                <w:b/>
                <w:bCs/>
                <w:color w:val="4F46E5"/>
                <w:sz w:val="18"/>
                <w:szCs w:val="18"/>
              </w:rPr>
              <w:t xml:space="preserve">API Gateway</w:t>
            </w:r>
          </w:p>
        </w:tc>
        <w:tc>
          <w:tcPr>
            <w:tcW w:type="dxa" w:w="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4748B"/>
                <w:sz w:val="22"/>
                <w:szCs w:val="22"/>
              </w:rPr>
              <w:t xml:space="preserve">→</w:t>
            </w:r>
          </w:p>
        </w:tc>
        <w:tc>
          <w:tcPr>
            <w:tcW w:type="dxa" w:w="2400"/>
            <w:tcBorders>
              <w:top w:val="single" w:color="06B6D4" w:sz="1"/>
              <w:left w:val="single" w:color="06B6D4" w:sz="1"/>
              <w:bottom w:val="single" w:color="06B6D4" w:sz="1"/>
              <w:right w:val="single" w:color="06B6D4" w:sz="1"/>
            </w:tcBorders>
            <w:shd w:fill="ECFEFF" w:val="clear"/>
            <w:tcMar>
              <w:top w:type="dxa" w:w="80"/>
              <w:left w:type="dxa" w:w="120"/>
              <w:bottom w:type="dxa" w:w="80"/>
              <w:right w:type="dxa" w:w="120"/>
            </w:tcMar>
            <w:vAlign w:val="center"/>
          </w:tcPr>
          <w:p>
            <w:pPr>
              <w:jc w:val="center"/>
            </w:pPr>
            <w:r>
              <w:rPr>
                <w:rFonts w:ascii="Arial" w:cs="Arial" w:eastAsia="Arial" w:hAnsi="Arial"/>
                <w:b/>
                <w:bCs/>
                <w:color w:val="0891B2"/>
                <w:sz w:val="18"/>
                <w:szCs w:val="18"/>
              </w:rPr>
              <w:t xml:space="preserve">subscriptions table (Supabase)</w:t>
            </w:r>
          </w:p>
        </w:tc>
        <w:tc>
          <w:tcPr>
            <w:tcW w:type="dxa" w:w="41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Update credits, tier, status on every event</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600"/>
        <w:gridCol w:w="1200"/>
      </w:tblGrid>
      <w:tr>
        <w:tc>
          <w:tcPr>
            <w:tcW w:type="dxa" w:w="80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P9</w:t>
            </w:r>
          </w:p>
        </w:tc>
        <w:tc>
          <w:tcPr>
            <w:tcW w:type="dxa" w:w="5760"/>
            <w:tcBorders>
              <w:top w:val="none" w:color="FFFFFF" w:sz="0"/>
              <w:left w:val="none" w:color="FFFFFF" w:sz="0"/>
              <w:bottom w:val="none" w:color="FFFFFF" w:sz="0"/>
              <w:right w:val="none" w:color="FFFFFF" w:sz="0"/>
            </w:tcBorders>
            <w:shd w:fill="1E1B4B" w:val="clear"/>
            <w:tcMar>
              <w:top w:type="dxa" w:w="120"/>
              <w:left w:type="dxa" w:w="160"/>
              <w:bottom w:type="dxa" w:w="120"/>
              <w:right w:type="dxa" w:w="120"/>
            </w:tcMar>
          </w:tcPr>
          <w:p>
            <w:r>
              <w:rPr>
                <w:rFonts w:ascii="Arial" w:cs="Arial" w:eastAsia="Arial" w:hAnsi="Arial"/>
                <w:b/>
                <w:bCs/>
                <w:color w:val="FFFFFF"/>
                <w:sz w:val="26"/>
                <w:szCs w:val="26"/>
              </w:rPr>
              <w:t xml:space="preserve">Memory, Persistence &amp; File Storage</w:t>
            </w:r>
          </w:p>
        </w:tc>
        <w:tc>
          <w:tcPr>
            <w:tcW w:type="dxa" w:w="1600"/>
            <w:tcBorders>
              <w:top w:val="none" w:color="FFFFFF" w:sz="0"/>
              <w:left w:val="none" w:color="FFFFFF" w:sz="0"/>
              <w:bottom w:val="none" w:color="FFFFFF" w:sz="0"/>
              <w:right w:val="none" w:color="FFFFFF" w:sz="0"/>
            </w:tcBorders>
            <w:shd w:fill="1A1A2E" w:val="clear"/>
            <w:tcMar>
              <w:top w:type="dxa" w:w="120"/>
              <w:left w:type="dxa" w:w="100"/>
              <w:bottom w:type="dxa" w:w="120"/>
              <w:right w:type="dxa" w:w="100"/>
            </w:tcMar>
            <w:vAlign w:val="center"/>
          </w:tcPr>
          <w:p>
            <w:pPr>
              <w:jc w:val="center"/>
            </w:pPr>
            <w:r>
              <w:rPr>
                <w:rFonts w:ascii="Arial" w:cs="Arial" w:eastAsia="Arial" w:hAnsi="Arial"/>
                <w:color w:val="C7D2FE"/>
                <w:sz w:val="18"/>
                <w:szCs w:val="18"/>
              </w:rPr>
              <w:t xml:space="preserve">Weeks 10–11</w:t>
            </w:r>
          </w:p>
        </w:tc>
        <w:tc>
          <w:tcPr>
            <w:tcW w:type="dxa" w:w="1200"/>
            <w:tcBorders>
              <w:top w:val="none" w:color="FFFFFF" w:sz="0"/>
              <w:left w:val="none" w:color="FFFFFF" w:sz="0"/>
              <w:bottom w:val="none" w:color="FFFFFF" w:sz="0"/>
              <w:right w:val="none" w:color="FFFFFF" w:sz="0"/>
            </w:tcBorders>
            <w:shd w:fill="EEF2FF" w:val="clear"/>
            <w:tcMar>
              <w:top w:type="dxa" w:w="120"/>
              <w:left w:type="dxa" w:w="100"/>
              <w:bottom w:type="dxa" w:w="120"/>
              <w:right w:type="dxa" w:w="100"/>
            </w:tcMar>
            <w:vAlign w:val="center"/>
          </w:tcPr>
          <w:p>
            <w:pPr>
              <w:jc w:val="center"/>
            </w:pPr>
            <w:r>
              <w:rPr>
                <w:rFonts w:ascii="Arial" w:cs="Arial" w:eastAsia="Arial" w:hAnsi="Arial"/>
                <w:b/>
                <w:bCs/>
                <w:color w:val="4F46E5"/>
                <w:sz w:val="17"/>
                <w:szCs w:val="17"/>
              </w:rPr>
              <w:t xml:space="preserve">Foundation</w:t>
            </w:r>
          </w:p>
        </w:tc>
      </w:tr>
    </w:tbl>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Make the agent feel like it truly knows the user over time. Cross-conversation memory, persistent file storage, and conversation search complete the product experience.</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Memory Architecture</w:t>
      </w:r>
    </w:p>
    <w:p>
      <w:pPr>
        <w:spacing w:after="80" w:before="60" w:line="320"/>
      </w:pPr>
      <w:r>
        <w:rPr>
          <w:rFonts w:ascii="Arial" w:cs="Arial" w:eastAsia="Arial" w:hAnsi="Arial"/>
          <w:color w:val="1A1A2E"/>
          <w:sz w:val="20"/>
          <w:szCs w:val="20"/>
        </w:rPr>
        <w:t xml:space="preserve">OpenClaw uses Markdown files for memory by default. We extend this with a two-layer approach:</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Short-term: Conversation context injected from messages table (last 20 messages, summarized)</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Long-term: Markdown memory files per user, stored in Supabase Storage, loaded into every new sandbox</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Memory sync: on sandbox pause/destroy, memory files are uploaded to Supabase Storage under user-memory/{user_id}/</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Memory restore: on sandbox create/resume, memory files are downloaded from Supabase and placed in /workspace/memory/</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Memory management UI: Settings screen shows memory stats ("You have 47 facts stored"), allows deletion</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File Storage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User uploads: processed through API Gateway → uploaded to Supabase Storage → mounted read-only in sandbox at /workspace/uploads/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Agent outputs: files created in sandbox /workspace/output/ are uploaded to Supabase Storage after task completion</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Signed URLs: all file access uses signed URLs with 24-hour expiry, regenerated on access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Storage quotas: enforced per subscription tier (5 GB free → 100 GB Power), checked before upload</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Conversation Search</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Full-text search on messages table using PostgreSQL tsvector / GIN index</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Search endpoint: GET /conversations/search?q=query — returns matching conversations + message previews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Search UI on all platforms: search bar in conversation list, highlights matching messages</w:t>
      </w:r>
    </w:p>
    <w:p>
      <w:pPr>
        <w:spacing w:after="0" w:before="0"/>
      </w:pPr>
      <w:r>
        <w:rPr>
          <w:sz w:val="20"/>
          <w:szCs w:val="20"/>
        </w:rPr>
        <w:t xml:space="preserve"/>
      </w:r>
    </w:p>
    <w:p>
      <w:pPr>
        <w:spacing w:after="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600"/>
        <w:gridCol w:w="1200"/>
      </w:tblGrid>
      <w:tr>
        <w:tc>
          <w:tcPr>
            <w:tcW w:type="dxa" w:w="800"/>
            <w:tcBorders>
              <w:top w:val="none" w:color="FFFFFF" w:sz="0"/>
              <w:left w:val="none" w:color="FFFFFF" w:sz="0"/>
              <w:bottom w:val="none" w:color="FFFFFF" w:sz="0"/>
              <w:right w:val="none" w:color="FFFFFF" w:sz="0"/>
            </w:tcBorders>
            <w:shd w:fill="4F46E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P10</w:t>
            </w:r>
          </w:p>
        </w:tc>
        <w:tc>
          <w:tcPr>
            <w:tcW w:type="dxa" w:w="5760"/>
            <w:tcBorders>
              <w:top w:val="none" w:color="FFFFFF" w:sz="0"/>
              <w:left w:val="none" w:color="FFFFFF" w:sz="0"/>
              <w:bottom w:val="none" w:color="FFFFFF" w:sz="0"/>
              <w:right w:val="none" w:color="FFFFFF" w:sz="0"/>
            </w:tcBorders>
            <w:shd w:fill="1E1B4B" w:val="clear"/>
            <w:tcMar>
              <w:top w:type="dxa" w:w="120"/>
              <w:left w:type="dxa" w:w="160"/>
              <w:bottom w:type="dxa" w:w="120"/>
              <w:right w:type="dxa" w:w="120"/>
            </w:tcMar>
          </w:tcPr>
          <w:p>
            <w:r>
              <w:rPr>
                <w:rFonts w:ascii="Arial" w:cs="Arial" w:eastAsia="Arial" w:hAnsi="Arial"/>
                <w:b/>
                <w:bCs/>
                <w:color w:val="FFFFFF"/>
                <w:sz w:val="26"/>
                <w:szCs w:val="26"/>
              </w:rPr>
              <w:t xml:space="preserve">Polish, Testing &amp; Launch</w:t>
            </w:r>
          </w:p>
        </w:tc>
        <w:tc>
          <w:tcPr>
            <w:tcW w:type="dxa" w:w="1600"/>
            <w:tcBorders>
              <w:top w:val="none" w:color="FFFFFF" w:sz="0"/>
              <w:left w:val="none" w:color="FFFFFF" w:sz="0"/>
              <w:bottom w:val="none" w:color="FFFFFF" w:sz="0"/>
              <w:right w:val="none" w:color="FFFFFF" w:sz="0"/>
            </w:tcBorders>
            <w:shd w:fill="1A1A2E" w:val="clear"/>
            <w:tcMar>
              <w:top w:type="dxa" w:w="120"/>
              <w:left w:type="dxa" w:w="100"/>
              <w:bottom w:type="dxa" w:w="120"/>
              <w:right w:type="dxa" w:w="100"/>
            </w:tcMar>
            <w:vAlign w:val="center"/>
          </w:tcPr>
          <w:p>
            <w:pPr>
              <w:jc w:val="center"/>
            </w:pPr>
            <w:r>
              <w:rPr>
                <w:rFonts w:ascii="Arial" w:cs="Arial" w:eastAsia="Arial" w:hAnsi="Arial"/>
                <w:color w:val="C7D2FE"/>
                <w:sz w:val="18"/>
                <w:szCs w:val="18"/>
              </w:rPr>
              <w:t xml:space="preserve">Weeks 12–14</w:t>
            </w:r>
          </w:p>
        </w:tc>
        <w:tc>
          <w:tcPr>
            <w:tcW w:type="dxa" w:w="1200"/>
            <w:tcBorders>
              <w:top w:val="none" w:color="FFFFFF" w:sz="0"/>
              <w:left w:val="none" w:color="FFFFFF" w:sz="0"/>
              <w:bottom w:val="none" w:color="FFFFFF" w:sz="0"/>
              <w:right w:val="none" w:color="FFFFFF" w:sz="0"/>
            </w:tcBorders>
            <w:shd w:fill="ECFDF5" w:val="clear"/>
            <w:tcMar>
              <w:top w:type="dxa" w:w="120"/>
              <w:left w:type="dxa" w:w="100"/>
              <w:bottom w:type="dxa" w:w="120"/>
              <w:right w:type="dxa" w:w="100"/>
            </w:tcMar>
            <w:vAlign w:val="center"/>
          </w:tcPr>
          <w:p>
            <w:pPr>
              <w:jc w:val="center"/>
            </w:pPr>
            <w:r>
              <w:rPr>
                <w:rFonts w:ascii="Arial" w:cs="Arial" w:eastAsia="Arial" w:hAnsi="Arial"/>
                <w:b/>
                <w:bCs/>
                <w:color w:val="065F46"/>
                <w:sz w:val="17"/>
                <w:szCs w:val="17"/>
              </w:rPr>
              <w:t xml:space="preserve">Polish &amp; Launch</w:t>
            </w:r>
          </w:p>
        </w:tc>
      </w:tr>
    </w:tbl>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Testing Checklist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Unit tests: all shared KMP repository functions (mocked API), all API Gateway endpoints (pytest)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Integration tests: full message → agent → tool → response flow in test E2B sandbox</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E2E mobile tests: Maestro scripts for critical paths (onboarding, send message, BYOK, subscribe)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E2E web tests: Playwright for web dashboard critical paths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Load testing: simulate 100 concurrent users with k6, verify sandbox scaling and API rate limits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Security: penetration test sandbox isolation, verify user A cannot access user B's sandbox or files</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App Store Submission</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App Store (iOS): screenshots for all device sizes, privacy manifest (required iOS 17+), App Privacy labels, review notes explaining agent capabilities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Google Play: screenshots, content rating questionnaire, data safety form, 7-day pre-launch report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Both stores: demo video showing agent running code, browsing web, creating a file</w:t>
      </w:r>
    </w:p>
    <w:p>
      <w:pPr>
        <w:spacing w:after="0" w:before="0"/>
      </w:pPr>
      <w:r>
        <w:rPr>
          <w:sz w:val="20"/>
          <w:szCs w:val="20"/>
        </w:rPr>
        <w:t xml:space="preserve"/>
      </w:r>
    </w:p>
    <w:p>
      <w:pPr>
        <w:pStyle w:val="Heading3"/>
        <w:spacing w:after="80" w:before="200"/>
      </w:pPr>
      <w:r>
        <w:rPr>
          <w:rFonts w:ascii="Arial" w:cs="Arial" w:eastAsia="Arial" w:hAnsi="Arial"/>
          <w:b/>
          <w:bCs/>
          <w:color w:val="1A1A2E"/>
          <w:sz w:val="24"/>
          <w:szCs w:val="24"/>
        </w:rPr>
        <w:t xml:space="preserve">Launch Infrastructure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Vercel: web dashboard deployed with custom domain, edge functions for performance</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Railway: API Gateway with auto-scaling workers (min 2, max 20 instances based on CPU)</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E2B: pro plan for 100+ concurrent sandboxes, set up alerts for sandbox errors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Supabase: enable point-in-time recovery, connection pooling (PgBouncer), row-level security audit</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Sentry: error tracking for API Gateway, crash reporting for Android and iOS apps</w:t>
      </w:r>
    </w:p>
    <w:p>
      <w:pPr>
        <w:pStyle w:val="ListParagraph"/>
        <w:numPr>
          <w:ilvl w:val="0"/>
          <w:numId w:val="2"/>
        </w:numPr>
        <w:spacing w:after="40" w:before="40"/>
      </w:pPr>
      <w:r>
        <w:rPr>
          <w:rFonts w:ascii="Arial" w:cs="Arial" w:eastAsia="Arial" w:hAnsi="Arial"/>
          <w:b/>
          <w:bCs/>
          <w:color w:val="4F46E5"/>
          <w:sz w:val="20"/>
          <w:szCs w:val="20"/>
        </w:rPr>
        <w:t xml:space="preserve">→  </w:t>
      </w:r>
      <w:r>
        <w:rPr>
          <w:rFonts w:ascii="Arial" w:cs="Arial" w:eastAsia="Arial" w:hAnsi="Arial"/>
          <w:color w:val="1A1A2E"/>
          <w:sz w:val="20"/>
          <w:szCs w:val="20"/>
        </w:rPr>
        <w:t xml:space="preserve">PostHog: product analytics — track conversation starts, tool calls, conversion funnel, credit consumption</w:t>
      </w:r>
    </w:p>
    <w:p>
      <w:pPr>
        <w:spacing w:after="0" w:before="0"/>
      </w:pPr>
      <w:r>
        <w:rPr>
          <w:sz w:val="20"/>
          <w:szCs w:val="20"/>
        </w:rPr>
        <w:t xml:space="preserve"/>
      </w:r>
    </w:p>
    <w:p>
      <w:pPr>
        <w:spacing w:after="0" w:before="0"/>
      </w:pPr>
      <w:r>
        <w:rPr>
          <w:sz w:val="20"/>
          <w:szCs w:val="20"/>
        </w:rPr>
        <w:t xml:space="preserve"/>
      </w:r>
    </w:p>
    <w:p>
      <w:r>
        <w:br w:type="page"/>
      </w:r>
    </w:p>
    <w:p>
      <w:pPr>
        <w:pStyle w:val="Heading1"/>
        <w:spacing w:after="160" w:before="360"/>
      </w:pPr>
      <w:r>
        <w:rPr>
          <w:rFonts w:ascii="Arial" w:cs="Arial" w:eastAsia="Arial" w:hAnsi="Arial"/>
          <w:b/>
          <w:bCs/>
          <w:color w:val="1E1B4B"/>
          <w:sz w:val="36"/>
          <w:szCs w:val="36"/>
        </w:rPr>
        <w:t xml:space="preserve">3.  Complete Tech Stack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tblHeader/>
        </w:trPr>
        <w:tc>
          <w:tcPr>
            <w:tcW w:type="dxa" w:w="1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Est. Monthly Cost</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Mobile (Android)</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Kotlin + Jetpack Compose</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Native Android UI</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Mobile (iOS)</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Kotlin/Native + SwiftUI</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Native iOS UI via KMP interop</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 (+ $99/yr Apple Dev)</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Shared Logic</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Kotlin Multiplatform + Ktor</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Business logic, API client, SSE parser</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Web Frontend</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Next.js 15 + Tailwind CSS</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Web dashboard UI</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$0–$20 (Vercel hobby)</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API Gateway</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FastAPI (Python 3.12)</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Backend API, streaming, orchestration</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 (Railway starter)</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Agent Engine</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OpenClaw (MIT)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AI agent framework inside sandboxes</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Sandboxes</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E2B (Firecracker microVMs)</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Isolated per-user execution environments</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$150+ (usage-based)</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AI Model (bundled)</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Anthropic Claude API</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Haiku / Sonnet / Opus</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$2–30 per active user/mo</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Database + Auth</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Supabase (PostgreSQL)</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data, user auth, RLS, file storage</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$0–25 (Pro plan)</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Secret Management</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Supabase Vault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Encrypted BYOK key storage</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Included in Supabase</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File Storage</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Supabase Storage</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Agent output files, user uploads, memory</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$0.021/GB/mo</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Mobile Subscriptions</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RevenueCat</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In-app purchase management, A/B paywalls</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 under $2.5k MRR</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Web Subscriptions</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Stripe</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Web subscription billing, invoicing</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2.9% + $0.30/transaction</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Monitoring</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Sentry + PostHog</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Error tracking + product analytics</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$0–26</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Search (agent)</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Brave Search API / SerpAPI</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Web search tool for agent</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$3–9/mo for 1k queries</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CI/CD</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GitHub Actions</w:t>
            </w:r>
          </w:p>
        </w:tc>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Tests, builds, deploy on merge</w:t>
            </w:r>
          </w:p>
        </w:tc>
        <w:tc>
          <w:tcPr>
            <w:tcW w:type="dxa" w:w="2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 (public) / $4 (private)</w:t>
            </w:r>
          </w:p>
        </w:tc>
      </w:tr>
    </w:tbl>
    <w:p>
      <w:pPr>
        <w:spacing w:after="0" w:before="0"/>
      </w:pPr>
      <w:r>
        <w:rPr>
          <w:sz w:val="20"/>
          <w:szCs w:val="20"/>
        </w:rPr>
        <w:t xml:space="preserve"/>
      </w:r>
    </w:p>
    <w:p>
      <w:pPr>
        <w:spacing w:after="0" w:before="0"/>
      </w:pPr>
      <w:r>
        <w:rPr>
          <w:sz w:val="20"/>
          <w:szCs w:val="20"/>
        </w:rPr>
        <w:t xml:space="preserve"/>
      </w:r>
    </w:p>
    <w:p>
      <w:r>
        <w:br w:type="page"/>
      </w:r>
    </w:p>
    <w:p>
      <w:pPr>
        <w:pStyle w:val="Heading1"/>
        <w:spacing w:after="160" w:before="360"/>
      </w:pPr>
      <w:r>
        <w:rPr>
          <w:rFonts w:ascii="Arial" w:cs="Arial" w:eastAsia="Arial" w:hAnsi="Arial"/>
          <w:b/>
          <w:bCs/>
          <w:color w:val="1E1B4B"/>
          <w:sz w:val="36"/>
          <w:szCs w:val="36"/>
        </w:rPr>
        <w:t xml:space="preserve">4.  Unit Economics &amp; Cost Model</w:t>
      </w:r>
    </w:p>
    <w:p>
      <w:pPr>
        <w:pStyle w:val="Heading2"/>
        <w:pBdr>
          <w:bottom w:val="single" w:color="4F46E5" w:sz="4" w:space="4"/>
        </w:pBdr>
        <w:spacing w:after="120" w:before="280"/>
      </w:pPr>
      <w:r>
        <w:rPr>
          <w:rFonts w:ascii="Arial" w:cs="Arial" w:eastAsia="Arial" w:hAnsi="Arial"/>
          <w:b/>
          <w:bCs/>
          <w:color w:val="4F46E5"/>
          <w:sz w:val="28"/>
          <w:szCs w:val="28"/>
        </w:rPr>
        <w:t xml:space="preserve">Cost Per User Per Month (Starter Tier, $9.99)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Cost Item</w:t>
            </w:r>
          </w:p>
        </w:tc>
        <w:tc>
          <w:tcPr>
            <w:tcW w:type="dxa" w:w="3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Assumption</w:t>
            </w:r>
          </w:p>
        </w:tc>
        <w:tc>
          <w:tcPr>
            <w:tcW w:type="dxa" w:w="27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Monthly Cost/User</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Claude Haiku (80% of calls)</w:t>
            </w:r>
          </w:p>
        </w:tc>
        <w:tc>
          <w:tcPr>
            <w:tcW w:type="dxa" w:w="3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200 avg calls × 600 tokens avg × $1/M input + $5/M output</w:t>
            </w:r>
          </w:p>
        </w:tc>
        <w:tc>
          <w:tcPr>
            <w:tcW w:type="dxa" w:w="2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$0.84</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Claude Sonnet (18% of calls)</w:t>
            </w:r>
          </w:p>
        </w:tc>
        <w:tc>
          <w:tcPr>
            <w:tcW w:type="dxa" w:w="3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45 calls × 600 tokens × $3/M input + $15/M output</w:t>
            </w:r>
          </w:p>
        </w:tc>
        <w:tc>
          <w:tcPr>
            <w:tcW w:type="dxa" w:w="27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$0.54</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E2B sandbox compute</w:t>
            </w:r>
          </w:p>
        </w:tc>
        <w:tc>
          <w:tcPr>
            <w:tcW w:type="dxa" w:w="3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20 active sessions × 5 min × $0.000028/sec</w:t>
            </w:r>
          </w:p>
        </w:tc>
        <w:tc>
          <w:tcPr>
            <w:tcW w:type="dxa" w:w="2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$0.17</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Supabase storage + DB</w:t>
            </w:r>
          </w:p>
        </w:tc>
        <w:tc>
          <w:tcPr>
            <w:tcW w:type="dxa" w:w="3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Allocated per user (100 MB storage avg)</w:t>
            </w:r>
          </w:p>
        </w:tc>
        <w:tc>
          <w:tcPr>
            <w:tcW w:type="dxa" w:w="27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$0.12</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API Gateway infra (Railway)</w:t>
            </w:r>
          </w:p>
        </w:tc>
        <w:tc>
          <w:tcPr>
            <w:tcW w:type="dxa" w:w="3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Allocated per user</w:t>
            </w:r>
          </w:p>
        </w:tc>
        <w:tc>
          <w:tcPr>
            <w:tcW w:type="dxa" w:w="2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$0.15</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Total COGS</w:t>
            </w:r>
          </w:p>
        </w:tc>
        <w:tc>
          <w:tcPr>
            <w:tcW w:type="dxa" w:w="3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
            </w:r>
          </w:p>
        </w:tc>
        <w:tc>
          <w:tcPr>
            <w:tcW w:type="dxa" w:w="27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$1.82</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Revenue (after Apple 30% cut)</w:t>
            </w:r>
          </w:p>
        </w:tc>
        <w:tc>
          <w:tcPr>
            <w:tcW w:type="dxa" w:w="3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$9.99 × 0.70 = $6.99</w:t>
            </w:r>
          </w:p>
        </w:tc>
        <w:tc>
          <w:tcPr>
            <w:tcW w:type="dxa" w:w="2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$6.99</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Gross Margin</w:t>
            </w:r>
          </w:p>
        </w:tc>
        <w:tc>
          <w:tcPr>
            <w:tcW w:type="dxa" w:w="38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
            </w:r>
          </w:p>
        </w:tc>
        <w:tc>
          <w:tcPr>
            <w:tcW w:type="dxa" w:w="27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$5.17 (74%)</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Web user (same plan, Stripe 3%)</w:t>
            </w:r>
          </w:p>
        </w:tc>
        <w:tc>
          <w:tcPr>
            <w:tcW w:type="dxa" w:w="3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$9.99 × 0.97 = $9.69 revenue</w:t>
            </w:r>
          </w:p>
        </w:tc>
        <w:tc>
          <w:tcPr>
            <w:tcW w:type="dxa" w:w="2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$7.87 margin (81%)</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4F46E5" w:sz="1"/>
              <w:left w:val="single" w:color="4F46E5" w:sz="1"/>
              <w:bottom w:val="single" w:color="4F46E5" w:sz="1"/>
              <w:right w:val="single" w:color="4F46E5" w:sz="1"/>
            </w:tcBorders>
            <w:shd w:fill="4F46E5"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Insight</w:t>
            </w:r>
          </w:p>
        </w:tc>
        <w:tc>
          <w:tcPr>
            <w:tcW w:type="dxa" w:w="7960"/>
            <w:tcBorders>
              <w:top w:val="single" w:color="4F46E5" w:sz="1"/>
              <w:left w:val="single" w:color="4F46E5" w:sz="1"/>
              <w:bottom w:val="single" w:color="4F46E5" w:sz="1"/>
              <w:right w:val="single" w:color="4F46E5" w:sz="1"/>
            </w:tcBorders>
            <w:shd w:fill="EEF2FF" w:val="clear"/>
            <w:tcMar>
              <w:top w:type="dxa" w:w="100"/>
              <w:left w:type="dxa" w:w="160"/>
              <w:bottom w:type="dxa" w:w="100"/>
              <w:right w:type="dxa" w:w="120"/>
            </w:tcMar>
          </w:tcPr>
          <w:p>
            <w:r>
              <w:rPr>
                <w:rFonts w:ascii="Arial" w:cs="Arial" w:eastAsia="Arial" w:hAnsi="Arial"/>
                <w:color w:val="1A1A2E"/>
                <w:sz w:val="20"/>
                <w:szCs w:val="20"/>
              </w:rPr>
              <w:t xml:space="preserve">Prompt caching reduces repeated context costs by 90%. Enable Anthropic prompt caching on the system prompt + conversation history on every request. This alone cuts LLM cost by ~50% for active users.</w:t>
            </w:r>
          </w:p>
        </w:tc>
      </w:tr>
    </w:tbl>
    <w:p>
      <w:pPr>
        <w:spacing w:after="0" w:before="0"/>
      </w:pPr>
      <w:r>
        <w:rPr>
          <w:sz w:val="20"/>
          <w:szCs w:val="20"/>
        </w:rPr>
        <w:t xml:space="preserve"/>
      </w:r>
    </w:p>
    <w:p>
      <w:pPr>
        <w:spacing w:after="0" w:before="0"/>
      </w:pPr>
      <w:r>
        <w:rPr>
          <w:sz w:val="20"/>
          <w:szCs w:val="20"/>
        </w:rPr>
        <w:t xml:space="preserve"/>
      </w:r>
    </w:p>
    <w:p>
      <w:pPr>
        <w:pStyle w:val="Heading1"/>
        <w:spacing w:after="160" w:before="360"/>
      </w:pPr>
      <w:r>
        <w:rPr>
          <w:rFonts w:ascii="Arial" w:cs="Arial" w:eastAsia="Arial" w:hAnsi="Arial"/>
          <w:b/>
          <w:bCs/>
          <w:color w:val="1E1B4B"/>
          <w:sz w:val="36"/>
          <w:szCs w:val="36"/>
        </w:rPr>
        <w:t xml:space="preserve">5.  14-Week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4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3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P1: Backend Foundation</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Supabase DB, Railway FastAPI, auth middleware, CRUD endpoints working</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P1–P2</w:t>
            </w:r>
          </w:p>
        </w:tc>
        <w:tc>
          <w:tcPr>
            <w:tcW w:type="dxa" w:w="6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Claude API integrated, SSE streaming tested end-to-end via curl</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P2–P3</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KMP project setup, shared module built, Android app chatting with backend</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4</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P3</w:t>
            </w:r>
          </w:p>
        </w:tc>
        <w:tc>
          <w:tcPr>
            <w:tcW w:type="dxa" w:w="6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iOS app functional, streaming UI on both platforms, conversation persistence</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P3–P4</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E2B integration, first OpenClaw sandbox created and receiving messages</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6</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P4–P5</w:t>
            </w:r>
          </w:p>
        </w:tc>
        <w:tc>
          <w:tcPr>
            <w:tcW w:type="dxa" w:w="6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Code execution tool working, agent can write and run Python scripts</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7</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P5</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Web browse, web search, file creation tools all working end-to-end</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8</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P6</w:t>
            </w:r>
          </w:p>
        </w:tc>
        <w:tc>
          <w:tcPr>
            <w:tcW w:type="dxa" w:w="6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Next.js web dashboard with full chat parity, Supabase auth on web</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9</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P7</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BYOK flow complete: key encryption, vault storage, multi-provider support</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10</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P8</w:t>
            </w:r>
          </w:p>
        </w:tc>
        <w:tc>
          <w:tcPr>
            <w:tcW w:type="dxa" w:w="6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RevenueCat + Stripe integrated, subscription tiers enforced, credit gates working</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11</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P9</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Memory persistence cross-conversation, file storage, conversation search</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12</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P10: Testing</w:t>
            </w:r>
          </w:p>
        </w:tc>
        <w:tc>
          <w:tcPr>
            <w:tcW w:type="dxa" w:w="6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All unit + integration + E2E tests written and passing, load test done</w:t>
            </w:r>
          </w:p>
        </w:tc>
      </w:tr>
      <w:tr>
        <w:tc>
          <w:tcPr>
            <w:tcW w:type="dxa" w:w="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13</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P10: Beta</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TestFlight + Google Play internal track live, 50 beta users, feedback incorporated</w:t>
            </w:r>
          </w:p>
        </w:tc>
      </w:tr>
      <w:tr>
        <w:tc>
          <w:tcPr>
            <w:tcW w:type="dxa" w:w="6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14</w:t>
            </w:r>
          </w:p>
        </w:tc>
        <w:tc>
          <w:tcPr>
            <w:tcW w:type="dxa" w:w="24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P10: Launch</w:t>
            </w:r>
          </w:p>
        </w:tc>
        <w:tc>
          <w:tcPr>
            <w:tcW w:type="dxa" w:w="63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App Store + Play Store public launch, web app live, Product Hunt launch</w:t>
            </w:r>
          </w:p>
        </w:tc>
      </w:tr>
    </w:tbl>
    <w:p>
      <w:pPr>
        <w:spacing w:after="0" w:before="0"/>
      </w:pPr>
      <w:r>
        <w:rPr>
          <w:sz w:val="20"/>
          <w:szCs w:val="20"/>
        </w:rPr>
        <w:t xml:space="preserve"/>
      </w:r>
    </w:p>
    <w:p>
      <w:pPr>
        <w:spacing w:after="0" w:before="0"/>
      </w:pPr>
      <w:r>
        <w:rPr>
          <w:sz w:val="20"/>
          <w:szCs w:val="20"/>
        </w:rPr>
        <w:t xml:space="preserve"/>
      </w:r>
    </w:p>
    <w:p>
      <w:r>
        <w:br w:type="page"/>
      </w:r>
    </w:p>
    <w:p>
      <w:pPr>
        <w:pStyle w:val="Heading1"/>
        <w:spacing w:after="160" w:before="360"/>
      </w:pPr>
      <w:r>
        <w:rPr>
          <w:rFonts w:ascii="Arial" w:cs="Arial" w:eastAsia="Arial" w:hAnsi="Arial"/>
          <w:b/>
          <w:bCs/>
          <w:color w:val="1E1B4B"/>
          <w:sz w:val="36"/>
          <w:szCs w:val="36"/>
        </w:rPr>
        <w:t xml:space="preserve">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rPr>
          <w:tblHeader/>
        </w:trPr>
        <w:tc>
          <w:tcPr>
            <w:tcW w:type="dxa" w:w="2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0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9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52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E2B sandbox cold start too slow (&gt;5 sec)</w:t>
            </w:r>
          </w:p>
        </w:tc>
        <w:tc>
          <w:tcPr>
            <w:tcW w:type="dxa" w:w="1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52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Keep sandboxes warm for active users. Pre-warm on login. Show progress indicator.</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Anthropic API costs exceed revenue at scale</w:t>
            </w:r>
          </w:p>
        </w:tc>
        <w:tc>
          <w:tcPr>
            <w:tcW w:type="dxa" w:w="1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9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52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Aggressive model routing (80% Haiku). Prompt caching. Hard credit gates. BYOK tier.</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App Store rejection (agent executes code)</w:t>
            </w:r>
          </w:p>
        </w:tc>
        <w:tc>
          <w:tcPr>
            <w:tcW w:type="dxa" w:w="1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52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Execution happens server-side. App is UI only. Review notes will clarify. Precedent: similar apps approved.</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User isoloation breach (sandbox escape)</w:t>
            </w:r>
          </w:p>
        </w:tc>
        <w:tc>
          <w:tcPr>
            <w:tcW w:type="dxa" w:w="1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Low</w:t>
            </w:r>
          </w:p>
        </w:tc>
        <w:tc>
          <w:tcPr>
            <w:tcW w:type="dxa" w:w="9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Critical</w:t>
            </w:r>
          </w:p>
        </w:tc>
        <w:tc>
          <w:tcPr>
            <w:tcW w:type="dxa" w:w="52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E2B uses Firecracker (used in AWS Lambda). Each user gets separate microVM. Network policy blocks inter-VM traffic.</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OpenClaw project abandoned/licensed change</w:t>
            </w:r>
          </w:p>
        </w:tc>
        <w:tc>
          <w:tcPr>
            <w:tcW w:type="dxa" w:w="1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52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MIT license means we can fork. The codebase is stable. Internal fork is fallback.</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BYOK key stored insecurely</w:t>
            </w:r>
          </w:p>
        </w:tc>
        <w:tc>
          <w:tcPr>
            <w:tcW w:type="dxa" w:w="10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Low</w:t>
            </w:r>
          </w:p>
        </w:tc>
        <w:tc>
          <w:tcPr>
            <w:tcW w:type="dxa" w:w="90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Critical</w:t>
            </w:r>
          </w:p>
        </w:tc>
        <w:tc>
          <w:tcPr>
            <w:tcW w:type="dxa" w:w="526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1A1A2E"/>
                <w:sz w:val="18"/>
                <w:szCs w:val="18"/>
              </w:rPr>
              <w:t xml:space="preserve">AES-256-GCM encryption in Supabase Vault. Key never logged. Regular security audits.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Stripe/RevenueCat compliance issues</w:t>
            </w:r>
          </w:p>
        </w:tc>
        <w:tc>
          <w:tcPr>
            <w:tcW w:type="dxa" w:w="1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9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52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Follow Stripe prohibited items policy. No financial advice in agent system prompt. Proactive disclosure.</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Ready to Build</w:t>
            </w:r>
          </w:p>
        </w:tc>
      </w:tr>
    </w:tbl>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This plan covers every component, every connection, and every decision needed to build a production-grade QuickClaw competitor. The architecture is designed to be lean at launch (single Railway dyno, E2B hobby plan, Supabase free tier) and scale horizontally as users grow. Start with Phase 1 and do not skip the go/no-go criteria between phases — they prevent technical debt from compounding.</w:t>
      </w:r>
    </w:p>
    <w:p>
      <w:pPr>
        <w:spacing w:after="0" w:before="0"/>
      </w:pPr>
      <w:r>
        <w:rPr>
          <w:sz w:val="20"/>
          <w:szCs w:val="20"/>
        </w:rPr>
        <w:t xml:space="preserve"/>
      </w:r>
    </w:p>
    <w:p>
      <w:pPr>
        <w:spacing w:after="80" w:before="60" w:line="320"/>
      </w:pPr>
      <w:r>
        <w:rPr>
          <w:rFonts w:ascii="Arial" w:cs="Arial" w:eastAsia="Arial" w:hAnsi="Arial"/>
          <w:color w:val="1A1A2E"/>
          <w:sz w:val="20"/>
          <w:szCs w:val="20"/>
        </w:rPr>
        <w:t xml:space="preserve">Total estimated time to MVP (P1–P5): 7 weeks. Total to production launch: 14 weeks.</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6"/>
      </w:pBdr>
    </w:pPr>
    <w:r>
      <w:rPr>
        <w:rFonts w:ascii="Arial" w:cs="Arial" w:eastAsia="Arial" w:hAnsi="Arial"/>
        <w:color w:val="64748B"/>
        <w:sz w:val="18"/>
        <w:szCs w:val="18"/>
      </w:rPr>
      <w:t xml:space="preserve">QuickClaw Clone — Architecture &amp; Build Plan</w:t>
    </w:r>
    <w:r>
      <w:rPr>
        <w:rFonts w:ascii="Arial" w:cs="Arial" w:eastAsia="Arial" w:hAnsi="Arial"/>
        <w:sz w:val="18"/>
        <w:szCs w:val="18"/>
      </w:rPr>
      <w:t xml:space="preserve">        </w:t>
    </w:r>
    <w:r>
      <w:rPr>
        <w:rFonts w:ascii="Arial" w:cs="Arial" w:eastAsia="Arial" w:hAnsi="Arial"/>
        <w:b/>
        <w:bCs/>
        <w:color w:val="4F46E5"/>
        <w:sz w:val="18"/>
        <w:szCs w:val="18"/>
      </w:rPr>
      <w:t xml:space="preserve">CONFIDENTIAL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360" w:hanging="360"/>
      </w:pPr>
    </w:lvl>
    <w:lvl w:ilvl="1" w15:tentative="1">
      <w:start w:val="1"/>
      <w:numFmt w:val="bullet"/>
      <w:lvlJc w:val="left"/>
      <w:pPr>
        <w:ind w:left="720" w:hanging="3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F46E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2026-03-09T00:38:53.606Z</dcterms:created>
  <dcterms:modified xsi:type="dcterms:W3CDTF">2026-03-09T00:38:53.609Z</dcterms:modified>
</cp:coreProperties>
</file>

<file path=docProps/custom.xml><?xml version="1.0" encoding="utf-8"?>
<Properties xmlns="http://schemas.openxmlformats.org/officeDocument/2006/custom-properties" xmlns:vt="http://schemas.openxmlformats.org/officeDocument/2006/docPropsVTypes"/>
</file>