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→ 축 A = 1인칭, 이하 문형 "나는~".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답해주실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(없음)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□ ⑤ 직접 입력 → </w:t>
      </w:r>
      <w:r>
        <w:rPr>
          <w:color w:val="1A1A1A"/>
          <w:sz w:val="20"/>
        </w:rPr>
        <w:t>(세션 2 질문)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일화: 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  <w:r>
        <w:rPr>
          <w:b w:val="0"/>
          <w:color w:val="1A1A1A"/>
          <w:sz w:val="20"/>
        </w:rPr>
        <w:t xml:space="preserve"> (최대 2)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 (세션 2)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연도□ 연도+월□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 (세션 3)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