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IS-00 基盤・正データ構築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正本・対象資産・受け渡し方式・Sheets正データ・GAS共通基盤を一工程で固定し、後続実装の前提を完成させる。</w:t>
      </w:r>
    </w:p>
    <w:p>
      <w:pPr>
        <w:pStyle w:val="Heading2"/>
        <w:spacing w:before="160" w:after="80"/>
      </w:pPr>
      <w:r>
        <w:t>2.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v1.7正本4点とクロスレビュー確定事項mdを固定し、対象GAS/Sheets/Drive/Obsidian Vault/ローカル作業フォルダをREADMEへ記録する。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受け渡しPoCを行う。対象は「Work→Obsidian」「ChatGPT Project→Obsidian読取」「ChatGPT Project→Sheets読取」「Project分析結果→週間画面」。再現不能なら後続へ進まない。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Sheets正データを構築する。最低限、タスクID、対象週、タスク名/案件名、種別、曜日、状態5値、優先度、重点、実施結果、メモ、次回申し送り、例外情報、AI案件現在地、履歴を持つ。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GAS共通基盤を作る。doGet、共通初期化、週間タスク/朝ブリーフ2画面、タブ移動、共通CSS/JS、エラー枠、本人利用範囲を実装する。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PC/スマホで2画面枠を確認する。</w:t>
      </w:r>
    </w:p>
    <w:p>
      <w:pPr>
        <w:pStyle w:val="Heading2"/>
        <w:spacing w:before="160" w:after="80"/>
      </w:pPr>
      <w:r>
        <w:t>3. 禁止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状態とは別に完了/未完了・持越し等の重複フラグを作らない。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受け渡し方式が未成立のまま後続画面実装へ進まない。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古いv1.5/v1.6を実装根拠にしない。</w:t>
      </w:r>
    </w:p>
    <w:p>
      <w:pPr>
        <w:pStyle w:val="Heading2"/>
        <w:spacing w:before="160" w:after="80"/>
      </w:pPr>
      <w:r>
        <w:t>4.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受け渡し4経路が再現可能。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Sheets実表とDB_SCHEMAが一致し、状態5値と履歴が保存/再読込できる。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2画面がPC/スマホで表示・遷移できる。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IS-00_基盤・正データ構築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