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>
      <w:r>
        <w:br w:type="page"/>
      </w:r>
    </w:p>
    <w:p>
      <w:pPr>
        <w:keepNext/>
        <w:spacing w:before="160" w:after="10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8"/>
          <w:szCs w:val="28"/>
        </w:rPr>
        <w:t xml:space="preserve">1. 航空行李托运费计算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（1）问题分析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24"/>
          <w:szCs w:val="24"/>
        </w:rPr>
        <w:t xml:space="preserve">输入行李重量、舱位、是否外国乘客和是否残疾乘客。重量小于0时输入无效；重量不超过20kg时免费；超过20kg时，先按头等舱6元/kg、公务舱8元/kg、经济舱10元/kg确定基准费率。外国乘客的费率乘1.5，残疾乘客的费率乘0.5，最后计算超重部分费用。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（2）程序流程图</w:t>
      </w:r>
    </w:p>
    <w:p>
      <w:pPr>
        <w:keepNext/>
        <w:spacing w:before="80" w:after="30"/>
        <w:ind w:firstLine="0"/>
        <w:jc w:val="center"/>
      </w:pPr>
      <w:r>
        <w:drawing>
          <wp:inline distT="0" distB="0" distL="0" distR="0">
            <wp:extent cx="4392000" cy="5307000"/>
            <wp:effectExtent l="0" t="0" r="0" b="0"/>
            <wp:docPr id="101" name="行李托运费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行李托运费流程图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3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140" w:line="360" w:lineRule="auto"/>
        <w:ind w:firstLine="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图1  航空行李托运费计算流程图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（3）判定表</w:t>
      </w:r>
    </w:p>
    <w:p>
      <w:pPr>
        <w:spacing w:before="4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"/>
          <w:szCs w:val=""/>
        </w:rPr>
        <w:t xml:space="preserve">重量和舱位是决定收费方式的主要条件；国籍和残疾状态作为费率调整条件。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00"/>
        <w:gridCol w:w="1280"/>
        <w:gridCol w:w="1280"/>
        <w:gridCol w:w="1280"/>
        <w:gridCol w:w="1280"/>
        <w:gridCol w:w="1280"/>
      </w:tblGrid>
      <w:tr>
        <w:trPr>
          <w:cantSplit/>
          <w:tblHeader/>
        </w:trPr>
        <w:tc>
          <w:tcPr>
            <w:tcW w:w="19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条件/动作</w:t>
            </w:r>
          </w:p>
        </w:tc>
        <w:tc>
          <w:tcPr>
            <w:tcW w:w="128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R1</w:t>
            </w:r>
          </w:p>
        </w:tc>
        <w:tc>
          <w:tcPr>
            <w:tcW w:w="128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R2</w:t>
            </w:r>
          </w:p>
        </w:tc>
        <w:tc>
          <w:tcPr>
            <w:tcW w:w="128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R3</w:t>
            </w:r>
          </w:p>
        </w:tc>
        <w:tc>
          <w:tcPr>
            <w:tcW w:w="128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R4</w:t>
            </w:r>
          </w:p>
        </w:tc>
        <w:tc>
          <w:tcPr>
            <w:tcW w:w="128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R5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重量小于0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Y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重量不超过20kg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—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Y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N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舱位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—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—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头等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公务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经济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处理结果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提示错误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免费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6元/kg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8元/kg</w:t>
            </w:r>
          </w:p>
        </w:tc>
        <w:tc>
          <w:tcPr>
            <w:tcW w:w="128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10元/kg</w:t>
            </w:r>
          </w:p>
        </w:tc>
      </w:tr>
    </w:tbl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 w:eastAsia="宋体" w:hint="eastAsia"/>
          <w:sz w:val="8"/>
          <w:szCs w:val="8"/>
        </w:rPr>
        <w:t xml:space="preserve"/>
      </w:r>
    </w:p>
    <w:p>
      <w:pPr>
        <w:spacing w:before="40" w:after="120" w:line="360" w:lineRule="auto"/>
        <w:ind w:firstLine="0"/>
        <w:jc w:val="left"/>
      </w:pPr>
      <w:r>
        <w:rPr>
          <w:rFonts w:ascii="Times New Roman" w:hAnsi="Times New Roman" w:eastAsia="宋体" w:hint="eastAsia"/>
          <w:sz w:val="21"/>
          <w:szCs w:val="21"/>
        </w:rPr>
        <w:t xml:space="preserve">说明：超重时若为外国乘客，费率乘1.5；若为残疾乘客，费率再乘0.5。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（4）伪代码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float baggageFee(float w, int cabin, bool foreign, bool disabled) {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float rate;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(w &lt; 0) {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    printf("重量错误");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    return -1;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}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(w &lt;= 20) return 0;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/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(cabin == 1) rate = 6;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if (cabin == 2) rate = 8;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rate = 10;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/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(foreign) rate = rate * 1.5;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(disabled) rate = rate * 0.5;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/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return (w - 20) * rate;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}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（5）流图与McCabe复杂度</w:t>
      </w:r>
    </w:p>
    <w:p>
      <w:pPr>
        <w:spacing w:before="8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"/>
          <w:szCs w:val=""/>
        </w:rPr>
        <w:t xml:space="preserve">把流程图中的语句和判断分别编号，得到图2。其中N=19，E=24。舱位的三个分支相当于两个二路判断。</w:t>
      </w:r>
    </w:p>
    <w:p>
      <w:pPr>
        <w:keepNext/>
        <w:spacing w:before="80" w:after="30"/>
        <w:ind w:firstLine="0"/>
        <w:jc w:val="center"/>
      </w:pPr>
      <w:r>
        <w:drawing>
          <wp:inline distT="0" distB="0" distL="0" distR="0">
            <wp:extent cx="4050000" cy="4320000"/>
            <wp:effectExtent l="0" t="0" r="0" b="0"/>
            <wp:docPr id="102" name="托运费控制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托运费控制流图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140" w:line="360" w:lineRule="auto"/>
        <w:ind w:firstLine="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图2  航空行李托运费流图</w:t>
      </w:r>
    </w:p>
    <w:p>
      <w:pPr>
        <w:shd w:val="clear" w:color="auto" w:fill="F2F2F2"/>
        <w:spacing w:before="80" w:after="10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V(G)=E−N+2=24−19+2=7。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24"/>
          <w:szCs w:val="24"/>
        </w:rPr>
        <w:t xml:space="preserve">也可以用判断节点计算：V(G)=P+1=6+1=7。判定点包括重量小于0、重量不超过20、舱位（计2个）、是否外国乘客、是否残疾乘客。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（6）测试数据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5200"/>
        <w:gridCol w:w="3100"/>
      </w:tblGrid>
      <w:tr>
        <w:trPr>
          <w:cantSplit/>
          <w:tblHeader/>
        </w:trPr>
        <w:tc>
          <w:tcPr>
            <w:tcW w:w="52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重量/舱位/国籍/残疾</w:t>
            </w:r>
          </w:p>
        </w:tc>
        <w:tc>
          <w:tcPr>
            <w:tcW w:w="31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10kg，头等，国内，否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0元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25kg，头等，国内，否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30元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25kg，公务，国内，否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40元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25kg，经济，国内，否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50元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30kg，头等，国外，否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90元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30kg，头等，国内，是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30元</w:t>
            </w:r>
          </w:p>
        </w:tc>
      </w:tr>
    </w:tbl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 w:eastAsia="宋体" w:hint="eastAsia"/>
          <w:sz w:val="8"/>
          <w:szCs w:val="8"/>
        </w:rPr>
        <w:t xml:space="preserve"/>
      </w:r>
    </w:p>
    <w:p>
      <w:r>
        <w:br w:type="page"/>
      </w:r>
    </w:p>
    <w:p>
      <w:pPr>
        <w:keepNext/>
        <w:spacing w:before="160" w:after="10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8"/>
          <w:szCs w:val="28"/>
        </w:rPr>
        <w:t xml:space="preserve">2. 学生成绩统计模块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（1）模块说明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24"/>
          <w:szCs w:val="24"/>
        </w:rPr>
        <w:t xml:space="preserve">在作业2的学生成绩管理系统中，选择成绩录入与等级统计作为核心模块。输入0～100分的成绩，输入−1时结束。程序统计A、B、C、D、E五个等级的人数和平均分；非法成绩只提示错误，不参加统计。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（2）程序流程图</w:t>
      </w:r>
    </w:p>
    <w:p>
      <w:pPr>
        <w:keepNext/>
        <w:spacing w:before="80" w:after="30"/>
        <w:ind w:firstLine="0"/>
        <w:jc w:val="center"/>
      </w:pPr>
      <w:r>
        <w:drawing>
          <wp:inline distT="0" distB="0" distL="0" distR="0">
            <wp:extent cx="4680000" cy="4883478"/>
            <wp:effectExtent l="0" t="0" r="0" b="0"/>
            <wp:docPr id="103" name="成绩统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成绩统计流程图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8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140" w:line="360" w:lineRule="auto"/>
        <w:ind w:firstLine="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图3  学生成绩统计流程图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（3）判定表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000"/>
        <w:gridCol w:w="1800"/>
        <w:gridCol w:w="3500"/>
      </w:tblGrid>
      <w:tr>
        <w:trPr>
          <w:cantSplit/>
          <w:tblHeader/>
        </w:trPr>
        <w:tc>
          <w:tcPr>
            <w:tcW w:w="30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分数范围</w:t>
            </w:r>
          </w:p>
        </w:tc>
        <w:tc>
          <w:tcPr>
            <w:tcW w:w="18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等级</w:t>
            </w:r>
          </w:p>
        </w:tc>
        <w:tc>
          <w:tcPr>
            <w:tcW w:w="35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90～100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A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A人数加1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80～89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B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B人数加1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70～79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C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C人数加1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60～69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D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D人数加1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0～59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E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E人数加1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小于0或大于100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无</w:t>
            </w:r>
          </w:p>
        </w:tc>
        <w:tc>
          <w:tcPr>
            <w:tcW w:w="35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提示输入错误</w:t>
            </w:r>
          </w:p>
        </w:tc>
      </w:tr>
    </w:tbl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 w:eastAsia="宋体" w:hint="eastAsia"/>
          <w:sz w:val="8"/>
          <w:szCs w:val="8"/>
        </w:rPr>
        <w:t xml:space="preserve"/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（4）伪代码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sum = 0; n = 0;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A = B = C = D = E = 0;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while (1) {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input(score);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(score == -1) break;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/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(score &lt; 0 || score &gt; 100) {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    printf("成绩错误");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    continue;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}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/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sum = sum + score;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n = n + 1;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if (score &gt;= 90) A++;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if (score &gt;= 80) B++;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if (score &gt;= 70) C++;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if (score &gt;= 60) D++;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    else E++;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}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if (n == 0) avg = 0;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else avg = sum / n;</w:t>
      </w:r>
    </w:p>
    <w:p>
      <w:pPr>
        <w:shd w:val="clear" w:color="auto" w:fill="F7F7F7"/>
        <w:spacing w:before="0" w:after="0" w:line="260" w:lineRule="auto"/>
        <w:ind w:left="120" w:right="80" w:firstLine="0"/>
        <w:jc w:val="left"/>
      </w:pPr>
      <w:r>
        <w:rPr>
          <w:rFonts w:ascii="Consolas" w:hAnsi="Consolas" w:eastAsia="宋体"/>
          <w:sz w:val="19"/>
          <w:szCs w:val="19"/>
        </w:rPr>
        <w:t xml:space="preserve">printf(A, B, C, D, E, avg);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（5）流图与McCabe复杂度</w:t>
      </w:r>
    </w:p>
    <w:p>
      <w:pPr>
        <w:spacing w:before="8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"/>
          <w:szCs w:val=""/>
        </w:rPr>
        <w:t xml:space="preserve">把五个等级分支看成一个五路判断节点，得到图4。图中N=17，E=22。</w:t>
      </w:r>
    </w:p>
    <w:p>
      <w:pPr>
        <w:keepNext/>
        <w:spacing w:before="80" w:after="30"/>
        <w:ind w:firstLine="0"/>
        <w:jc w:val="center"/>
      </w:pPr>
      <w:r>
        <w:drawing>
          <wp:inline distT="0" distB="0" distL="0" distR="0">
            <wp:extent cx="4320000" cy="3542400"/>
            <wp:effectExtent l="0" t="0" r="0" b="0"/>
            <wp:docPr id="104" name="成绩统计控制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成绩统计控制流图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0" w:after="140" w:line="360" w:lineRule="auto"/>
        <w:ind w:firstLine="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图4  学生成绩统计流图</w:t>
      </w:r>
    </w:p>
    <w:p>
      <w:pPr>
        <w:shd w:val="clear" w:color="auto" w:fill="F2F2F2"/>
        <w:spacing w:before="80" w:after="10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V(G)=E−N+2=22−17+2=7。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24"/>
          <w:szCs w:val="24"/>
        </w:rPr>
        <w:t xml:space="preserve">其中判断点有：成绩是否为−1、成绩是否合法、成绩等级5个分支（相当于4个二路判断），所以V(G)=1+1+1+4=7。</w:t>
      </w:r>
    </w:p>
    <w:p>
      <w:pPr>
        <w:keepNext/>
        <w:spacing w:before="120" w:after="6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（6）测试数据</w:t>
      </w:r>
    </w:p>
    <w:tbl>
      <w:tblPr>
        <w:tblW w:w="8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5200"/>
        <w:gridCol w:w="3100"/>
      </w:tblGrid>
      <w:tr>
        <w:trPr>
          <w:cantSplit/>
          <w:tblHeader/>
        </w:trPr>
        <w:tc>
          <w:tcPr>
            <w:tcW w:w="52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输入</w:t>
            </w:r>
          </w:p>
        </w:tc>
        <w:tc>
          <w:tcPr>
            <w:tcW w:w="3100" w:type="dxa"/>
            <w:shd w:val="clear" w:color="auto" w:fill="EDEDED"/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 w:hint="eastAsia"/>
                <w:b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95，−1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A=1，平均分95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85，−1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B=1，平均分85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75，−1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C=1，平均分75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65，−1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D=1，平均分65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40，−1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E=1，平均分40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95，82，76，60，40，−1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各等级各1人，平均分70.6</w:t>
            </w:r>
          </w:p>
        </w:tc>
      </w:tr>
      <w:tr>
        <w:trPr>
          <w:cantSplit/>
        </w:trPr>
        <w:tc>
          <w:tcPr>
            <w:tcW w:w="52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−5，−1</w:t>
            </w:r>
          </w:p>
        </w:tc>
        <w:tc>
          <w:tcPr>
            <w:tcW w:w="3100" w:type="dxa"/>
            <w:shd w:val="clear" w:color="auto" w:fill="FFFFFF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 w:hint="eastAsia"/>
                <w:sz w:val="20"/>
                <w:szCs w:val="20"/>
              </w:rPr>
              <w:t xml:space="preserve">提示错误，有效人数为0</w:t>
            </w:r>
          </w:p>
        </w:tc>
      </w:tr>
    </w:tbl>
    <w:p>
      <w:pPr>
        <w:spacing w:before="0" w:after="40" w:line="360" w:lineRule="auto"/>
        <w:ind w:firstLine="0"/>
        <w:jc w:val="left"/>
      </w:pPr>
      <w:r>
        <w:rPr>
          <w:rFonts w:ascii="Times New Roman" w:hAnsi="Times New Roman" w:eastAsia="宋体" w:hint="eastAsia"/>
          <w:sz w:val="8"/>
          <w:szCs w:val="8"/>
        </w:rPr>
        <w:t xml:space="preserve"/>
      </w:r>
    </w:p>
    <w:p>
      <w:pPr>
        <w:keepNext/>
        <w:spacing w:before="160" w:after="100" w:line="360" w:lineRule="auto"/>
        <w:ind w:firstLine="0"/>
        <w:jc w:val="left"/>
      </w:pPr>
      <w:r>
        <w:rPr>
          <w:rFonts w:ascii="Times New Roman" w:hAnsi="Times New Roman" w:eastAsia="宋体" w:hint="eastAsia"/>
          <w:b/>
          <w:sz w:val="28"/>
          <w:szCs w:val="28"/>
        </w:rPr>
        <w:t xml:space="preserve">实验小结</w:t>
      </w:r>
    </w:p>
    <w:p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 w:hint="eastAsia"/>
          <w:sz w:val="24"/>
          <w:szCs w:val="24"/>
        </w:rPr>
        <w:t xml:space="preserve">本次实验完成了行李托运费计算和成绩统计两个模块的详细设计。通过流程图和判定表，可以比较清楚地看出每个条件对应的处理过程；计算得到两个模块的圈复杂度都是7，说明控制结构比较简单，也便于设计测试用例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附录图1  程序流程图</w:t>
      </w:r>
      <w:r>
        <w:rPr>
          <w:sz w:val="28"/>
          <w:szCs w:val="28"/>
        </w:rPr>
        <w:t/>
      </w:r>
      <w:r>
        <w:rPr>
          <w:rFonts w:hint="eastAsia"/>
          <w:sz w:val="28"/>
          <w:szCs w:val="28"/>
        </w:rPr>
        <w:t xml:space="preserve"/>
      </w:r>
      <w:r>
        <w:rPr>
          <w:sz w:val="28"/>
          <w:szCs w:val="28"/>
        </w:rPr>
        <w:t xml:space="preserve"/>
      </w:r>
      <w:r>
        <w:rPr>
          <w:rFonts w:hint="eastAsia"/>
          <w:sz w:val="28"/>
          <w:szCs w:val="28"/>
        </w:rPr>
        <w:t/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ntTable" Target="fontTable.xml" /><Relationship Id="rId5" Type="http://schemas.openxmlformats.org/officeDocument/2006/relationships/numbering" Target="numbering.xml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7" Type="http://schemas.openxmlformats.org/officeDocument/2006/relationships/image" Target="media/report_image1.png" /><Relationship Id="rId8" Type="http://schemas.openxmlformats.org/officeDocument/2006/relationships/image" Target="media/report_image2.png" /><Relationship Id="rId9" Type="http://schemas.openxmlformats.org/officeDocument/2006/relationships/image" Target="media/report_image3.png" /><Relationship Id="rId10" Type="http://schemas.openxmlformats.org/officeDocument/2006/relationships/image" Target="media/report_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527</Words>
  <Characters>569</Characters>
  <Lines>9</Lines>
  <Paragraphs>3</Paragraphs>
  <TotalTime>5</TotalTime>
  <ScaleCrop>false</ScaleCrop>
  <LinksUpToDate>false</LinksUpToDate>
  <CharactersWithSpaces>573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tommy</cp:lastModifiedBy>
  <dcterms:modified xsi:type="dcterms:W3CDTF">2026-10-20T00:28:09Z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