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8BC7E05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‌区域计数法‌：V(G) = R，R是控制流图把平面划分的区域数（包括最外面的区域）。</w:t>
      </w:r>
    </w:p>
    <w:p w14:paraId="005197FF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5CF27064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54F754FF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3B503D7E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20DDCACE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095CEEF4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08D50328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5C18CD98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0D36AA6A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3ADADEB4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304F7C6D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07E651D7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32C96B14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0565F9D9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541E562E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5CC50493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44AC7A6C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60A55C74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2D95B003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2BAC662E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1E5C3116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085DB3D7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49DD1669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181D3514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3F85B5CC">
      <w:pPr>
        <w:pStyle w:val="3"/>
        <w:spacing w:line="360" w:lineRule="auto"/>
        <w:ind w:left="0" w:leftChars="0" w:firstLine="560" w:firstLineChars="0"/>
        <w:jc w:val="both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实验结果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1.程序流程图</w:t>
      </w:r>
    </w:p>
    <w:p w14:paraId="1C55036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2245" cy="5358765"/>
            <wp:effectExtent l="0" t="0" r="1079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535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AE3946E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Java伪程序代码</w:t>
      </w:r>
    </w:p>
    <w:p w14:paraId="7FA536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 java.util.Scanner;</w:t>
      </w:r>
    </w:p>
    <w:p w14:paraId="65C02FF8">
      <w:pPr>
        <w:rPr>
          <w:rFonts w:hint="eastAsia"/>
          <w:sz w:val="34"/>
          <w:szCs w:val="34"/>
        </w:rPr>
      </w:pPr>
    </w:p>
    <w:p w14:paraId="5AEDC9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public class LuggageCharge {</w:t>
      </w:r>
    </w:p>
    <w:p w14:paraId="586FC2C1">
      <w:pPr>
        <w:rPr>
          <w:rFonts w:hint="eastAsia"/>
          <w:sz w:val="34"/>
          <w:szCs w:val="34"/>
        </w:rPr>
      </w:pPr>
    </w:p>
    <w:p w14:paraId="3E6EC4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public static void main(String[] args) {</w:t>
      </w:r>
    </w:p>
    <w:p w14:paraId="60EA4B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Scanner sc = new Scanner(System.in);</w:t>
      </w:r>
    </w:p>
    <w:p w14:paraId="703B4807">
      <w:pPr>
        <w:rPr>
          <w:rFonts w:hint="eastAsia"/>
          <w:sz w:val="34"/>
          <w:szCs w:val="34"/>
        </w:rPr>
      </w:pPr>
    </w:p>
    <w:p w14:paraId="3959A6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System.out.print("请输入行李重量（kg）：");</w:t>
      </w:r>
    </w:p>
    <w:p w14:paraId="090DF3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double weight = sc.nextDouble();</w:t>
      </w:r>
    </w:p>
    <w:p w14:paraId="4BC986BD">
      <w:pPr>
        <w:rPr>
          <w:rFonts w:hint="eastAsia"/>
          <w:sz w:val="34"/>
          <w:szCs w:val="34"/>
        </w:rPr>
      </w:pPr>
    </w:p>
    <w:p w14:paraId="4A3AF5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System.out.print("请输入舱位类型（1-头等舱，2-商务舱，3-经济舱）：");</w:t>
      </w:r>
    </w:p>
    <w:p w14:paraId="220041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int cabin = sc.nextInt();</w:t>
      </w:r>
    </w:p>
    <w:p w14:paraId="51B18468">
      <w:pPr>
        <w:rPr>
          <w:rFonts w:hint="eastAsia"/>
          <w:sz w:val="34"/>
          <w:szCs w:val="34"/>
        </w:rPr>
      </w:pPr>
    </w:p>
    <w:p w14:paraId="5F3823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System.out.print("请输入旅客类型（1-国内普通旅客，2-外国旅客，3-残疾旅客）：");</w:t>
      </w:r>
    </w:p>
    <w:p w14:paraId="5AD51D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int passenger = sc.nextInt();</w:t>
      </w:r>
    </w:p>
    <w:p w14:paraId="1391746A">
      <w:pPr>
        <w:rPr>
          <w:rFonts w:hint="eastAsia"/>
          <w:sz w:val="34"/>
          <w:szCs w:val="34"/>
        </w:rPr>
      </w:pPr>
    </w:p>
    <w:p w14:paraId="7983FA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double fee = calculateFee(weight, cabin, passenger);</w:t>
      </w:r>
    </w:p>
    <w:p w14:paraId="362257FD">
      <w:pPr>
        <w:rPr>
          <w:rFonts w:hint="eastAsia"/>
          <w:sz w:val="34"/>
          <w:szCs w:val="34"/>
        </w:rPr>
      </w:pPr>
    </w:p>
    <w:p w14:paraId="73E672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(fee &lt; 0) {</w:t>
      </w:r>
    </w:p>
    <w:p w14:paraId="29209F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System.out.println("输入错误，请检查输入的数据！");</w:t>
      </w:r>
    </w:p>
    <w:p w14:paraId="2F8644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else {</w:t>
      </w:r>
    </w:p>
    <w:p w14:paraId="101D44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System.out.printf("应收费用：%.2f 元%n", fee);</w:t>
      </w:r>
    </w:p>
    <w:p w14:paraId="03D413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841A345">
      <w:pPr>
        <w:rPr>
          <w:rFonts w:hint="eastAsia"/>
          <w:sz w:val="34"/>
          <w:szCs w:val="34"/>
        </w:rPr>
      </w:pPr>
    </w:p>
    <w:p w14:paraId="1F2CED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sc.close();</w:t>
      </w:r>
    </w:p>
    <w:p w14:paraId="23DD8F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51740D50">
      <w:pPr>
        <w:rPr>
          <w:rFonts w:hint="eastAsia"/>
          <w:sz w:val="34"/>
          <w:szCs w:val="34"/>
        </w:rPr>
      </w:pPr>
    </w:p>
    <w:p w14:paraId="3930E1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public static double calculateFee(double weight, int cabin, int passenger) {</w:t>
      </w:r>
    </w:p>
    <w:p w14:paraId="47DFCD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(weight &lt; 0) {</w:t>
      </w:r>
    </w:p>
    <w:p w14:paraId="5A2CF8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-1;</w:t>
      </w:r>
    </w:p>
    <w:p w14:paraId="39E975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0F4CBDCF">
      <w:pPr>
        <w:rPr>
          <w:rFonts w:hint="eastAsia"/>
          <w:sz w:val="34"/>
          <w:szCs w:val="34"/>
        </w:rPr>
      </w:pPr>
    </w:p>
    <w:p w14:paraId="388051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(weight &lt;= 20) {</w:t>
      </w:r>
    </w:p>
    <w:p w14:paraId="6224C3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0.0;</w:t>
      </w:r>
    </w:p>
    <w:p w14:paraId="2F76D0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8AB9134">
      <w:pPr>
        <w:rPr>
          <w:rFonts w:hint="eastAsia"/>
          <w:sz w:val="34"/>
          <w:szCs w:val="34"/>
        </w:rPr>
      </w:pPr>
    </w:p>
    <w:p w14:paraId="579565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double baseRate;</w:t>
      </w:r>
    </w:p>
    <w:p w14:paraId="0DCC8A17">
      <w:pPr>
        <w:rPr>
          <w:rFonts w:hint="eastAsia"/>
          <w:sz w:val="34"/>
          <w:szCs w:val="34"/>
        </w:rPr>
      </w:pPr>
    </w:p>
    <w:p w14:paraId="5ECD7D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(cabin == 1) {</w:t>
      </w:r>
    </w:p>
    <w:p w14:paraId="0B0476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baseRate = 6.0;</w:t>
      </w:r>
    </w:p>
    <w:p w14:paraId="0141BA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else if (cabin == 2) {</w:t>
      </w:r>
    </w:p>
    <w:p w14:paraId="162F57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baseRate = 8.0;</w:t>
      </w:r>
    </w:p>
    <w:p w14:paraId="312104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else if (cabin == 3) {</w:t>
      </w:r>
    </w:p>
    <w:p w14:paraId="155869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baseRate = 10.0;</w:t>
      </w:r>
    </w:p>
    <w:p w14:paraId="6F4369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else {</w:t>
      </w:r>
    </w:p>
    <w:p w14:paraId="4773BF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-1;</w:t>
      </w:r>
    </w:p>
    <w:p w14:paraId="5620C1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397F2AC">
      <w:pPr>
        <w:rPr>
          <w:rFonts w:hint="eastAsia"/>
          <w:sz w:val="34"/>
          <w:szCs w:val="34"/>
        </w:rPr>
      </w:pPr>
    </w:p>
    <w:p w14:paraId="18FFE0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double factor;</w:t>
      </w:r>
    </w:p>
    <w:p w14:paraId="7D8CF7E2">
      <w:pPr>
        <w:rPr>
          <w:rFonts w:hint="eastAsia"/>
          <w:sz w:val="34"/>
          <w:szCs w:val="34"/>
        </w:rPr>
      </w:pPr>
    </w:p>
    <w:p w14:paraId="19B5B8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(passenger == 1) {</w:t>
      </w:r>
    </w:p>
    <w:p w14:paraId="331280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factor = 1.0;</w:t>
      </w:r>
    </w:p>
    <w:p w14:paraId="73F0D3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else if (passenger == 2) {</w:t>
      </w:r>
    </w:p>
    <w:p w14:paraId="46F909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factor = 1.5;</w:t>
      </w:r>
    </w:p>
    <w:p w14:paraId="375E15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else if (passenger == 3) {</w:t>
      </w:r>
    </w:p>
    <w:p w14:paraId="377359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factor = 0.5;</w:t>
      </w:r>
    </w:p>
    <w:p w14:paraId="1D3B93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else {</w:t>
      </w:r>
    </w:p>
    <w:p w14:paraId="737577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-1;</w:t>
      </w:r>
    </w:p>
    <w:p w14:paraId="4796DF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922BA79">
      <w:pPr>
        <w:rPr>
          <w:rFonts w:hint="eastAsia"/>
          <w:sz w:val="34"/>
          <w:szCs w:val="34"/>
        </w:rPr>
      </w:pPr>
    </w:p>
    <w:p w14:paraId="0EDAB4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double overweight = weight - 20;</w:t>
      </w:r>
    </w:p>
    <w:p w14:paraId="41B57AD8">
      <w:pPr>
        <w:rPr>
          <w:rFonts w:hint="eastAsia"/>
          <w:sz w:val="34"/>
          <w:szCs w:val="34"/>
        </w:rPr>
      </w:pPr>
    </w:p>
    <w:p w14:paraId="610641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return overweight * baseRate * factor;</w:t>
      </w:r>
    </w:p>
    <w:p w14:paraId="66BE59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33E88E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38"/>
        <w:gridCol w:w="2839"/>
        <w:gridCol w:w="2839"/>
      </w:tblGrid>
      <w:tr w14:paraId="563EF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38" w:type="dxa"/>
          </w:tcPr>
          <w:p w14:paraId="5294CFF9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判定项目</w:t>
            </w:r>
          </w:p>
        </w:tc>
        <w:tc>
          <w:tcPr>
            <w:tcW w:w="2839" w:type="dxa"/>
          </w:tcPr>
          <w:p w14:paraId="78920D89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条件</w:t>
            </w:r>
          </w:p>
        </w:tc>
        <w:tc>
          <w:tcPr>
            <w:tcW w:w="2839" w:type="dxa"/>
          </w:tcPr>
          <w:p w14:paraId="09EC11C4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处理结果</w:t>
            </w:r>
          </w:p>
        </w:tc>
      </w:tr>
      <w:tr w14:paraId="16DA7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38" w:type="dxa"/>
          </w:tcPr>
          <w:p w14:paraId="7518578A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行李重量</w:t>
            </w:r>
          </w:p>
        </w:tc>
        <w:tc>
          <w:tcPr>
            <w:tcW w:w="2839" w:type="dxa"/>
          </w:tcPr>
          <w:p w14:paraId="0EBB2A5A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w小于等于20</w:t>
            </w:r>
          </w:p>
        </w:tc>
        <w:tc>
          <w:tcPr>
            <w:tcW w:w="2839" w:type="dxa"/>
          </w:tcPr>
          <w:p w14:paraId="3DD7D997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费用0</w:t>
            </w:r>
          </w:p>
        </w:tc>
      </w:tr>
      <w:tr w14:paraId="0263E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38" w:type="dxa"/>
          </w:tcPr>
          <w:p w14:paraId="00643831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行李重量</w:t>
            </w:r>
          </w:p>
        </w:tc>
        <w:tc>
          <w:tcPr>
            <w:tcW w:w="2839" w:type="dxa"/>
          </w:tcPr>
          <w:p w14:paraId="28C31805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w大于20</w:t>
            </w:r>
          </w:p>
        </w:tc>
        <w:tc>
          <w:tcPr>
            <w:tcW w:w="2839" w:type="dxa"/>
          </w:tcPr>
          <w:p w14:paraId="389EBAC5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计算超出重量</w:t>
            </w:r>
          </w:p>
        </w:tc>
      </w:tr>
      <w:tr w14:paraId="67F36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38" w:type="dxa"/>
          </w:tcPr>
          <w:p w14:paraId="4EC0C26F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仓位类型</w:t>
            </w:r>
          </w:p>
        </w:tc>
        <w:tc>
          <w:tcPr>
            <w:tcW w:w="2839" w:type="dxa"/>
          </w:tcPr>
          <w:p w14:paraId="55A9D72D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头等舱</w:t>
            </w:r>
          </w:p>
        </w:tc>
        <w:tc>
          <w:tcPr>
            <w:tcW w:w="2839" w:type="dxa"/>
          </w:tcPr>
          <w:p w14:paraId="6398CFA5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基础费率6元/kg</w:t>
            </w:r>
          </w:p>
        </w:tc>
      </w:tr>
      <w:tr w14:paraId="5AC3A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8" w:type="dxa"/>
          </w:tcPr>
          <w:p w14:paraId="24970CBB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仓位类型</w:t>
            </w:r>
          </w:p>
        </w:tc>
        <w:tc>
          <w:tcPr>
            <w:tcW w:w="2839" w:type="dxa"/>
          </w:tcPr>
          <w:p w14:paraId="321BF6BE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商务舱</w:t>
            </w:r>
          </w:p>
        </w:tc>
        <w:tc>
          <w:tcPr>
            <w:tcW w:w="2839" w:type="dxa"/>
          </w:tcPr>
          <w:p w14:paraId="21A44C05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基础费率8元/kg</w:t>
            </w:r>
          </w:p>
        </w:tc>
      </w:tr>
      <w:tr w14:paraId="1CF8B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38" w:type="dxa"/>
          </w:tcPr>
          <w:p w14:paraId="64B958F5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仓位类型</w:t>
            </w:r>
          </w:p>
        </w:tc>
        <w:tc>
          <w:tcPr>
            <w:tcW w:w="2839" w:type="dxa"/>
          </w:tcPr>
          <w:p w14:paraId="5F37E4AC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经济舱</w:t>
            </w:r>
          </w:p>
        </w:tc>
        <w:tc>
          <w:tcPr>
            <w:tcW w:w="2839" w:type="dxa"/>
          </w:tcPr>
          <w:p w14:paraId="581AB506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基础费率10元/kg</w:t>
            </w:r>
          </w:p>
        </w:tc>
      </w:tr>
      <w:tr w14:paraId="1B313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38" w:type="dxa"/>
          </w:tcPr>
          <w:p w14:paraId="41062345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旅客类型</w:t>
            </w:r>
          </w:p>
        </w:tc>
        <w:tc>
          <w:tcPr>
            <w:tcW w:w="2839" w:type="dxa"/>
          </w:tcPr>
          <w:p w14:paraId="44C290FF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国内普通旅客</w:t>
            </w:r>
          </w:p>
        </w:tc>
        <w:tc>
          <w:tcPr>
            <w:tcW w:w="2839" w:type="dxa"/>
          </w:tcPr>
          <w:p w14:paraId="75580CBD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系数为1.0</w:t>
            </w:r>
          </w:p>
        </w:tc>
      </w:tr>
      <w:tr w14:paraId="3552E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38" w:type="dxa"/>
          </w:tcPr>
          <w:p w14:paraId="743DBB11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旅客类型</w:t>
            </w:r>
          </w:p>
        </w:tc>
        <w:tc>
          <w:tcPr>
            <w:tcW w:w="2839" w:type="dxa"/>
          </w:tcPr>
          <w:p w14:paraId="72184077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外国旅客</w:t>
            </w:r>
          </w:p>
        </w:tc>
        <w:tc>
          <w:tcPr>
            <w:tcW w:w="2839" w:type="dxa"/>
          </w:tcPr>
          <w:p w14:paraId="361509A4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系数为1.5</w:t>
            </w:r>
          </w:p>
        </w:tc>
      </w:tr>
      <w:tr w14:paraId="45B24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38" w:type="dxa"/>
          </w:tcPr>
          <w:p w14:paraId="78346E82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旅客类型</w:t>
            </w:r>
          </w:p>
        </w:tc>
        <w:tc>
          <w:tcPr>
            <w:tcW w:w="2839" w:type="dxa"/>
          </w:tcPr>
          <w:p w14:paraId="42A71CEA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残疾旅客</w:t>
            </w:r>
          </w:p>
        </w:tc>
        <w:tc>
          <w:tcPr>
            <w:tcW w:w="2839" w:type="dxa"/>
          </w:tcPr>
          <w:p w14:paraId="1B23E416">
            <w:pPr>
              <w:pStyle w:val="3"/>
              <w:spacing w:line="36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系数为0.5</w:t>
            </w:r>
          </w:p>
        </w:tc>
      </w:tr>
    </w:tbl>
    <w:p w14:paraId="0EC19A21">
      <w:pPr>
        <w:pStyle w:val="3"/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McCabe 环形复杂度计算</w:t>
      </w:r>
    </w:p>
    <w:p w14:paraId="362729E4">
      <w:pPr>
        <w:pStyle w:val="3"/>
        <w:spacing w:line="360" w:lineRule="auto"/>
        <w:ind w:left="0" w:leftChars="0" w:firstLine="0" w:firstLineChars="0"/>
        <w:jc w:val="both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按照上面代码的判断结构：舱位判断：2 个条件节点。旅客类型判断：2 个条件节点。两类判断共 4 个节点。因此：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  <w:lang w:val="en-US" w:eastAsia="zh-CN"/>
        </w:rPr>
        <w:t>=4+1=5</w:t>
      </w:r>
    </w:p>
    <w:p w14:paraId="4D1C09F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</w:p>
    <w:p w14:paraId="29A44624">
      <w:pPr>
        <w:pStyle w:val="3"/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2.程序流程图</w:t>
      </w:r>
    </w:p>
    <w:p w14:paraId="25F77569">
      <w:pPr>
        <w:ind w:firstLine="48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55260" cy="2449195"/>
            <wp:effectExtent l="0" t="0" r="2540" b="4445"/>
            <wp:docPr id="1" name="图片 1" descr="{68B6AD4C-5AF9-468A-AA16-1461AB44A81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68B6AD4C-5AF9-468A-AA16-1461AB44A815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0AC2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Java伪程序代码</w:t>
      </w:r>
    </w:p>
    <w:p w14:paraId="17768C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 java.util.Scanner;</w:t>
      </w:r>
    </w:p>
    <w:p w14:paraId="4E4DB609">
      <w:pPr>
        <w:rPr>
          <w:rFonts w:hint="eastAsia"/>
          <w:sz w:val="34"/>
          <w:szCs w:val="34"/>
        </w:rPr>
      </w:pPr>
    </w:p>
    <w:p w14:paraId="5914EE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public class AlertModule {</w:t>
      </w:r>
    </w:p>
    <w:p w14:paraId="4878AE97">
      <w:pPr>
        <w:rPr>
          <w:rFonts w:hint="eastAsia"/>
          <w:sz w:val="34"/>
          <w:szCs w:val="34"/>
        </w:rPr>
      </w:pPr>
    </w:p>
    <w:p w14:paraId="3B037D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public static String getRiskLevel(int score) {</w:t>
      </w:r>
    </w:p>
    <w:p w14:paraId="320B3D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(score &lt; 0 || score &gt; 100) {</w:t>
      </w:r>
    </w:p>
    <w:p w14:paraId="1AB8E8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"数据异常";</w:t>
      </w:r>
    </w:p>
    <w:p w14:paraId="3C0BD0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else if (score &lt; 30) {</w:t>
      </w:r>
    </w:p>
    <w:p w14:paraId="6E1533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"无预警";</w:t>
      </w:r>
    </w:p>
    <w:p w14:paraId="211ECE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else if (score &lt; 60) {</w:t>
      </w:r>
    </w:p>
    <w:p w14:paraId="36A649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"黄色预警";</w:t>
      </w:r>
    </w:p>
    <w:p w14:paraId="7F83E8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else if (score &lt; 80) {</w:t>
      </w:r>
    </w:p>
    <w:p w14:paraId="1CAA41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"橙色预警";</w:t>
      </w:r>
    </w:p>
    <w:p w14:paraId="255F67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else {</w:t>
      </w:r>
    </w:p>
    <w:p w14:paraId="381C76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"红色预警";</w:t>
      </w:r>
    </w:p>
    <w:p w14:paraId="46811D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CAA92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4D1C9772">
      <w:pPr>
        <w:rPr>
          <w:rFonts w:hint="eastAsia"/>
          <w:sz w:val="34"/>
          <w:szCs w:val="34"/>
        </w:rPr>
      </w:pPr>
    </w:p>
    <w:p w14:paraId="11B12F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public static void main(String[] args) {</w:t>
      </w:r>
    </w:p>
    <w:p w14:paraId="272AF8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Scanner sc = new Scanner(System.in);</w:t>
      </w:r>
    </w:p>
    <w:p w14:paraId="0B91E0C3">
      <w:pPr>
        <w:rPr>
          <w:rFonts w:hint="eastAsia"/>
          <w:sz w:val="34"/>
          <w:szCs w:val="34"/>
        </w:rPr>
      </w:pPr>
    </w:p>
    <w:p w14:paraId="3F7475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System.out.print("请输入是否获得授权（1-是，0-否）：");</w:t>
      </w:r>
    </w:p>
    <w:p w14:paraId="23FEFA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int authorization = sc.nextInt();</w:t>
      </w:r>
    </w:p>
    <w:p w14:paraId="4215CE5C">
      <w:pPr>
        <w:rPr>
          <w:rFonts w:hint="eastAsia"/>
          <w:sz w:val="34"/>
          <w:szCs w:val="34"/>
        </w:rPr>
      </w:pPr>
    </w:p>
    <w:p w14:paraId="0947B5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System.out.print("请输入数据是否有效（1-是，0-否）：");</w:t>
      </w:r>
    </w:p>
    <w:p w14:paraId="6F7F3F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int dataValid = sc.nextInt();</w:t>
      </w:r>
    </w:p>
    <w:p w14:paraId="6FBB9E10">
      <w:pPr>
        <w:rPr>
          <w:rFonts w:hint="eastAsia"/>
          <w:sz w:val="34"/>
          <w:szCs w:val="34"/>
        </w:rPr>
      </w:pPr>
    </w:p>
    <w:p w14:paraId="362474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(authorization != 1 || dataValid != 1) {</w:t>
      </w:r>
    </w:p>
    <w:p w14:paraId="7BFE02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System.out.println("未授权或数据无效，停止分析。");</w:t>
      </w:r>
    </w:p>
    <w:p w14:paraId="4F60FB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sc.close();</w:t>
      </w:r>
    </w:p>
    <w:p w14:paraId="64B571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return;</w:t>
      </w:r>
    </w:p>
    <w:p w14:paraId="7602CA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D73F9DA">
      <w:pPr>
        <w:rPr>
          <w:rFonts w:hint="eastAsia"/>
          <w:sz w:val="34"/>
          <w:szCs w:val="34"/>
        </w:rPr>
      </w:pPr>
    </w:p>
    <w:p w14:paraId="522154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System.out.print("请输入异常评分（0-100）：");</w:t>
      </w:r>
    </w:p>
    <w:p w14:paraId="366FDB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int score = sc.nextInt();</w:t>
      </w:r>
    </w:p>
    <w:p w14:paraId="3F8F74AC">
      <w:pPr>
        <w:rPr>
          <w:rFonts w:hint="eastAsia"/>
          <w:sz w:val="34"/>
          <w:szCs w:val="34"/>
        </w:rPr>
      </w:pPr>
    </w:p>
    <w:p w14:paraId="338869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(score &lt; 0 || score &gt; 100) {</w:t>
      </w:r>
    </w:p>
    <w:p w14:paraId="3A2041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System.out.println("评分输入错误，请输入0到100之间的整数。");</w:t>
      </w:r>
    </w:p>
    <w:p w14:paraId="4C2835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sc.close();</w:t>
      </w:r>
    </w:p>
    <w:p w14:paraId="103AE6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return;</w:t>
      </w:r>
    </w:p>
    <w:p w14:paraId="13D15B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94EC688">
      <w:pPr>
        <w:rPr>
          <w:rFonts w:hint="eastAsia"/>
          <w:sz w:val="34"/>
          <w:szCs w:val="34"/>
        </w:rPr>
      </w:pPr>
    </w:p>
    <w:p w14:paraId="436C6D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String level = getRiskLevel(score);</w:t>
      </w:r>
    </w:p>
    <w:p w14:paraId="69159223">
      <w:pPr>
        <w:rPr>
          <w:rFonts w:hint="eastAsia"/>
          <w:sz w:val="34"/>
          <w:szCs w:val="34"/>
        </w:rPr>
      </w:pPr>
    </w:p>
    <w:p w14:paraId="44F870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System.out.println("异常评分：" + score);</w:t>
      </w:r>
    </w:p>
    <w:p w14:paraId="080335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System.out.println("风险等级：" + level);</w:t>
      </w:r>
    </w:p>
    <w:p w14:paraId="0F1E700C">
      <w:pPr>
        <w:rPr>
          <w:rFonts w:hint="eastAsia"/>
          <w:sz w:val="34"/>
          <w:szCs w:val="34"/>
        </w:rPr>
      </w:pPr>
    </w:p>
    <w:p w14:paraId="70687B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(level.equals("无预警")) {</w:t>
      </w:r>
    </w:p>
    <w:p w14:paraId="56020B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System.out.println("记录日志，继续监测。");</w:t>
      </w:r>
    </w:p>
    <w:p w14:paraId="78B674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else if (level.equals("黄色预警")) {</w:t>
      </w:r>
    </w:p>
    <w:p w14:paraId="2922D1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System.out.println("通知家属，等待确认。");</w:t>
      </w:r>
    </w:p>
    <w:p w14:paraId="5C672F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System.out.println("记录预警处理情况。");</w:t>
      </w:r>
    </w:p>
    <w:p w14:paraId="08D878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else if (level.equals("橙色预警")) {</w:t>
      </w:r>
    </w:p>
    <w:p w14:paraId="51F357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System.out.println("通知家属并升级通知社区工作人员。");</w:t>
      </w:r>
    </w:p>
    <w:p w14:paraId="33635B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System.out.println("记录预警处理情况。");</w:t>
      </w:r>
    </w:p>
    <w:p w14:paraId="2DC72E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else if (level.equals("红色预警")) {</w:t>
      </w:r>
    </w:p>
    <w:p w14:paraId="1295B6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System.out.println("立即通知家属和社区工作人员。");</w:t>
      </w:r>
    </w:p>
    <w:p w14:paraId="7A255F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System.out.println("启动紧急核实与应急联络流程。");</w:t>
      </w:r>
    </w:p>
    <w:p w14:paraId="7AD581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6D187AE6">
      <w:pPr>
        <w:rPr>
          <w:rFonts w:hint="eastAsia"/>
          <w:sz w:val="34"/>
          <w:szCs w:val="34"/>
        </w:rPr>
      </w:pPr>
    </w:p>
    <w:p w14:paraId="1412E6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sc.close();</w:t>
      </w:r>
    </w:p>
    <w:p w14:paraId="5945BF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409FB2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940CB89">
      <w:pPr>
        <w:rPr>
          <w:rFonts w:hint="eastAsia"/>
          <w:sz w:val="34"/>
          <w:szCs w:val="34"/>
          <w:lang w:val="en-US" w:eastAsia="zh-CN"/>
        </w:rPr>
      </w:pPr>
      <w:r>
        <w:rPr>
          <w:rFonts w:hint="eastAsia"/>
          <w:sz w:val="34"/>
          <w:szCs w:val="34"/>
          <w:lang w:val="en-US" w:eastAsia="zh-CN"/>
        </w:rPr>
        <w:t>判定表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38"/>
        <w:gridCol w:w="2839"/>
        <w:gridCol w:w="2839"/>
      </w:tblGrid>
      <w:tr w14:paraId="2E447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38" w:type="dxa"/>
          </w:tcPr>
          <w:p w14:paraId="4A2EB99E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异常评分</w:t>
            </w:r>
          </w:p>
        </w:tc>
        <w:tc>
          <w:tcPr>
            <w:tcW w:w="2839" w:type="dxa"/>
          </w:tcPr>
          <w:p w14:paraId="530DF9B3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风险等级</w:t>
            </w:r>
          </w:p>
        </w:tc>
        <w:tc>
          <w:tcPr>
            <w:tcW w:w="2839" w:type="dxa"/>
          </w:tcPr>
          <w:p w14:paraId="3003DE80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处理方式</w:t>
            </w:r>
          </w:p>
        </w:tc>
      </w:tr>
      <w:tr w14:paraId="14E2A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38" w:type="dxa"/>
          </w:tcPr>
          <w:p w14:paraId="50141F63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小于0或大于100</w:t>
            </w:r>
          </w:p>
        </w:tc>
        <w:tc>
          <w:tcPr>
            <w:tcW w:w="2839" w:type="dxa"/>
          </w:tcPr>
          <w:p w14:paraId="475A5B64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数据异常</w:t>
            </w:r>
          </w:p>
        </w:tc>
        <w:tc>
          <w:tcPr>
            <w:tcW w:w="2839" w:type="dxa"/>
          </w:tcPr>
          <w:p w14:paraId="0AEE4CE9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记录错误，不发送正常预警</w:t>
            </w:r>
          </w:p>
        </w:tc>
      </w:tr>
      <w:tr w14:paraId="2980C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38" w:type="dxa"/>
          </w:tcPr>
          <w:p w14:paraId="63172DBC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0-29</w:t>
            </w:r>
          </w:p>
        </w:tc>
        <w:tc>
          <w:tcPr>
            <w:tcW w:w="2839" w:type="dxa"/>
          </w:tcPr>
          <w:p w14:paraId="5B720115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无预警</w:t>
            </w:r>
          </w:p>
        </w:tc>
        <w:tc>
          <w:tcPr>
            <w:tcW w:w="2839" w:type="dxa"/>
          </w:tcPr>
          <w:p w14:paraId="155778E8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记录日志，继续检测</w:t>
            </w:r>
          </w:p>
        </w:tc>
      </w:tr>
      <w:tr w14:paraId="22B56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8" w:type="dxa"/>
          </w:tcPr>
          <w:p w14:paraId="6C6914D7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30-59</w:t>
            </w:r>
          </w:p>
        </w:tc>
        <w:tc>
          <w:tcPr>
            <w:tcW w:w="2839" w:type="dxa"/>
          </w:tcPr>
          <w:p w14:paraId="60C89B5C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黄色预警</w:t>
            </w:r>
          </w:p>
        </w:tc>
        <w:tc>
          <w:tcPr>
            <w:tcW w:w="2839" w:type="dxa"/>
          </w:tcPr>
          <w:p w14:paraId="0B1AA696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通知家属并等待确认</w:t>
            </w:r>
          </w:p>
        </w:tc>
      </w:tr>
      <w:tr w14:paraId="72026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38" w:type="dxa"/>
          </w:tcPr>
          <w:p w14:paraId="0A1F09F1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60-79</w:t>
            </w:r>
          </w:p>
        </w:tc>
        <w:tc>
          <w:tcPr>
            <w:tcW w:w="2839" w:type="dxa"/>
          </w:tcPr>
          <w:p w14:paraId="1004A61E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橙色预警</w:t>
            </w:r>
          </w:p>
        </w:tc>
        <w:tc>
          <w:tcPr>
            <w:tcW w:w="2839" w:type="dxa"/>
          </w:tcPr>
          <w:p w14:paraId="2BBEB866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通知家属，升级通知社区工作人员</w:t>
            </w:r>
          </w:p>
        </w:tc>
      </w:tr>
      <w:tr w14:paraId="558BA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38" w:type="dxa"/>
          </w:tcPr>
          <w:p w14:paraId="767C89CA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80-100</w:t>
            </w:r>
          </w:p>
        </w:tc>
        <w:tc>
          <w:tcPr>
            <w:tcW w:w="2839" w:type="dxa"/>
          </w:tcPr>
          <w:p w14:paraId="5E75A81A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红色预警</w:t>
            </w:r>
          </w:p>
        </w:tc>
        <w:tc>
          <w:tcPr>
            <w:tcW w:w="2839" w:type="dxa"/>
          </w:tcPr>
          <w:p w14:paraId="7FFC5057"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启动紧急核实与应急联络流程</w:t>
            </w:r>
          </w:p>
        </w:tc>
      </w:tr>
    </w:tbl>
    <w:p w14:paraId="78AE1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McCabe 环形复杂度计算</w:t>
      </w:r>
    </w:p>
    <w:p w14:paraId="2CD24DC5">
      <w:pPr>
        <w:rPr>
          <w:rFonts w:hint="default" w:eastAsia="宋体"/>
          <w:lang w:val="en-US" w:eastAsia="zh-CN"/>
        </w:rPr>
      </w:pPr>
      <w:r>
        <w:rPr>
          <w:rFonts w:hint="default"/>
          <w:lang w:val="en-US" w:eastAsia="zh-CN"/>
        </w:rPr>
        <w:t>对 getRiskLevel() 方法进行计算：该方法具有 4 个二分条件判断节点：判断评分是否超出合法范围；判断评分是否小于 30；判断评分是否小于 60；判断评分是否小于 80。&lt;b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因此：</w:t>
      </w:r>
      <w:r>
        <w:rPr>
          <w:rFonts w:hint="eastAsia"/>
          <w:sz w:val="28"/>
          <w:szCs w:val="28"/>
        </w:rPr>
        <w:t xml:space="preserve">V(G) </w:t>
      </w:r>
      <w:r>
        <w:rPr>
          <w:rFonts w:hint="eastAsia"/>
          <w:sz w:val="28"/>
          <w:szCs w:val="28"/>
          <w:lang w:val="en-US" w:eastAsia="zh-CN"/>
        </w:rPr>
        <w:t>=D+1=4+1=5</w:t>
      </w:r>
    </w:p>
    <w:p w14:paraId="3A02B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main() 方法单独计算时，按代码中的 if 条件和复合条件拆分后的逻辑判断计算，其复杂度会更高。实验报告中应明确注明：上述复杂度 5 对应 getRiskLevel() 方法，而不是整个程序。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033D3444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标题3"/>
    <w:basedOn w:val="1"/>
    <w:next w:val="1"/>
    <w:link w:val="8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8">
    <w:name w:val="标题3 字符"/>
    <w:basedOn w:val="6"/>
    <w:link w:val="7"/>
    <w:uiPriority w:val="0"/>
    <w:rPr>
      <w:b/>
      <w:sz w:val="24"/>
    </w:rPr>
  </w:style>
  <w:style w:type="character" w:customStyle="1" w:styleId="9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0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1">
    <w:name w:val="正文文本缩进 字符1"/>
    <w:basedOn w:val="6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527</Words>
  <Characters>569</Characters>
  <Lines>9</Lines>
  <Paragraphs>3</Paragraphs>
  <TotalTime>17</TotalTime>
  <ScaleCrop>false</ScaleCrop>
  <LinksUpToDate>false</LinksUpToDate>
  <CharactersWithSpaces>573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Lenovo</cp:lastModifiedBy>
  <dcterms:modified xsi:type="dcterms:W3CDTF">2026-10-20T02:34:12Z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eyJoZGlkIjoiZmUzOTAwZDNmMTk2OGI5YWJhNDEzYTExZjAyMDJiYWIifQ==</vt:lpwstr>
  </property>
</Properties>
</file>