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807" w:rsidRDefault="00E35BEE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DB2807" w:rsidRDefault="00E35BE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DB2807" w:rsidRDefault="00E35BEE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DB2807" w:rsidRDefault="00E35BE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DB2807" w:rsidRDefault="00E35BE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DB2807" w:rsidRDefault="00E35BE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DB2807" w:rsidRDefault="00E35BEE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DB2807" w:rsidRDefault="00E35BE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DB2807" w:rsidRDefault="00E35BE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DB2807" w:rsidRDefault="00E35BE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DB2807" w:rsidRDefault="00E35BE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DB2807" w:rsidRDefault="00E35BE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DB2807" w:rsidRDefault="00E35BE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DB2807" w:rsidRDefault="00E35BE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DB2807" w:rsidRDefault="00E35BE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DB2807" w:rsidRDefault="00E35BE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DB2807" w:rsidRDefault="00E35BE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DB2807" w:rsidRDefault="00E35BE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DB2807" w:rsidRDefault="00E35BEE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DB2807" w:rsidRDefault="00E35BE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DB2807" w:rsidRDefault="00E35BEE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807" w:rsidRDefault="00E35BEE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DB2807" w:rsidRDefault="00DB2807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DB2807" w:rsidRDefault="00E35BEE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DB2807" w:rsidRDefault="00E35BEE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DB2807" w:rsidRDefault="00E35BE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DB2807" w:rsidRDefault="00E35BE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DB2807" w:rsidRDefault="00E35BE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DB2807" w:rsidRDefault="00E35BEE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DB2807" w:rsidRDefault="00DB2807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DB2807" w:rsidRPr="00E35BEE" w:rsidRDefault="00E35BEE">
      <w:pPr>
        <w:ind w:firstLine="480"/>
      </w:pPr>
      <w:r w:rsidRPr="00E35BEE">
        <w:lastRenderedPageBreak/>
        <w:drawing>
          <wp:inline distT="0" distB="0" distL="0" distR="0" wp14:anchorId="603FC53D" wp14:editId="50A47E90">
            <wp:extent cx="5270500" cy="744410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图2  航空行李托运费程序流程图</w:t>
      </w:r>
    </w:p>
    <w:p>
      <w:r>
        <w:br w:type="page"/>
      </w:r>
    </w:p>
    <w:p>
      <w:pPr>
        <w:keepNext/>
        <w:spacing w:before="200" w:after="100"/>
        <w:outlineLvl w:val="0"/>
      </w:pPr>
      <w:r>
        <w:rPr>
          <w:rFonts w:ascii="黑体" w:hAnsi="黑体" w:eastAsia="黑体"/>
          <w:b/>
          <w:color w:val="000000"/>
          <w:sz w:val="30"/>
        </w:rPr>
        <w:t>详细设计结果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本节依据航空行李托运费程序流程图给出判定表、类 Java 伪码、控制流图映射及 McCabe 环形复杂度计算。变量 W 表示行李总重量，fee 表示托运费。</w:t>
      </w:r>
    </w:p>
    <w:p>
      <w:pPr>
        <w:keepNext/>
        <w:spacing w:before="140" w:after="100"/>
        <w:outlineLvl w:val="1"/>
      </w:pPr>
      <w:r>
        <w:rPr>
          <w:rFonts w:ascii="黑体" w:hAnsi="黑体" w:eastAsia="黑体"/>
          <w:b/>
          <w:color w:val="000000"/>
          <w:sz w:val="26"/>
        </w:rPr>
        <w:t>1 判定表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判定条件包括是否超重、舱位和乘客类型。三类乘客按流程图作为互斥类别处理；国内普通乘客系数为 1.0，外籍乘客系数为 1.5，残疾乘客系数为 0.5。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true"/>
        </w:trP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规则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行李条件</w:t>
            </w:r>
          </w:p>
        </w:tc>
        <w:tc>
          <w:tcPr>
            <w:tcW w:type="dxa" w:w="8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舱位</w:t>
            </w:r>
          </w:p>
        </w:tc>
        <w:tc>
          <w:tcPr>
            <w:tcW w:type="dxa" w:w="10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乘客类型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基础费率</w:t>
              <w:br/>
              <w:t>元每公斤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系数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执行动作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R1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 &lt;= 20 kg</w:t>
            </w:r>
          </w:p>
        </w:tc>
        <w:tc>
          <w:tcPr>
            <w:tcW w:type="dxa" w:w="8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任意</w:t>
            </w:r>
          </w:p>
        </w:tc>
        <w:tc>
          <w:tcPr>
            <w:tcW w:type="dxa" w:w="10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任意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fee = 0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R2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 &gt; 20 kg</w:t>
            </w:r>
          </w:p>
        </w:tc>
        <w:tc>
          <w:tcPr>
            <w:tcW w:type="dxa" w:w="8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头等舱</w:t>
            </w:r>
          </w:p>
        </w:tc>
        <w:tc>
          <w:tcPr>
            <w:tcW w:type="dxa" w:w="10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国内普通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1.0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fee = (W-20) x 6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R3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 &gt; 20 kg</w:t>
            </w:r>
          </w:p>
        </w:tc>
        <w:tc>
          <w:tcPr>
            <w:tcW w:type="dxa" w:w="8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头等舱</w:t>
            </w:r>
          </w:p>
        </w:tc>
        <w:tc>
          <w:tcPr>
            <w:tcW w:type="dxa" w:w="10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外籍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1.5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fee = (W-20) x 6 x 1.5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R4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 &gt; 20 kg</w:t>
            </w:r>
          </w:p>
        </w:tc>
        <w:tc>
          <w:tcPr>
            <w:tcW w:type="dxa" w:w="8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头等舱</w:t>
            </w:r>
          </w:p>
        </w:tc>
        <w:tc>
          <w:tcPr>
            <w:tcW w:type="dxa" w:w="10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残疾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fee = (W-20) x 6 x 0.5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R5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 &gt; 20 kg</w:t>
            </w:r>
          </w:p>
        </w:tc>
        <w:tc>
          <w:tcPr>
            <w:tcW w:type="dxa" w:w="8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公务舱</w:t>
            </w:r>
          </w:p>
        </w:tc>
        <w:tc>
          <w:tcPr>
            <w:tcW w:type="dxa" w:w="10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国内普通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1.0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fee = (W-20) x 8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R6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 &gt; 20 kg</w:t>
            </w:r>
          </w:p>
        </w:tc>
        <w:tc>
          <w:tcPr>
            <w:tcW w:type="dxa" w:w="8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公务舱</w:t>
            </w:r>
          </w:p>
        </w:tc>
        <w:tc>
          <w:tcPr>
            <w:tcW w:type="dxa" w:w="10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外籍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1.5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fee = (W-20) x 8 x 1.5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R7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 &gt; 20 kg</w:t>
            </w:r>
          </w:p>
        </w:tc>
        <w:tc>
          <w:tcPr>
            <w:tcW w:type="dxa" w:w="8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公务舱</w:t>
            </w:r>
          </w:p>
        </w:tc>
        <w:tc>
          <w:tcPr>
            <w:tcW w:type="dxa" w:w="10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残疾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fee = (W-20) x 8 x 0.5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R8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 &gt; 20 kg</w:t>
            </w:r>
          </w:p>
        </w:tc>
        <w:tc>
          <w:tcPr>
            <w:tcW w:type="dxa" w:w="8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经济舱</w:t>
            </w:r>
          </w:p>
        </w:tc>
        <w:tc>
          <w:tcPr>
            <w:tcW w:type="dxa" w:w="10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国内普通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1.0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fee = (W-20) x 10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R9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 &gt; 20 kg</w:t>
            </w:r>
          </w:p>
        </w:tc>
        <w:tc>
          <w:tcPr>
            <w:tcW w:type="dxa" w:w="8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经济舱</w:t>
            </w:r>
          </w:p>
        </w:tc>
        <w:tc>
          <w:tcPr>
            <w:tcW w:type="dxa" w:w="10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外籍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1.5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fee = (W-20) x 10 x 1.5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R10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 &gt; 20 kg</w:t>
            </w:r>
          </w:p>
        </w:tc>
        <w:tc>
          <w:tcPr>
            <w:tcW w:type="dxa" w:w="8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经济舱</w:t>
            </w:r>
          </w:p>
        </w:tc>
        <w:tc>
          <w:tcPr>
            <w:tcW w:type="dxa" w:w="10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残疾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fee = (W-20) x 10 x 0.5</w:t>
            </w:r>
          </w:p>
        </w:tc>
      </w:tr>
    </w:tbl>
    <w:p/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说明：</w:t>
      </w:r>
      <w:r>
        <w:rPr>
          <w:rFonts w:ascii="Times New Roman" w:hAnsi="Times New Roman" w:eastAsia="宋体"/>
          <w:b w:val="0"/>
          <w:color w:val="000000"/>
          <w:sz w:val="21"/>
        </w:rPr>
        <w:t>流程图中残疾乘客分支的费用系数应按题意取 0.5，即 Endprice = 0.5 x price。</w:t>
      </w:r>
    </w:p>
    <w:p>
      <w:pPr>
        <w:keepNext/>
        <w:spacing w:before="140" w:after="100"/>
        <w:outlineLvl w:val="1"/>
      </w:pPr>
      <w:r>
        <w:rPr>
          <w:rFonts w:ascii="黑体" w:hAnsi="黑体" w:eastAsia="黑体"/>
          <w:b/>
          <w:color w:val="000000"/>
          <w:sz w:val="26"/>
        </w:rPr>
        <w:t>2 类 Java 伪码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伪码按流程图先判断是否超重，再分别确定舱位费率和乘客系数，最后计算超重部分的费用。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>double calcBaggageFee(double weight, Cabin cabin, PassengerType passenger) {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(weight &lt;= 20.0) {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return 0.0;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double overweight = weight - 20.0;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double rate;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switch (cabin) {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case FIRST:    rate = 6.0;  break;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case BUSINESS: rate = 8.0;  break;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case ECONOMY:  rate = 10.0; break;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default: throw new IllegalArgumentException("invalid cabin");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double factor;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switch (passenger) {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case FOREIGN:  factor = 1.5; break;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case DOMESTIC: factor = 1.0; break;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case DISABLED: factor = 0.5; break;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default: throw new IllegalArgumentException("invalid passenger type");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double fee = overweight * rate * factor;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fee;</w:t>
      </w:r>
    </w:p>
    <w:p>
      <w:pPr>
        <w:keepLines/>
        <w:spacing w:after="0" w:line="252" w:lineRule="auto"/>
        <w:ind w:left="454" w:right="283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r>
        <w:br w:type="page"/>
      </w:r>
    </w:p>
    <w:p>
      <w:pPr>
        <w:keepNext/>
        <w:spacing w:before="140" w:after="100"/>
        <w:outlineLvl w:val="1"/>
      </w:pPr>
      <w:r>
        <w:rPr>
          <w:rFonts w:ascii="黑体" w:hAnsi="黑体" w:eastAsia="黑体"/>
          <w:b/>
          <w:color w:val="000000"/>
          <w:sz w:val="26"/>
        </w:rPr>
        <w:t>3 程序流程图到流图的映射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将连续顺序处理合并为控制流节点，将判断框保留为分支节点，并用有向边表示控制转移。映射后的流图如下。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7015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_monochr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0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keepNext w:val="0"/>
        <w:spacing w:after="160" w:before="240"/>
        <w:jc w:val="center"/>
      </w:pPr>
      <w:r>
        <w:rPr>
          <w:rFonts w:hint="eastAsia"/>
          <w:sz w:val="28"/>
          <w:szCs w:val="28"/>
        </w:rPr>
        <w:t>图3  航空行李托运费控制流图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节点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对应处理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节点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对应处理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开始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rate = 10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输入 W、舱位、乘客类型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判定乘客类型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判断 W &lt;= 20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factor = 1.5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fee = 0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factor = 1.0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overweight = W - 20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factor = 0.5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判定舱位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fee = overweight x rate x factor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rate = 6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输出 fee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rate = 8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结束</w:t>
            </w:r>
          </w:p>
        </w:tc>
      </w:tr>
    </w:tbl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流图边集合为：1-2，2-3，3-4，3-5，4-15，5-6，6-7，6-8，6-9，7-10，8-10，9-10，10-11，10-12，10-13，11-14，12-14，13-14，14-15，15-16。</w:t>
      </w:r>
    </w:p>
    <w:p>
      <w:pPr>
        <w:keepNext/>
        <w:spacing w:before="140" w:after="100"/>
        <w:outlineLvl w:val="1"/>
      </w:pPr>
      <w:r>
        <w:rPr>
          <w:rFonts w:ascii="黑体" w:hAnsi="黑体" w:eastAsia="黑体"/>
          <w:b/>
          <w:color w:val="000000"/>
          <w:sz w:val="26"/>
        </w:rPr>
        <w:t>4 McCabe 环形复杂度计算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方法一  边与节点公式</w:t>
      </w:r>
      <w:r>
        <w:rPr>
          <w:rFonts w:ascii="Times New Roman" w:hAnsi="Times New Roman" w:eastAsia="宋体"/>
          <w:b w:val="0"/>
          <w:color w:val="000000"/>
          <w:sz w:val="21"/>
        </w:rPr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流图共有 N = 16 个节点、E = 20 条边，且只有 1 个连通分量，因此：</w:t>
      </w:r>
    </w:p>
    <w:p>
      <w:pPr>
        <w:spacing w:after="120"/>
        <w:jc w:val="center"/>
      </w:pPr>
      <w:r>
        <w:rPr>
          <w:rFonts w:ascii="Cambria Math" w:hAnsi="Cambria Math" w:eastAsia="Cambria Math"/>
          <w:b/>
          <w:color w:val="000000"/>
          <w:sz w:val="24"/>
        </w:rPr>
        <w:t>V(G) = E - N + 2 = 20 - 16 + 2 = 6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方法二  分支贡献法</w:t>
      </w:r>
      <w:r>
        <w:rPr>
          <w:rFonts w:ascii="Times New Roman" w:hAnsi="Times New Roman" w:eastAsia="宋体"/>
          <w:b w:val="0"/>
          <w:color w:val="000000"/>
          <w:sz w:val="21"/>
        </w:rPr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节点 3 为二分支，贡献 2-1 = 1；节点 6 和节点 10 均为三分支，各贡献 3-1 = 2。故：</w:t>
      </w:r>
    </w:p>
    <w:p>
      <w:pPr>
        <w:jc w:val="center"/>
      </w:pPr>
      <w:r>
        <w:rPr>
          <w:rFonts w:ascii="Cambria Math" w:hAnsi="Cambria Math" w:eastAsia="Cambria Math"/>
          <w:b/>
          <w:color w:val="000000"/>
          <w:sz w:val="24"/>
        </w:rPr>
        <w:t>V(G) = 1 + (2-1) + (3-1) + (3-1) = 6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方法三  区域计数法</w:t>
      </w:r>
      <w:r>
        <w:rPr>
          <w:rFonts w:ascii="Times New Roman" w:hAnsi="Times New Roman" w:eastAsia="宋体"/>
          <w:b w:val="0"/>
          <w:color w:val="000000"/>
          <w:sz w:val="21"/>
        </w:rPr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平面流图形成 5 个封闭区域，加上最外部区域，共 R = 6 个区域，因此 V(G) = R = 6。三种方法的结果一致。</w:t>
      </w:r>
    </w:p>
    <w:p>
      <w:pPr>
        <w:keepNext/>
        <w:spacing w:before="140" w:after="100"/>
        <w:outlineLvl w:val="1"/>
      </w:pPr>
      <w:r>
        <w:rPr>
          <w:rFonts w:ascii="黑体" w:hAnsi="黑体" w:eastAsia="黑体"/>
          <w:b/>
          <w:color w:val="000000"/>
          <w:sz w:val="26"/>
        </w:rPr>
        <w:t>5 基本路径集合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环形复杂度为 6，表示至少需要 6 条线性无关路径进行基本路径测试。可选取以下路径：</w:t>
      </w:r>
    </w:p>
    <w:p>
      <w:pPr>
        <w:spacing w:after="40"/>
        <w:ind w:left="567" w:hanging="283"/>
      </w:pPr>
      <w:r>
        <w:rPr>
          <w:rFonts w:ascii="Times New Roman" w:hAnsi="Times New Roman" w:eastAsia="宋体"/>
          <w:b w:val="0"/>
          <w:color w:val="000000"/>
          <w:sz w:val="21"/>
        </w:rPr>
        <w:t>• P1：1-2-3-4-15-16</w:t>
      </w:r>
    </w:p>
    <w:p>
      <w:pPr>
        <w:spacing w:after="40"/>
        <w:ind w:left="567" w:hanging="283"/>
      </w:pPr>
      <w:r>
        <w:rPr>
          <w:rFonts w:ascii="Times New Roman" w:hAnsi="Times New Roman" w:eastAsia="宋体"/>
          <w:b w:val="0"/>
          <w:color w:val="000000"/>
          <w:sz w:val="21"/>
        </w:rPr>
        <w:t>• P2：1-2-3-5-6-7-10-12-14-15-16</w:t>
      </w:r>
    </w:p>
    <w:p>
      <w:pPr>
        <w:spacing w:after="40"/>
        <w:ind w:left="567" w:hanging="283"/>
      </w:pPr>
      <w:r>
        <w:rPr>
          <w:rFonts w:ascii="Times New Roman" w:hAnsi="Times New Roman" w:eastAsia="宋体"/>
          <w:b w:val="0"/>
          <w:color w:val="000000"/>
          <w:sz w:val="21"/>
        </w:rPr>
        <w:t>• P3：1-2-3-5-6-8-10-12-14-15-16</w:t>
      </w:r>
    </w:p>
    <w:p>
      <w:pPr>
        <w:spacing w:after="40"/>
        <w:ind w:left="567" w:hanging="283"/>
      </w:pPr>
      <w:r>
        <w:rPr>
          <w:rFonts w:ascii="Times New Roman" w:hAnsi="Times New Roman" w:eastAsia="宋体"/>
          <w:b w:val="0"/>
          <w:color w:val="000000"/>
          <w:sz w:val="21"/>
        </w:rPr>
        <w:t>• P4：1-2-3-5-6-9-10-12-14-15-16</w:t>
      </w:r>
    </w:p>
    <w:p>
      <w:pPr>
        <w:spacing w:after="40"/>
        <w:ind w:left="567" w:hanging="283"/>
      </w:pPr>
      <w:r>
        <w:rPr>
          <w:rFonts w:ascii="Times New Roman" w:hAnsi="Times New Roman" w:eastAsia="宋体"/>
          <w:b w:val="0"/>
          <w:color w:val="000000"/>
          <w:sz w:val="21"/>
        </w:rPr>
        <w:t>• P5：1-2-3-5-6-7-10-11-14-15-16</w:t>
      </w:r>
    </w:p>
    <w:p>
      <w:pPr>
        <w:spacing w:after="40"/>
        <w:ind w:left="567" w:hanging="283"/>
      </w:pPr>
      <w:r>
        <w:rPr>
          <w:rFonts w:ascii="Times New Roman" w:hAnsi="Times New Roman" w:eastAsia="宋体"/>
          <w:b w:val="0"/>
          <w:color w:val="000000"/>
          <w:sz w:val="21"/>
        </w:rPr>
        <w:t>• P6：1-2-3-5-6-7-10-13-14-15-16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结论：</w:t>
      </w:r>
      <w:r>
        <w:rPr>
          <w:rFonts w:ascii="Times New Roman" w:hAnsi="Times New Roman" w:eastAsia="宋体"/>
          <w:b w:val="0"/>
          <w:color w:val="000000"/>
          <w:sz w:val="21"/>
        </w:rPr>
        <w:t>该程序的 McCabe 环形复杂度 V(G) = 6，控制结构规模适中。测试时应覆盖免费托运路径、三种舱位分支以及三种乘客类型分支。</w:t>
      </w:r>
    </w:p>
    <w:p>
      <w:r>
        <w:br w:type="page"/>
      </w:r>
    </w:p>
    <w:p>
      <w:pPr>
        <w:keepNext/>
        <w:spacing w:before="220" w:after="120"/>
        <w:outlineLvl w:val="0"/>
      </w:pPr>
      <w:r>
        <w:rPr>
          <w:rFonts w:ascii="黑体" w:hAnsi="黑体" w:eastAsia="黑体"/>
          <w:b/>
          <w:color w:val="000000"/>
          <w:sz w:val="30"/>
        </w:rPr>
        <w:t>校园共享雨伞智能管理系统核心模块详细设计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在作业二的软件体系与功能模块设计基础上，选择“扫码借伞”作为核心模块。该模块贯穿用户认证、雨伞柜库存、二维码识别、电子锁控制和借伞记录，是系统完成共享雨伞业务闭环的关键入口。</w:t>
      </w:r>
    </w:p>
    <w:p>
      <w:pPr>
        <w:keepNext/>
        <w:spacing w:before="160" w:after="120"/>
        <w:outlineLvl w:val="1"/>
      </w:pPr>
      <w:r>
        <w:rPr>
          <w:rFonts w:ascii="黑体" w:hAnsi="黑体" w:eastAsia="黑体"/>
          <w:b/>
          <w:color w:val="000000"/>
          <w:sz w:val="26"/>
        </w:rPr>
        <w:t>1 模块分析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模块目标：</w:t>
      </w:r>
      <w:r>
        <w:rPr>
          <w:rFonts w:ascii="Times New Roman" w:hAnsi="Times New Roman" w:eastAsia="宋体"/>
          <w:b w:val="0"/>
          <w:color w:val="000000"/>
          <w:sz w:val="21"/>
        </w:rPr>
        <w:t>在确保用户具备借伞资格、柜机在线且目标雨伞可用的前提下，控制电子锁完成取伞，并同步更新借伞记录、雨伞状态和柜机库存；任一步骤失败时返回明确原因，避免产生错误借伞记录。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150"/>
        <w:gridCol w:w="4150"/>
      </w:tblGrid>
      <w:tr>
        <w:trPr>
          <w:tblHeader w:val="true"/>
        </w:trPr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设计项</w:t>
            </w:r>
          </w:p>
        </w:tc>
        <w:tc>
          <w:tcPr>
            <w:tcW w:type="dxa" w:w="640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640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userId、cabinetId、umbrellaId，均由登录状态和二维码识别获得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前置条件</w:t>
            </w:r>
          </w:p>
        </w:tc>
        <w:tc>
          <w:tcPr>
            <w:tcW w:type="dxa" w:w="640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用户已登录；柜机与后台可通信；二维码可识别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主要处理</w:t>
            </w:r>
          </w:p>
        </w:tc>
        <w:tc>
          <w:tcPr>
            <w:tcW w:type="dxa" w:w="640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校验资格、检查柜机和库存、控制电子锁、创建借伞记录、更新库存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640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借伞成功或明确的失败原因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数据更新</w:t>
            </w:r>
          </w:p>
        </w:tc>
        <w:tc>
          <w:tcPr>
            <w:tcW w:type="dxa" w:w="640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借伞记录、雨伞状态、柜机库存、设备故障记录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640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电子锁失败时释放预占状态，不生成有效借伞记录，并上报故障</w:t>
            </w:r>
          </w:p>
        </w:tc>
      </w:tr>
    </w:tbl>
    <w:p>
      <w:pPr>
        <w:keepNext/>
        <w:spacing w:before="160" w:after="120"/>
        <w:outlineLvl w:val="1"/>
      </w:pPr>
      <w:r>
        <w:rPr>
          <w:rFonts w:ascii="黑体" w:hAnsi="黑体" w:eastAsia="黑体"/>
          <w:b/>
          <w:color w:val="000000"/>
          <w:sz w:val="26"/>
        </w:rPr>
        <w:t>2 程序流程图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处理过程依次校验用户身份、借伞资格、柜机在线状态、雨伞可用状态和电子锁执行结果。任何失败分支都返回对应提示，只有全部条件满足时才创建借伞记录。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7402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rrow_flowchart_visio_grid_match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40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keepNext w:val="0"/>
        <w:spacing w:after="160" w:before="240"/>
        <w:jc w:val="center"/>
      </w:pPr>
      <w:r>
        <w:rPr>
          <w:rFonts w:hint="eastAsia"/>
          <w:sz w:val="28"/>
          <w:szCs w:val="28"/>
        </w:rPr>
        <w:t>图4  扫码借伞模块程序流程图</w:t>
      </w:r>
    </w:p>
    <w:p>
      <w:pPr>
        <w:keepNext/>
        <w:spacing w:before="160" w:after="120"/>
        <w:outlineLvl w:val="1"/>
      </w:pPr>
      <w:r>
        <w:rPr>
          <w:rFonts w:ascii="黑体" w:hAnsi="黑体" w:eastAsia="黑体"/>
          <w:b/>
          <w:color w:val="000000"/>
          <w:sz w:val="26"/>
        </w:rPr>
        <w:t>3 判定表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判定表按先决条件的检查顺序列出 6 条互斥规则。“-”表示在当前规则下无需继续判断该条件。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true"/>
        </w:trPr>
        <w:tc>
          <w:tcPr>
            <w:tcW w:type="dxa" w:w="5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规则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身份有效</w:t>
            </w:r>
          </w:p>
        </w:tc>
        <w:tc>
          <w:tcPr>
            <w:tcW w:type="dxa" w:w="1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无未还或逾期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柜机在线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雨伞可借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开锁成功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执行动作</w:t>
            </w:r>
          </w:p>
        </w:tc>
      </w:tr>
      <w:tr>
        <w:tc>
          <w:tcPr>
            <w:tcW w:type="dxa" w:w="5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R1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拒绝借伞，提示重新认证</w:t>
            </w:r>
          </w:p>
        </w:tc>
      </w:tr>
      <w:tr>
        <w:tc>
          <w:tcPr>
            <w:tcW w:type="dxa" w:w="5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R2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拒绝借伞，提示先归还或处理逾期</w:t>
            </w:r>
          </w:p>
        </w:tc>
      </w:tr>
      <w:tr>
        <w:tc>
          <w:tcPr>
            <w:tcW w:type="dxa" w:w="5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R3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提示柜机离线，建议更换柜机</w:t>
            </w:r>
          </w:p>
        </w:tc>
      </w:tr>
      <w:tr>
        <w:tc>
          <w:tcPr>
            <w:tcW w:type="dxa" w:w="5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R4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提示无可借雨伞，建议更换柜机</w:t>
            </w:r>
          </w:p>
        </w:tc>
      </w:tr>
      <w:tr>
        <w:tc>
          <w:tcPr>
            <w:tcW w:type="dxa" w:w="5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R5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释放预占状态并记录设备故障</w:t>
            </w:r>
          </w:p>
        </w:tc>
      </w:tr>
      <w:tr>
        <w:tc>
          <w:tcPr>
            <w:tcW w:type="dxa" w:w="5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R6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30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82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创建借伞记录，更新状态与库存，返回成功</w:t>
            </w:r>
          </w:p>
        </w:tc>
      </w:tr>
    </w:tbl>
    <w:p>
      <w:pPr>
        <w:keepNext/>
        <w:spacing w:before="160" w:after="120"/>
        <w:outlineLvl w:val="1"/>
      </w:pPr>
      <w:r>
        <w:rPr>
          <w:rFonts w:ascii="黑体" w:hAnsi="黑体" w:eastAsia="黑体"/>
          <w:b/>
          <w:color w:val="000000"/>
          <w:sz w:val="26"/>
        </w:rPr>
        <w:t>4 类 Java 伪码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伪码与流程图保持一致。为保证设备异常时的数据一致性，开锁失败分支释放雨伞预占状态并记录故障；仅在开锁成功后生成有效借伞记录。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>BorrowResult borrowUmbrella(String userId, String cabinetId, String umbrellaId) {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if (!userService.isIdentityValid(userId))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fail("身份认证失败");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if (loanRepository.hasUnreturnedOrOverdueLoan(userId))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fail("存在未还或逾期记录");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Cabinet cabinet = cabinetRepository.find(cabinetId);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if (!cabinet.isOnline())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fail("雨伞柜离线");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Umbrella umbrella = umbrellaRepository.find(umbrellaId);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if (!umbrella.isAvailableAt(cabinetId))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fail("当前雨伞不可借");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umbrella.reserveFor(userId);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if (!lockService.open(cabinetId, umbrella.lockNo())) {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umbrella.releaseReservation();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faultRepository.record(cabinetId, umbrella.lockNo());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fail("电子锁开启失败");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}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loanRepository.create(userId, umbrellaId, cabinetId, now());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umbrella.markBorrowed(userId);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cabinet.decreaseAvailableCount();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success("借伞成功");</w:t>
      </w:r>
    </w:p>
    <w:p>
      <w:pPr>
        <w:keepLines/>
        <w:spacing w:after="0" w:line="240" w:lineRule="auto"/>
        <w:ind w:left="312" w:right="142"/>
      </w:pPr>
      <w:r>
        <w:rPr>
          <w:rFonts w:ascii="Consolas" w:hAnsi="Consolas" w:eastAsia="Consolas"/>
          <w:b w:val="0"/>
          <w:color w:val="000000"/>
          <w:sz w:val="17"/>
        </w:rPr>
        <w:t>}</w:t>
      </w:r>
    </w:p>
    <w:p>
      <w:r>
        <w:br w:type="page"/>
      </w:r>
    </w:p>
    <w:p>
      <w:pPr>
        <w:keepNext/>
        <w:spacing w:before="160" w:after="120"/>
        <w:outlineLvl w:val="1"/>
      </w:pPr>
      <w:r>
        <w:rPr>
          <w:rFonts w:ascii="黑体" w:hAnsi="黑体" w:eastAsia="黑体"/>
          <w:b/>
          <w:color w:val="000000"/>
          <w:sz w:val="26"/>
        </w:rPr>
        <w:t>5 程序流程图到流图的映射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将开始、输入、处理和返回结果分别映射为顺序节点，将 5 个判断框映射为二分支节点。所有失败分支在节点 14 汇合后结束，控制流图如下。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24000" cy="6271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_monochr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62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keepNext w:val="0"/>
        <w:spacing w:after="160" w:before="240"/>
        <w:jc w:val="center"/>
      </w:pPr>
      <w:r>
        <w:rPr>
          <w:rFonts w:hint="eastAsia"/>
          <w:sz w:val="28"/>
          <w:szCs w:val="28"/>
        </w:rPr>
        <w:t>图5  扫码借伞模块控制流图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节点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对应处理</w:t>
            </w:r>
          </w:p>
        </w:tc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节点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AF7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对应处理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开始</w:t>
            </w:r>
          </w:p>
        </w:tc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判断目标雨伞可借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扫描柜机和雨伞二维码</w:t>
            </w:r>
          </w:p>
        </w:tc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无库存处理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判断用户身份有效</w:t>
            </w:r>
          </w:p>
        </w:tc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判断电子锁开启成功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身份无效处理</w:t>
            </w:r>
          </w:p>
        </w:tc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开锁失败回滚及故障记录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判断无未还或逾期记录</w:t>
            </w:r>
          </w:p>
        </w:tc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创建借伞记录并更新状态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资格不符处理</w:t>
            </w:r>
          </w:p>
        </w:tc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返回处理结果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判断雨伞柜在线</w:t>
            </w:r>
          </w:p>
        </w:tc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结束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柜机离线处理</w:t>
            </w:r>
          </w:p>
        </w:tc>
        <w:tc>
          <w:tcPr>
            <w:tcW w:type="dxa" w:w="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337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7F9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</w:tr>
    </w:tbl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流图边集合为：1-2，2-3，3-4，3-5，4-14，5-6，5-7，6-14，7-8，7-9，8-14，9-10，9-11，10-14，11-12，11-13，12-14，13-14，14-15。</w:t>
      </w:r>
    </w:p>
    <w:p>
      <w:pPr>
        <w:keepNext/>
        <w:spacing w:before="160" w:after="120"/>
        <w:outlineLvl w:val="1"/>
      </w:pPr>
      <w:r>
        <w:rPr>
          <w:rFonts w:ascii="黑体" w:hAnsi="黑体" w:eastAsia="黑体"/>
          <w:b/>
          <w:color w:val="000000"/>
          <w:sz w:val="26"/>
        </w:rPr>
        <w:t>6 McCabe 环形复杂度计算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方法一  边与节点公式</w:t>
      </w:r>
      <w:r>
        <w:rPr>
          <w:rFonts w:ascii="Times New Roman" w:hAnsi="Times New Roman" w:eastAsia="宋体"/>
          <w:b w:val="0"/>
          <w:color w:val="000000"/>
          <w:sz w:val="21"/>
        </w:rPr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流图共有 N = 15 个节点、E = 19 条边，且只有 1 个连通分量，因此：</w:t>
      </w:r>
    </w:p>
    <w:p>
      <w:pPr>
        <w:spacing w:after="120"/>
        <w:jc w:val="center"/>
      </w:pPr>
      <w:r>
        <w:rPr>
          <w:rFonts w:ascii="Cambria Math" w:hAnsi="Cambria Math" w:eastAsia="Cambria Math"/>
          <w:b/>
          <w:color w:val="000000"/>
          <w:sz w:val="24"/>
        </w:rPr>
        <w:t>V(G) = E - N + 2 = 19 - 15 + 2 = 6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方法二  判定节点公式</w:t>
      </w:r>
      <w:r>
        <w:rPr>
          <w:rFonts w:ascii="Times New Roman" w:hAnsi="Times New Roman" w:eastAsia="宋体"/>
          <w:b w:val="0"/>
          <w:color w:val="000000"/>
          <w:sz w:val="21"/>
        </w:rPr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节点 3、5、7、9、11 共 5 个二分支判定节点，即 P = 5，因此 V(G) = P + 1 = 5 + 1 = 6。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方法三  区域计数法</w:t>
      </w:r>
      <w:r>
        <w:rPr>
          <w:rFonts w:ascii="Times New Roman" w:hAnsi="Times New Roman" w:eastAsia="宋体"/>
          <w:b w:val="0"/>
          <w:color w:val="000000"/>
          <w:sz w:val="21"/>
        </w:rPr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平面流图包含 5 个封闭区域和 1 个外部区域，共 R = 6，因此 V(G) = R = 6。三种方法所得结果一致。</w:t>
      </w:r>
    </w:p>
    <w:p>
      <w:pPr>
        <w:keepNext/>
        <w:spacing w:before="160" w:after="120"/>
        <w:outlineLvl w:val="1"/>
      </w:pPr>
      <w:r>
        <w:rPr>
          <w:rFonts w:ascii="黑体" w:hAnsi="黑体" w:eastAsia="黑体"/>
          <w:b/>
          <w:color w:val="000000"/>
          <w:sz w:val="26"/>
        </w:rPr>
        <w:t>7 基本路径集合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环形复杂度为 6，至少需要 6 条线性无关路径进行基本路径测试。可选取：</w:t>
      </w:r>
    </w:p>
    <w:p>
      <w:pPr>
        <w:spacing w:after="40"/>
        <w:ind w:left="510" w:hanging="255"/>
      </w:pPr>
      <w:r>
        <w:rPr>
          <w:rFonts w:ascii="Times New Roman" w:hAnsi="Times New Roman" w:eastAsia="宋体"/>
          <w:b w:val="0"/>
          <w:color w:val="000000"/>
          <w:sz w:val="20"/>
        </w:rPr>
        <w:t>• P1：1-2-3-4-14-15（身份无效）</w:t>
      </w:r>
    </w:p>
    <w:p>
      <w:pPr>
        <w:spacing w:after="40"/>
        <w:ind w:left="510" w:hanging="255"/>
      </w:pPr>
      <w:r>
        <w:rPr>
          <w:rFonts w:ascii="Times New Roman" w:hAnsi="Times New Roman" w:eastAsia="宋体"/>
          <w:b w:val="0"/>
          <w:color w:val="000000"/>
          <w:sz w:val="20"/>
        </w:rPr>
        <w:t>• P2：1-2-3-5-6-14-15（存在未还或逾期记录）</w:t>
      </w:r>
    </w:p>
    <w:p>
      <w:pPr>
        <w:spacing w:after="40"/>
        <w:ind w:left="510" w:hanging="255"/>
      </w:pPr>
      <w:r>
        <w:rPr>
          <w:rFonts w:ascii="Times New Roman" w:hAnsi="Times New Roman" w:eastAsia="宋体"/>
          <w:b w:val="0"/>
          <w:color w:val="000000"/>
          <w:sz w:val="20"/>
        </w:rPr>
        <w:t>• P3：1-2-3-5-7-8-14-15（柜机离线）</w:t>
      </w:r>
    </w:p>
    <w:p>
      <w:pPr>
        <w:spacing w:after="40"/>
        <w:ind w:left="510" w:hanging="255"/>
      </w:pPr>
      <w:r>
        <w:rPr>
          <w:rFonts w:ascii="Times New Roman" w:hAnsi="Times New Roman" w:eastAsia="宋体"/>
          <w:b w:val="0"/>
          <w:color w:val="000000"/>
          <w:sz w:val="20"/>
        </w:rPr>
        <w:t>• P4：1-2-3-5-7-9-10-14-15（雨伞不可借）</w:t>
      </w:r>
    </w:p>
    <w:p>
      <w:pPr>
        <w:spacing w:after="40"/>
        <w:ind w:left="510" w:hanging="255"/>
      </w:pPr>
      <w:r>
        <w:rPr>
          <w:rFonts w:ascii="Times New Roman" w:hAnsi="Times New Roman" w:eastAsia="宋体"/>
          <w:b w:val="0"/>
          <w:color w:val="000000"/>
          <w:sz w:val="20"/>
        </w:rPr>
        <w:t>• P5：1-2-3-5-7-9-11-12-14-15（电子锁开启失败）</w:t>
      </w:r>
    </w:p>
    <w:p>
      <w:pPr>
        <w:spacing w:after="40"/>
        <w:ind w:left="510" w:hanging="255"/>
      </w:pPr>
      <w:r>
        <w:rPr>
          <w:rFonts w:ascii="Times New Roman" w:hAnsi="Times New Roman" w:eastAsia="宋体"/>
          <w:b w:val="0"/>
          <w:color w:val="000000"/>
          <w:sz w:val="20"/>
        </w:rPr>
        <w:t>• P6：1-2-3-5-7-9-11-13-14-15（借伞成功）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结论：</w:t>
      </w:r>
      <w:r>
        <w:rPr>
          <w:rFonts w:ascii="Times New Roman" w:hAnsi="Times New Roman" w:eastAsia="宋体"/>
          <w:b w:val="0"/>
          <w:color w:val="000000"/>
          <w:sz w:val="21"/>
        </w:rPr>
        <w:t>扫码借伞模块的 McCabe 环形复杂度 V(G) = 6，结构清晰且可测试。测试用例至少应覆盖身份异常、借伞资格异常、柜机离线、无可借雨伞、开锁失败和正常借伞六类路径。</w:t>
      </w:r>
    </w:p>
    <w:sectPr w:rsidR="00DB2807" w:rsidRPr="00E35BE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2807"/>
    <w:rsid w:val="00DB4341"/>
    <w:rsid w:val="00E35BEE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3A2A3F-0DD0-4C25-BC13-64AC2A36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3</cp:revision>
  <dcterms:created xsi:type="dcterms:W3CDTF">2022-03-26T08:53:00Z</dcterms:created>
  <dcterms:modified xsi:type="dcterms:W3CDTF">2026-10-20T02:35:00Z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